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AA03" w14:textId="107F4B56" w:rsidR="00084E65" w:rsidRDefault="009213E5" w:rsidP="00133AC8">
      <w:pPr>
        <w:pStyle w:val="RAEXdefault"/>
        <w:jc w:val="center"/>
        <w:rPr>
          <w:rFonts w:cs="Times New Roman"/>
          <w:sz w:val="32"/>
          <w:szCs w:val="32"/>
          <w:lang w:val="ru-RU"/>
        </w:rPr>
      </w:pPr>
      <w:r>
        <w:rPr>
          <w:rFonts w:cs="Times New Roman"/>
          <w:sz w:val="32"/>
          <w:szCs w:val="32"/>
          <w:lang w:val="ru-RU"/>
        </w:rPr>
        <w:t>И</w:t>
      </w:r>
      <w:r w:rsidR="00084E65" w:rsidRPr="007C2671">
        <w:rPr>
          <w:rFonts w:cs="Times New Roman"/>
          <w:sz w:val="32"/>
          <w:szCs w:val="32"/>
          <w:lang w:val="ru-RU"/>
        </w:rPr>
        <w:t>зменени</w:t>
      </w:r>
      <w:r>
        <w:rPr>
          <w:rFonts w:cs="Times New Roman"/>
          <w:sz w:val="32"/>
          <w:szCs w:val="32"/>
          <w:lang w:val="ru-RU"/>
        </w:rPr>
        <w:t>я</w:t>
      </w:r>
      <w:r w:rsidR="00084E65" w:rsidRPr="007C2671">
        <w:rPr>
          <w:rFonts w:cs="Times New Roman"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  <w:lang w:val="ru-RU"/>
        </w:rPr>
        <w:t xml:space="preserve">в </w:t>
      </w:r>
      <w:r w:rsidR="00084E65" w:rsidRPr="007C2671">
        <w:rPr>
          <w:rFonts w:cs="Times New Roman"/>
          <w:sz w:val="32"/>
          <w:szCs w:val="32"/>
          <w:lang w:val="ru-RU"/>
        </w:rPr>
        <w:t xml:space="preserve">методологии присвоения </w:t>
      </w:r>
      <w:r w:rsidR="00006380">
        <w:rPr>
          <w:rFonts w:cs="Times New Roman"/>
          <w:sz w:val="32"/>
          <w:szCs w:val="32"/>
          <w:lang w:val="ru-RU"/>
        </w:rPr>
        <w:t xml:space="preserve">рейтингов кредитоспособности </w:t>
      </w:r>
      <w:r w:rsidR="0089282C">
        <w:rPr>
          <w:rFonts w:cs="Times New Roman"/>
          <w:sz w:val="32"/>
          <w:szCs w:val="32"/>
          <w:lang w:val="ru-RU"/>
        </w:rPr>
        <w:t>холдинговым</w:t>
      </w:r>
      <w:r w:rsidR="00006380">
        <w:rPr>
          <w:rFonts w:cs="Times New Roman"/>
          <w:sz w:val="32"/>
          <w:szCs w:val="32"/>
          <w:lang w:val="ru-RU"/>
        </w:rPr>
        <w:t xml:space="preserve"> компаниям</w:t>
      </w:r>
    </w:p>
    <w:p w14:paraId="45B7B7E7" w14:textId="3416F229" w:rsidR="006D3E46" w:rsidRDefault="006D3E46" w:rsidP="006D3E46"/>
    <w:p w14:paraId="3E134255" w14:textId="77777777" w:rsidR="00DD47FF" w:rsidRDefault="00DD47FF" w:rsidP="00F07ABF">
      <w:pPr>
        <w:tabs>
          <w:tab w:val="left" w:pos="142"/>
        </w:tabs>
        <w:ind w:firstLine="709"/>
        <w:jc w:val="both"/>
        <w:rPr>
          <w:spacing w:val="2"/>
          <w:sz w:val="28"/>
          <w:szCs w:val="28"/>
          <w:lang w:eastAsia="en-US"/>
        </w:rPr>
      </w:pPr>
    </w:p>
    <w:p w14:paraId="51457CF8" w14:textId="3DCF6040" w:rsidR="00CF5261" w:rsidRPr="008D5224" w:rsidRDefault="00E32EA8" w:rsidP="00CF526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pacing w:val="2"/>
          <w:szCs w:val="28"/>
          <w:lang w:eastAsia="en-US"/>
        </w:rPr>
      </w:pPr>
      <w:r w:rsidRPr="00E32EA8">
        <w:rPr>
          <w:rFonts w:ascii="Times New Roman" w:hAnsi="Times New Roman" w:cs="Times New Roman"/>
          <w:bCs/>
        </w:rPr>
        <w:t xml:space="preserve">В </w:t>
      </w:r>
      <w:r w:rsidR="008A0507">
        <w:rPr>
          <w:rFonts w:ascii="Times New Roman" w:hAnsi="Times New Roman" w:cs="Times New Roman"/>
          <w:bCs/>
        </w:rPr>
        <w:t xml:space="preserve">состав </w:t>
      </w:r>
      <w:r w:rsidRPr="00E32EA8">
        <w:rPr>
          <w:rFonts w:ascii="Times New Roman" w:hAnsi="Times New Roman" w:cs="Times New Roman"/>
          <w:bCs/>
        </w:rPr>
        <w:t>методологи</w:t>
      </w:r>
      <w:r w:rsidR="008A0507">
        <w:rPr>
          <w:rFonts w:ascii="Times New Roman" w:hAnsi="Times New Roman" w:cs="Times New Roman"/>
          <w:bCs/>
        </w:rPr>
        <w:t>и</w:t>
      </w:r>
      <w:r w:rsidRPr="00E32EA8">
        <w:rPr>
          <w:rFonts w:ascii="Times New Roman" w:hAnsi="Times New Roman" w:cs="Times New Roman"/>
          <w:bCs/>
        </w:rPr>
        <w:t xml:space="preserve"> включен</w:t>
      </w:r>
      <w:r>
        <w:rPr>
          <w:rFonts w:ascii="Times New Roman" w:hAnsi="Times New Roman" w:cs="Times New Roman"/>
          <w:b/>
        </w:rPr>
        <w:t xml:space="preserve"> </w:t>
      </w:r>
      <w:r w:rsidRPr="00174448">
        <w:rPr>
          <w:rFonts w:ascii="Times New Roman" w:hAnsi="Times New Roman" w:cs="Times New Roman"/>
          <w:bCs/>
        </w:rPr>
        <w:t>новый раздел</w:t>
      </w:r>
      <w:r>
        <w:rPr>
          <w:rFonts w:ascii="Times New Roman" w:hAnsi="Times New Roman" w:cs="Times New Roman"/>
          <w:b/>
        </w:rPr>
        <w:t xml:space="preserve"> «Рейтинговые действия».</w:t>
      </w:r>
    </w:p>
    <w:p w14:paraId="48A352B0" w14:textId="77777777" w:rsidR="00DD16BF" w:rsidRPr="00DC7714" w:rsidRDefault="00DD16BF" w:rsidP="00DD16BF">
      <w:pPr>
        <w:pStyle w:val="a4"/>
        <w:jc w:val="both"/>
        <w:rPr>
          <w:rFonts w:ascii="Times New Roman" w:hAnsi="Times New Roman" w:cs="Times New Roman"/>
        </w:rPr>
      </w:pPr>
    </w:p>
    <w:p w14:paraId="0E19B792" w14:textId="48FEC393" w:rsidR="00DC7714" w:rsidRPr="00DC7714" w:rsidRDefault="00DC7714" w:rsidP="00DC7714">
      <w:pPr>
        <w:pStyle w:val="a4"/>
        <w:numPr>
          <w:ilvl w:val="0"/>
          <w:numId w:val="2"/>
        </w:numPr>
        <w:rPr>
          <w:rFonts w:ascii="Times New Roman" w:hAnsi="Times New Roman" w:cs="Times New Roman"/>
          <w:spacing w:val="2"/>
          <w:szCs w:val="28"/>
          <w:lang w:eastAsia="en-US"/>
        </w:rPr>
      </w:pPr>
      <w:r w:rsidRPr="00DC7714">
        <w:rPr>
          <w:rFonts w:ascii="Times New Roman" w:hAnsi="Times New Roman" w:cs="Times New Roman"/>
          <w:spacing w:val="2"/>
          <w:szCs w:val="28"/>
          <w:u w:val="single"/>
          <w:lang w:eastAsia="en-US"/>
        </w:rPr>
        <w:t>Измен</w:t>
      </w:r>
      <w:r w:rsidRPr="00D54947">
        <w:rPr>
          <w:rFonts w:ascii="Times New Roman" w:hAnsi="Times New Roman" w:cs="Times New Roman"/>
          <w:spacing w:val="2"/>
          <w:szCs w:val="28"/>
          <w:u w:val="single"/>
          <w:lang w:eastAsia="en-US"/>
        </w:rPr>
        <w:t>ена</w:t>
      </w:r>
      <w:r>
        <w:rPr>
          <w:rFonts w:ascii="Times New Roman" w:hAnsi="Times New Roman" w:cs="Times New Roman"/>
          <w:spacing w:val="2"/>
          <w:szCs w:val="28"/>
          <w:lang w:eastAsia="en-US"/>
        </w:rPr>
        <w:t xml:space="preserve"> </w:t>
      </w:r>
      <w:r w:rsidRPr="00DC7714">
        <w:rPr>
          <w:rFonts w:ascii="Times New Roman" w:hAnsi="Times New Roman" w:cs="Times New Roman"/>
          <w:spacing w:val="2"/>
          <w:szCs w:val="28"/>
          <w:lang w:eastAsia="en-US"/>
        </w:rPr>
        <w:t>формулировк</w:t>
      </w:r>
      <w:r>
        <w:rPr>
          <w:rFonts w:ascii="Times New Roman" w:hAnsi="Times New Roman" w:cs="Times New Roman"/>
          <w:spacing w:val="2"/>
          <w:szCs w:val="28"/>
          <w:lang w:eastAsia="en-US"/>
        </w:rPr>
        <w:t>а</w:t>
      </w:r>
      <w:r w:rsidRPr="00DC7714">
        <w:rPr>
          <w:rFonts w:ascii="Times New Roman" w:hAnsi="Times New Roman" w:cs="Times New Roman"/>
          <w:spacing w:val="2"/>
          <w:szCs w:val="28"/>
          <w:lang w:eastAsia="en-US"/>
        </w:rPr>
        <w:t xml:space="preserve"> п</w:t>
      </w:r>
      <w:r w:rsidR="00431D65">
        <w:rPr>
          <w:rFonts w:ascii="Times New Roman" w:hAnsi="Times New Roman" w:cs="Times New Roman"/>
          <w:spacing w:val="2"/>
          <w:szCs w:val="28"/>
          <w:lang w:eastAsia="en-US"/>
        </w:rPr>
        <w:t>.</w:t>
      </w:r>
      <w:r w:rsidRPr="00DC7714">
        <w:rPr>
          <w:rFonts w:ascii="Times New Roman" w:hAnsi="Times New Roman" w:cs="Times New Roman"/>
          <w:spacing w:val="2"/>
          <w:szCs w:val="28"/>
          <w:lang w:eastAsia="en-US"/>
        </w:rPr>
        <w:t xml:space="preserve">5 раздела </w:t>
      </w:r>
      <w:r w:rsidRPr="00DC7714">
        <w:rPr>
          <w:rFonts w:ascii="Times New Roman" w:hAnsi="Times New Roman" w:cs="Times New Roman"/>
          <w:b/>
          <w:bCs/>
          <w:spacing w:val="2"/>
          <w:szCs w:val="28"/>
          <w:lang w:eastAsia="en-US"/>
        </w:rPr>
        <w:t>«Ключевые рейтинговые предположения, предпосылки и допущения»</w:t>
      </w:r>
      <w:r w:rsidRPr="00DC7714">
        <w:rPr>
          <w:rFonts w:ascii="Times New Roman" w:hAnsi="Times New Roman" w:cs="Times New Roman"/>
          <w:spacing w:val="2"/>
          <w:szCs w:val="28"/>
          <w:lang w:eastAsia="en-US"/>
        </w:rPr>
        <w:t>.</w:t>
      </w:r>
    </w:p>
    <w:p w14:paraId="0BA41E0E" w14:textId="77777777" w:rsidR="00DC7714" w:rsidRPr="00DC7714" w:rsidRDefault="00DC7714" w:rsidP="00DC7714">
      <w:pPr>
        <w:pStyle w:val="a4"/>
        <w:rPr>
          <w:rFonts w:ascii="Times New Roman" w:hAnsi="Times New Roman" w:cs="Times New Roman"/>
          <w:spacing w:val="2"/>
          <w:szCs w:val="28"/>
          <w:lang w:eastAsia="en-US"/>
        </w:rPr>
      </w:pPr>
    </w:p>
    <w:p w14:paraId="3221B389" w14:textId="77777777" w:rsidR="00DC7714" w:rsidRPr="00DC7714" w:rsidRDefault="00DC7714" w:rsidP="00DC7714">
      <w:pPr>
        <w:pStyle w:val="a4"/>
        <w:rPr>
          <w:rFonts w:ascii="Times New Roman" w:hAnsi="Times New Roman" w:cs="Times New Roman"/>
          <w:spacing w:val="2"/>
          <w:szCs w:val="28"/>
          <w:lang w:eastAsia="en-US"/>
        </w:rPr>
      </w:pPr>
      <w:r w:rsidRPr="00DC7714">
        <w:rPr>
          <w:rFonts w:ascii="Times New Roman" w:hAnsi="Times New Roman" w:cs="Times New Roman"/>
          <w:spacing w:val="2"/>
          <w:szCs w:val="28"/>
          <w:lang w:eastAsia="en-US"/>
        </w:rPr>
        <w:t>Действующая редакция:</w:t>
      </w:r>
    </w:p>
    <w:p w14:paraId="51F16E4D" w14:textId="77777777" w:rsidR="00DC7714" w:rsidRPr="00DC7714" w:rsidRDefault="00DC7714" w:rsidP="00DC7714">
      <w:pPr>
        <w:pStyle w:val="a4"/>
        <w:rPr>
          <w:rFonts w:ascii="Times New Roman" w:hAnsi="Times New Roman" w:cs="Times New Roman"/>
          <w:spacing w:val="2"/>
          <w:szCs w:val="28"/>
          <w:lang w:eastAsia="en-US"/>
        </w:rPr>
      </w:pPr>
      <w:r w:rsidRPr="00DC7714">
        <w:rPr>
          <w:rFonts w:ascii="Times New Roman" w:hAnsi="Times New Roman" w:cs="Times New Roman"/>
          <w:spacing w:val="2"/>
          <w:szCs w:val="28"/>
          <w:lang w:eastAsia="en-US"/>
        </w:rPr>
        <w:t>Макроэкономическая ситуация относительно стабильна, ее динамика близка к равновесным процессам. В частности, отсутствуют факторы, которые могли бы спровоцировать внезапную гиперинфляцию, массовые банкротства, социальную нестабильность.</w:t>
      </w:r>
    </w:p>
    <w:p w14:paraId="36217084" w14:textId="77777777" w:rsidR="00DC7714" w:rsidRPr="00DC7714" w:rsidRDefault="00DC7714" w:rsidP="00DC7714">
      <w:pPr>
        <w:pStyle w:val="a4"/>
        <w:rPr>
          <w:rFonts w:ascii="Times New Roman" w:hAnsi="Times New Roman" w:cs="Times New Roman"/>
          <w:spacing w:val="2"/>
          <w:szCs w:val="28"/>
          <w:lang w:eastAsia="en-US"/>
        </w:rPr>
      </w:pPr>
    </w:p>
    <w:p w14:paraId="3BE64B0D" w14:textId="77777777" w:rsidR="00DC7714" w:rsidRPr="00DC7714" w:rsidRDefault="00DC7714" w:rsidP="00DC7714">
      <w:pPr>
        <w:pStyle w:val="a4"/>
        <w:rPr>
          <w:rFonts w:ascii="Times New Roman" w:hAnsi="Times New Roman" w:cs="Times New Roman"/>
          <w:spacing w:val="2"/>
          <w:szCs w:val="28"/>
          <w:u w:val="single"/>
          <w:lang w:eastAsia="en-US"/>
        </w:rPr>
      </w:pPr>
      <w:r w:rsidRPr="00DC7714">
        <w:rPr>
          <w:rFonts w:ascii="Times New Roman" w:hAnsi="Times New Roman" w:cs="Times New Roman"/>
          <w:spacing w:val="2"/>
          <w:szCs w:val="28"/>
          <w:u w:val="single"/>
          <w:lang w:eastAsia="en-US"/>
        </w:rPr>
        <w:t>Предлагаемая редакция:</w:t>
      </w:r>
    </w:p>
    <w:p w14:paraId="028DA863" w14:textId="7C9993D1" w:rsidR="00CA3DA2" w:rsidRDefault="00DC7714" w:rsidP="00DC7714">
      <w:pPr>
        <w:pStyle w:val="a4"/>
        <w:rPr>
          <w:rFonts w:ascii="Times New Roman" w:hAnsi="Times New Roman" w:cs="Times New Roman"/>
          <w:spacing w:val="2"/>
          <w:szCs w:val="28"/>
          <w:lang w:eastAsia="en-US"/>
        </w:rPr>
      </w:pPr>
      <w:r w:rsidRPr="00DC7714">
        <w:rPr>
          <w:rFonts w:ascii="Times New Roman" w:hAnsi="Times New Roman" w:cs="Times New Roman"/>
          <w:spacing w:val="2"/>
          <w:szCs w:val="28"/>
          <w:lang w:eastAsia="en-US"/>
        </w:rPr>
        <w:t>Макроэкономическая ситуация характеризуется отсутствием экстремальных факторов, которые могли бы спровоцировать внезапную гиперинфляцию, массовые банкротства, социальную нестабильность</w:t>
      </w:r>
      <w:r>
        <w:rPr>
          <w:rFonts w:ascii="Times New Roman" w:hAnsi="Times New Roman" w:cs="Times New Roman"/>
          <w:spacing w:val="2"/>
          <w:szCs w:val="28"/>
          <w:lang w:eastAsia="en-US"/>
        </w:rPr>
        <w:t>.</w:t>
      </w:r>
    </w:p>
    <w:p w14:paraId="2AC8BCF3" w14:textId="77777777" w:rsidR="00DC7714" w:rsidRPr="00DC7714" w:rsidRDefault="00DC7714" w:rsidP="00DC7714">
      <w:pPr>
        <w:pStyle w:val="a4"/>
        <w:rPr>
          <w:rFonts w:ascii="Times New Roman" w:hAnsi="Times New Roman" w:cs="Times New Roman"/>
        </w:rPr>
      </w:pPr>
    </w:p>
    <w:p w14:paraId="7785CCC9" w14:textId="58690E03" w:rsidR="00DC7714" w:rsidRDefault="00DC7714" w:rsidP="00DC7714">
      <w:pPr>
        <w:pStyle w:val="a4"/>
        <w:numPr>
          <w:ilvl w:val="0"/>
          <w:numId w:val="2"/>
        </w:numPr>
        <w:jc w:val="both"/>
      </w:pPr>
      <w:r>
        <w:t xml:space="preserve">Раздел </w:t>
      </w:r>
      <w:r w:rsidRPr="00DC7714">
        <w:rPr>
          <w:b/>
          <w:bCs/>
        </w:rPr>
        <w:t>«Общие положения»</w:t>
      </w:r>
      <w:r>
        <w:t xml:space="preserve"> </w:t>
      </w:r>
      <w:r w:rsidRPr="00DC7714">
        <w:rPr>
          <w:u w:val="single"/>
        </w:rPr>
        <w:t>дополнен</w:t>
      </w:r>
      <w:r>
        <w:t xml:space="preserve"> формулировками:</w:t>
      </w:r>
    </w:p>
    <w:p w14:paraId="630E23C4" w14:textId="77777777" w:rsidR="00DC7714" w:rsidRDefault="00DC7714" w:rsidP="00DC7714">
      <w:pPr>
        <w:jc w:val="both"/>
      </w:pPr>
    </w:p>
    <w:p w14:paraId="307F1402" w14:textId="77777777" w:rsidR="00DC7714" w:rsidRPr="0091590E" w:rsidRDefault="00DC7714" w:rsidP="00DC7714">
      <w:pPr>
        <w:tabs>
          <w:tab w:val="left" w:pos="0"/>
        </w:tabs>
        <w:ind w:firstLine="709"/>
        <w:jc w:val="both"/>
      </w:pPr>
      <w:r w:rsidRPr="0091590E">
        <w:t>Данная методология должна быть пересмотрена методологическим комитетом в следующих случаях:</w:t>
      </w:r>
    </w:p>
    <w:p w14:paraId="162F6998" w14:textId="77777777" w:rsidR="00DC7714" w:rsidRDefault="00DC7714" w:rsidP="00DC7714">
      <w:pPr>
        <w:jc w:val="both"/>
      </w:pPr>
    </w:p>
    <w:p w14:paraId="33F2B008" w14:textId="77777777" w:rsidR="00DC7714" w:rsidRPr="0059067B" w:rsidRDefault="00DC7714" w:rsidP="00DC7714">
      <w:pPr>
        <w:numPr>
          <w:ilvl w:val="0"/>
          <w:numId w:val="16"/>
        </w:numPr>
        <w:jc w:val="both"/>
      </w:pPr>
      <w:r w:rsidRPr="00F23167">
        <w:t>Истечение 12 месяцев с даты последнего пересмотра настоящей методологии</w:t>
      </w:r>
      <w:r w:rsidRPr="0059067B">
        <w:rPr>
          <w:color w:val="000000"/>
          <w:u w:val="single"/>
        </w:rPr>
        <w:t>, при этом в случае отсутствия необходимости внесения изменений, методология может быть переутверждена в действующей на момент пересмотра редакции</w:t>
      </w:r>
      <w:r w:rsidRPr="0059067B">
        <w:rPr>
          <w:u w:val="single"/>
        </w:rPr>
        <w:t>.</w:t>
      </w:r>
    </w:p>
    <w:p w14:paraId="0057E526" w14:textId="77777777" w:rsidR="00DC7714" w:rsidRPr="0093351E" w:rsidRDefault="00DC7714" w:rsidP="00DC7714">
      <w:pPr>
        <w:numPr>
          <w:ilvl w:val="0"/>
          <w:numId w:val="16"/>
        </w:numPr>
        <w:jc w:val="both"/>
        <w:rPr>
          <w:u w:val="single"/>
        </w:rPr>
      </w:pPr>
      <w:bookmarkStart w:id="0" w:name="_Hlk161780178"/>
      <w:r w:rsidRPr="0093351E">
        <w:rPr>
          <w:u w:val="single"/>
        </w:rPr>
        <w:t>Выявление оснований для пересмотра настоящей методологии по результатам проверки качества методологии, проводимой в соответствии c главами 2 и 3 Указания Банка России №6583-У от 23.10.23 «O требованиях к содержанию положений, указанных в части 7 статьи 12 Федерального закона «О Центральном банке Российской Федерации (Банке России)» и признании утратившими силу отдельных положений законодательных актов Российской Федерации, случаях, периодичности, сроках проведения кредитным рейтинговым агентством проверки качества методологии, требованиях к ее проведению, а также форме, порядках, сроках направления кредитным рейтинговым агентством в Банк России отчета по итогам проверки качества методологии, порядке оценки Банком России методологии кредитного рейтингового агентства на предмет соответствия законодательству Российской Федерации и нормативным актам банка России»</w:t>
      </w:r>
      <w:bookmarkEnd w:id="0"/>
      <w:r w:rsidRPr="0093351E">
        <w:rPr>
          <w:u w:val="single"/>
        </w:rPr>
        <w:t>.</w:t>
      </w:r>
    </w:p>
    <w:p w14:paraId="46FE85CC" w14:textId="77777777" w:rsidR="00DC7714" w:rsidRDefault="00DC7714" w:rsidP="00DC7714">
      <w:pPr>
        <w:ind w:left="360"/>
        <w:jc w:val="both"/>
      </w:pPr>
    </w:p>
    <w:p w14:paraId="2D5FB648" w14:textId="1CBBC827" w:rsidR="00DC7714" w:rsidRPr="005C0145" w:rsidRDefault="00DC7714" w:rsidP="00DC7714">
      <w:pPr>
        <w:ind w:left="360"/>
        <w:jc w:val="both"/>
      </w:pPr>
      <w:r w:rsidRPr="00653655">
        <w:t xml:space="preserve">Данная методология предусматривает непрерывность ее применения в рамках рейтинговой деятельности. </w:t>
      </w:r>
      <w:r w:rsidRPr="00B245A7">
        <w:rPr>
          <w:color w:val="000000"/>
          <w:u w:val="single"/>
        </w:rPr>
        <w:t xml:space="preserve">Применение настоящей методологии в отношении объекта рейтинга с учетом макроэкономических циклов, кризисных явлений в экономике, а также макроэкономических допущений, приведенных в разделе «Ключевые рейтинговые предположения, предпосылки и допущения», осуществляется посредством предусмотренных аналитических корректировок факторов методологии, в том числе в виде стресс-тестирования отдельных показателей/факторов рейтинговой модели, а также применения стресс-факторов, </w:t>
      </w:r>
      <w:proofErr w:type="spellStart"/>
      <w:r w:rsidRPr="00B245A7">
        <w:rPr>
          <w:color w:val="000000"/>
          <w:u w:val="single"/>
        </w:rPr>
        <w:t>реклассификации</w:t>
      </w:r>
      <w:proofErr w:type="spellEnd"/>
      <w:r w:rsidRPr="00B245A7">
        <w:rPr>
          <w:color w:val="000000"/>
          <w:u w:val="single"/>
        </w:rPr>
        <w:t xml:space="preserve"> отдельных статей отчетности и иными доступными методами.</w:t>
      </w:r>
      <w:r w:rsidRPr="00653655">
        <w:t xml:space="preserve"> «Эксперт РА» </w:t>
      </w:r>
      <w:r>
        <w:t xml:space="preserve">непрерывно </w:t>
      </w:r>
      <w:r w:rsidRPr="00653655">
        <w:t>проводит мониторинг присвоенных рейтингов на основе данной методологии</w:t>
      </w:r>
      <w:r w:rsidRPr="00B245A7">
        <w:rPr>
          <w:color w:val="000000"/>
          <w:u w:val="single"/>
        </w:rPr>
        <w:t>,</w:t>
      </w:r>
      <w:r w:rsidRPr="00B245A7">
        <w:rPr>
          <w:u w:val="single"/>
        </w:rPr>
        <w:t xml:space="preserve"> </w:t>
      </w:r>
      <w:r w:rsidRPr="00B245A7">
        <w:rPr>
          <w:color w:val="000000"/>
          <w:u w:val="single"/>
        </w:rPr>
        <w:t xml:space="preserve">в том числе учитывая влияние </w:t>
      </w:r>
      <w:r w:rsidRPr="00B245A7">
        <w:rPr>
          <w:color w:val="000000"/>
          <w:u w:val="single"/>
        </w:rPr>
        <w:lastRenderedPageBreak/>
        <w:t>на кредитоспособность объекта рейтинга изменяющихся макроэкономических условий</w:t>
      </w:r>
      <w:r w:rsidRPr="001007BF">
        <w:rPr>
          <w:color w:val="000000"/>
          <w:u w:val="single"/>
        </w:rPr>
        <w:t>, рыночной и регуляторной среды</w:t>
      </w:r>
      <w:r w:rsidRPr="00653655">
        <w:t xml:space="preserve">. </w:t>
      </w:r>
      <w:r w:rsidRPr="00321281">
        <w:t xml:space="preserve">Настоящая методология применяется на постоянной основе до утверждения методологическим комитетом </w:t>
      </w:r>
      <w:r>
        <w:t xml:space="preserve">ее </w:t>
      </w:r>
      <w:r w:rsidRPr="00653655">
        <w:t xml:space="preserve">новой </w:t>
      </w:r>
      <w:r>
        <w:t>редакции</w:t>
      </w:r>
      <w:r w:rsidRPr="00653655">
        <w:t>.</w:t>
      </w:r>
    </w:p>
    <w:p w14:paraId="0DDA1AFD" w14:textId="3641040E" w:rsidR="0003298A" w:rsidRDefault="0003298A" w:rsidP="0093351E">
      <w:pPr>
        <w:rPr>
          <w:rFonts w:cs="Times New Roman"/>
        </w:rPr>
      </w:pPr>
    </w:p>
    <w:p w14:paraId="047004FA" w14:textId="5396D3B6" w:rsidR="0093351E" w:rsidRDefault="0093351E" w:rsidP="0093351E">
      <w:pPr>
        <w:pStyle w:val="a4"/>
        <w:numPr>
          <w:ilvl w:val="0"/>
          <w:numId w:val="2"/>
        </w:numPr>
      </w:pPr>
      <w:r>
        <w:t>Раздел</w:t>
      </w:r>
      <w:r w:rsidRPr="006D1474">
        <w:tab/>
      </w:r>
      <w:r w:rsidRPr="0093351E">
        <w:rPr>
          <w:b/>
          <w:bCs/>
        </w:rPr>
        <w:t>«Определение прогноза по рейтингу кредитоспособности»</w:t>
      </w:r>
      <w:r>
        <w:t xml:space="preserve"> дополнен </w:t>
      </w:r>
      <w:r w:rsidRPr="006D1474">
        <w:t>присвоение</w:t>
      </w:r>
      <w:r>
        <w:t>м</w:t>
      </w:r>
      <w:r w:rsidRPr="006D1474">
        <w:t xml:space="preserve"> статуса «Рейтинг под наблюдением»</w:t>
      </w:r>
      <w:r>
        <w:t>, обновлено название раздела:</w:t>
      </w:r>
    </w:p>
    <w:p w14:paraId="587BA663" w14:textId="77777777" w:rsidR="0093351E" w:rsidRDefault="0093351E" w:rsidP="0093351E"/>
    <w:p w14:paraId="1AAB0D51" w14:textId="77777777" w:rsidR="0093351E" w:rsidRPr="00E27EF0" w:rsidRDefault="0093351E" w:rsidP="0093351E">
      <w:pPr>
        <w:ind w:firstLine="709"/>
        <w:rPr>
          <w:b/>
          <w:bCs/>
        </w:rPr>
      </w:pPr>
      <w:bookmarkStart w:id="1" w:name="_Hlk161784419"/>
      <w:r w:rsidRPr="00E27EF0">
        <w:rPr>
          <w:b/>
          <w:bCs/>
        </w:rPr>
        <w:t>Присвоение статуса «под наблюдением»</w:t>
      </w:r>
    </w:p>
    <w:p w14:paraId="2F2A9EBD" w14:textId="77777777" w:rsidR="0093351E" w:rsidRPr="00E27EF0" w:rsidRDefault="0093351E" w:rsidP="0093351E">
      <w:pPr>
        <w:ind w:firstLine="709"/>
      </w:pPr>
      <w:r w:rsidRPr="00E27EF0">
        <w:t>Опираясь на методологию, «Эксперт РА» может устанавливать, продлевать или снимать статус «под наблюдением», который означает мнение Агентства относительно высокой вероятности совершения рейтингового действия в отношении объекта рейтинга в течение ближайших месяцев.</w:t>
      </w:r>
    </w:p>
    <w:p w14:paraId="5309039F" w14:textId="77777777" w:rsidR="003F77F8" w:rsidRDefault="0093351E" w:rsidP="003F77F8">
      <w:pPr>
        <w:ind w:firstLine="709"/>
      </w:pPr>
      <w:r w:rsidRPr="00E27EF0">
        <w:t xml:space="preserve"> Присвоение кредитному рейтингу статуса «под наблюдением» связано с событиями, которые существенно влияют или могут существенно повлиять в будущем на уровень </w:t>
      </w:r>
      <w:r>
        <w:t xml:space="preserve">кредитоспособности </w:t>
      </w:r>
      <w:r w:rsidRPr="00E27EF0">
        <w:t xml:space="preserve">объекта рейтинга, при этом «Эксперт РА» ожидает дополнительной информации для принятия решения по кредитному рейтингу. В случае, если в течение 3 месяцев после присвоения статуса «под наблюдением» высокая вероятность реализации событий, которые существенно влияют или могут существенно повлиять на </w:t>
      </w:r>
      <w:r>
        <w:t xml:space="preserve">кредитоспособность </w:t>
      </w:r>
      <w:r w:rsidRPr="00E27EF0">
        <w:t>объекта рейтинга, сохраняется и рейтинговому агентству все также необходима дополнительная информация для принятия решения по кредитному рейтингу, «Эксперт РА» продлевает действие статуса «под наблюдением». Агентство может установить по кредитному рейтингу статус «под наблюдением», а также продлить действие статуса «под наблюдением» или снять его без осуществления пересмотра или подтверждения кредитного рейтинга и (или) прогноза. Если «Эксперт РА» становится известна необходимая для принятия решения информация, и при этом неопределенность относительно факторов, существенно влияющих на уровень</w:t>
      </w:r>
      <w:r>
        <w:t xml:space="preserve"> кредитоспособности </w:t>
      </w:r>
      <w:r w:rsidRPr="00E27EF0">
        <w:t xml:space="preserve">или способных существенно повлиять в будущем, исчерпана, рейтинговое агентство снимает статус «под наблюдением». </w:t>
      </w:r>
    </w:p>
    <w:p w14:paraId="774552D7" w14:textId="64740C4E" w:rsidR="0093351E" w:rsidRPr="0093351E" w:rsidRDefault="0093351E" w:rsidP="003F77F8">
      <w:pPr>
        <w:ind w:firstLine="709"/>
        <w:rPr>
          <w:rFonts w:cs="Times New Roman"/>
        </w:rPr>
      </w:pPr>
      <w:r w:rsidRPr="00E27EF0">
        <w:t>Период действия статуса «под наблюдением» не может быть единовременно установлен на срок более 3 месяцев. Общий период непрерывного нахождения рейтинга в статусе «под наблюдением» без осуществления пересмотра или подтверждения кредитного рейтинга и (или) прогноза не может превышать 9 месяцев.</w:t>
      </w:r>
      <w:bookmarkEnd w:id="1"/>
    </w:p>
    <w:p w14:paraId="006C0E3E" w14:textId="77777777" w:rsidR="003F77F8" w:rsidRDefault="003F77F8" w:rsidP="003F77F8">
      <w:pPr>
        <w:pStyle w:val="a4"/>
        <w:autoSpaceDE w:val="0"/>
        <w:autoSpaceDN w:val="0"/>
        <w:adjustRightInd w:val="0"/>
        <w:jc w:val="both"/>
        <w:rPr>
          <w:rFonts w:cs="Times New Roman"/>
        </w:rPr>
      </w:pPr>
    </w:p>
    <w:p w14:paraId="38025C6A" w14:textId="328BA10A" w:rsidR="007F78A1" w:rsidRPr="005F09C4" w:rsidRDefault="003F2AFC" w:rsidP="007F78A1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Times New Roman"/>
        </w:rPr>
      </w:pPr>
      <w:r w:rsidRPr="00F07ABF">
        <w:rPr>
          <w:rFonts w:cs="Times New Roman"/>
        </w:rPr>
        <w:t>Реализованы технические правки.</w:t>
      </w:r>
    </w:p>
    <w:sectPr w:rsidR="007F78A1" w:rsidRPr="005F09C4" w:rsidSect="00797929">
      <w:headerReference w:type="default" r:id="rId8"/>
      <w:footerReference w:type="default" r:id="rId9"/>
      <w:footerReference w:type="first" r:id="rId10"/>
      <w:pgSz w:w="11906" w:h="16838" w:code="9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B6CD" w14:textId="77777777" w:rsidR="00A42E16" w:rsidRDefault="00A42E16" w:rsidP="00F63D78">
      <w:r>
        <w:separator/>
      </w:r>
    </w:p>
  </w:endnote>
  <w:endnote w:type="continuationSeparator" w:id="0">
    <w:p w14:paraId="3CF32BCD" w14:textId="77777777" w:rsidR="00A42E16" w:rsidRDefault="00A42E16" w:rsidP="00F6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136357"/>
      <w:docPartObj>
        <w:docPartGallery w:val="Page Numbers (Bottom of Page)"/>
        <w:docPartUnique/>
      </w:docPartObj>
    </w:sdtPr>
    <w:sdtEndPr/>
    <w:sdtContent>
      <w:p w14:paraId="71728C86" w14:textId="77777777" w:rsidR="00120415" w:rsidRDefault="001204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85DC6D" w14:textId="77777777" w:rsidR="00120415" w:rsidRDefault="001204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184049"/>
      <w:docPartObj>
        <w:docPartGallery w:val="Page Numbers (Bottom of Page)"/>
        <w:docPartUnique/>
      </w:docPartObj>
    </w:sdtPr>
    <w:sdtEndPr/>
    <w:sdtContent>
      <w:p w14:paraId="0D625BEA" w14:textId="77777777" w:rsidR="00006380" w:rsidRDefault="000063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CCC98" w14:textId="77777777" w:rsidR="00006380" w:rsidRDefault="000063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E8F3" w14:textId="77777777" w:rsidR="00A42E16" w:rsidRDefault="00A42E16" w:rsidP="00F63D78">
      <w:r>
        <w:separator/>
      </w:r>
    </w:p>
  </w:footnote>
  <w:footnote w:type="continuationSeparator" w:id="0">
    <w:p w14:paraId="7C18390A" w14:textId="77777777" w:rsidR="00A42E16" w:rsidRDefault="00A42E16" w:rsidP="00F6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569D" w14:textId="77777777" w:rsidR="009373A7" w:rsidRDefault="005F09C4" w:rsidP="008A2EB4">
    <w:pPr>
      <w:pStyle w:val="a6"/>
      <w:ind w:left="-993" w:firstLine="993"/>
      <w:rPr>
        <w:lang w:val="en-US"/>
      </w:rPr>
    </w:pPr>
  </w:p>
  <w:p w14:paraId="3F6E956F" w14:textId="77777777" w:rsidR="00CB45C5" w:rsidRPr="00CB45C5" w:rsidRDefault="005F09C4" w:rsidP="006B2042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A01F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83F21"/>
    <w:multiLevelType w:val="multilevel"/>
    <w:tmpl w:val="EFEE1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526DAF"/>
    <w:multiLevelType w:val="hybridMultilevel"/>
    <w:tmpl w:val="4B50D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127E2"/>
    <w:multiLevelType w:val="hybridMultilevel"/>
    <w:tmpl w:val="9348D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E58B4"/>
    <w:multiLevelType w:val="hybridMultilevel"/>
    <w:tmpl w:val="3578B154"/>
    <w:lvl w:ilvl="0" w:tplc="5A6EC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6545C"/>
    <w:multiLevelType w:val="hybridMultilevel"/>
    <w:tmpl w:val="3DFAF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AD1EC1"/>
    <w:multiLevelType w:val="hybridMultilevel"/>
    <w:tmpl w:val="01B49DA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D6921AC"/>
    <w:multiLevelType w:val="hybridMultilevel"/>
    <w:tmpl w:val="04B28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992504"/>
    <w:multiLevelType w:val="hybridMultilevel"/>
    <w:tmpl w:val="AD32E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B05CC1"/>
    <w:multiLevelType w:val="multilevel"/>
    <w:tmpl w:val="38D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9C3A7E"/>
    <w:multiLevelType w:val="hybridMultilevel"/>
    <w:tmpl w:val="4C32886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4295D82"/>
    <w:multiLevelType w:val="hybridMultilevel"/>
    <w:tmpl w:val="EAC4F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90445B"/>
    <w:multiLevelType w:val="hybridMultilevel"/>
    <w:tmpl w:val="B24240A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FD6E5C"/>
    <w:multiLevelType w:val="hybridMultilevel"/>
    <w:tmpl w:val="626422FA"/>
    <w:lvl w:ilvl="0" w:tplc="5A6EC6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0013A"/>
    <w:multiLevelType w:val="hybridMultilevel"/>
    <w:tmpl w:val="7A7A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5F2EB4"/>
    <w:multiLevelType w:val="hybridMultilevel"/>
    <w:tmpl w:val="C972996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3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3"/>
    <w:rsid w:val="00006380"/>
    <w:rsid w:val="00030097"/>
    <w:rsid w:val="00032264"/>
    <w:rsid w:val="0003298A"/>
    <w:rsid w:val="00043494"/>
    <w:rsid w:val="00084E65"/>
    <w:rsid w:val="000A09B4"/>
    <w:rsid w:val="000A2697"/>
    <w:rsid w:val="000A3C71"/>
    <w:rsid w:val="000A6955"/>
    <w:rsid w:val="000B4D25"/>
    <w:rsid w:val="000B7E32"/>
    <w:rsid w:val="000D0DBC"/>
    <w:rsid w:val="000D7800"/>
    <w:rsid w:val="000E5FB4"/>
    <w:rsid w:val="000E7636"/>
    <w:rsid w:val="000F72C7"/>
    <w:rsid w:val="00120415"/>
    <w:rsid w:val="00121725"/>
    <w:rsid w:val="00122F12"/>
    <w:rsid w:val="00123B44"/>
    <w:rsid w:val="00123F81"/>
    <w:rsid w:val="00133AC8"/>
    <w:rsid w:val="00136CBB"/>
    <w:rsid w:val="00171161"/>
    <w:rsid w:val="00174448"/>
    <w:rsid w:val="00177ECD"/>
    <w:rsid w:val="00180B34"/>
    <w:rsid w:val="00181D3C"/>
    <w:rsid w:val="0018237F"/>
    <w:rsid w:val="00184E28"/>
    <w:rsid w:val="0019007A"/>
    <w:rsid w:val="001A3E60"/>
    <w:rsid w:val="001B36E2"/>
    <w:rsid w:val="001C0B60"/>
    <w:rsid w:val="001C1793"/>
    <w:rsid w:val="001C380D"/>
    <w:rsid w:val="001C4126"/>
    <w:rsid w:val="001D4793"/>
    <w:rsid w:val="001E538F"/>
    <w:rsid w:val="001F0302"/>
    <w:rsid w:val="001F2357"/>
    <w:rsid w:val="002334C3"/>
    <w:rsid w:val="00234845"/>
    <w:rsid w:val="0023727E"/>
    <w:rsid w:val="002634D3"/>
    <w:rsid w:val="00286866"/>
    <w:rsid w:val="00292257"/>
    <w:rsid w:val="002943D0"/>
    <w:rsid w:val="002948A6"/>
    <w:rsid w:val="002A7E0E"/>
    <w:rsid w:val="002B214E"/>
    <w:rsid w:val="002C643C"/>
    <w:rsid w:val="002D0101"/>
    <w:rsid w:val="002E405A"/>
    <w:rsid w:val="002F5D68"/>
    <w:rsid w:val="00315118"/>
    <w:rsid w:val="00324EE4"/>
    <w:rsid w:val="003723B3"/>
    <w:rsid w:val="00375C24"/>
    <w:rsid w:val="00377C33"/>
    <w:rsid w:val="00380ABB"/>
    <w:rsid w:val="0038429C"/>
    <w:rsid w:val="003857BA"/>
    <w:rsid w:val="00390797"/>
    <w:rsid w:val="003C3D2A"/>
    <w:rsid w:val="003D03AA"/>
    <w:rsid w:val="003D1821"/>
    <w:rsid w:val="003D4D2F"/>
    <w:rsid w:val="003D6110"/>
    <w:rsid w:val="003E250E"/>
    <w:rsid w:val="003F2AFC"/>
    <w:rsid w:val="003F77F8"/>
    <w:rsid w:val="00403458"/>
    <w:rsid w:val="004077C3"/>
    <w:rsid w:val="00411A2D"/>
    <w:rsid w:val="004219D3"/>
    <w:rsid w:val="00426A86"/>
    <w:rsid w:val="00431D65"/>
    <w:rsid w:val="004370A9"/>
    <w:rsid w:val="00444AF8"/>
    <w:rsid w:val="00444C89"/>
    <w:rsid w:val="0044566F"/>
    <w:rsid w:val="00453DCE"/>
    <w:rsid w:val="00472F0A"/>
    <w:rsid w:val="00480096"/>
    <w:rsid w:val="00483B04"/>
    <w:rsid w:val="00493581"/>
    <w:rsid w:val="004965A3"/>
    <w:rsid w:val="004A0E3C"/>
    <w:rsid w:val="004A0FC1"/>
    <w:rsid w:val="004B03A7"/>
    <w:rsid w:val="004B0676"/>
    <w:rsid w:val="004B5FDE"/>
    <w:rsid w:val="004D2C0F"/>
    <w:rsid w:val="004D41EF"/>
    <w:rsid w:val="004E0236"/>
    <w:rsid w:val="004E3A06"/>
    <w:rsid w:val="004E79EE"/>
    <w:rsid w:val="004F0A1B"/>
    <w:rsid w:val="004F210C"/>
    <w:rsid w:val="005241AA"/>
    <w:rsid w:val="00524F59"/>
    <w:rsid w:val="00532A17"/>
    <w:rsid w:val="00542FF7"/>
    <w:rsid w:val="00553A3D"/>
    <w:rsid w:val="00560D26"/>
    <w:rsid w:val="00567C97"/>
    <w:rsid w:val="00580D51"/>
    <w:rsid w:val="00584851"/>
    <w:rsid w:val="005A1033"/>
    <w:rsid w:val="005A5D68"/>
    <w:rsid w:val="005A6B20"/>
    <w:rsid w:val="005B0CDC"/>
    <w:rsid w:val="005E0722"/>
    <w:rsid w:val="005E58A3"/>
    <w:rsid w:val="005F09C4"/>
    <w:rsid w:val="00600960"/>
    <w:rsid w:val="00604FD9"/>
    <w:rsid w:val="0061426B"/>
    <w:rsid w:val="00614F98"/>
    <w:rsid w:val="00617BA7"/>
    <w:rsid w:val="00622631"/>
    <w:rsid w:val="00635847"/>
    <w:rsid w:val="0064663F"/>
    <w:rsid w:val="00655577"/>
    <w:rsid w:val="00656B77"/>
    <w:rsid w:val="0067322A"/>
    <w:rsid w:val="0067490C"/>
    <w:rsid w:val="00675AE6"/>
    <w:rsid w:val="006776D2"/>
    <w:rsid w:val="00692F37"/>
    <w:rsid w:val="006A526F"/>
    <w:rsid w:val="006B594D"/>
    <w:rsid w:val="006D00B1"/>
    <w:rsid w:val="006D1F46"/>
    <w:rsid w:val="006D3E46"/>
    <w:rsid w:val="006D403C"/>
    <w:rsid w:val="006E13FE"/>
    <w:rsid w:val="007141E5"/>
    <w:rsid w:val="00717EA1"/>
    <w:rsid w:val="00720BB3"/>
    <w:rsid w:val="00724817"/>
    <w:rsid w:val="007248CA"/>
    <w:rsid w:val="0074184C"/>
    <w:rsid w:val="0075087C"/>
    <w:rsid w:val="00756DAC"/>
    <w:rsid w:val="0076358C"/>
    <w:rsid w:val="00764BDD"/>
    <w:rsid w:val="00780E43"/>
    <w:rsid w:val="007835A2"/>
    <w:rsid w:val="00783D9A"/>
    <w:rsid w:val="0078718F"/>
    <w:rsid w:val="007874C4"/>
    <w:rsid w:val="00797929"/>
    <w:rsid w:val="00797C7F"/>
    <w:rsid w:val="007A5FE7"/>
    <w:rsid w:val="007B0119"/>
    <w:rsid w:val="007B5545"/>
    <w:rsid w:val="007D13C3"/>
    <w:rsid w:val="007D39B0"/>
    <w:rsid w:val="007E4DB5"/>
    <w:rsid w:val="007E7867"/>
    <w:rsid w:val="007F050A"/>
    <w:rsid w:val="007F3E53"/>
    <w:rsid w:val="007F78A1"/>
    <w:rsid w:val="007F7F3D"/>
    <w:rsid w:val="008020F3"/>
    <w:rsid w:val="0083263C"/>
    <w:rsid w:val="00837E4B"/>
    <w:rsid w:val="00842221"/>
    <w:rsid w:val="008550B1"/>
    <w:rsid w:val="00874EE0"/>
    <w:rsid w:val="008771CB"/>
    <w:rsid w:val="00882665"/>
    <w:rsid w:val="00891E53"/>
    <w:rsid w:val="0089282C"/>
    <w:rsid w:val="00896AD6"/>
    <w:rsid w:val="008972DE"/>
    <w:rsid w:val="008A0507"/>
    <w:rsid w:val="008A2D05"/>
    <w:rsid w:val="008A35E1"/>
    <w:rsid w:val="008B6323"/>
    <w:rsid w:val="008C1517"/>
    <w:rsid w:val="008C3068"/>
    <w:rsid w:val="008D07C6"/>
    <w:rsid w:val="008D5CBF"/>
    <w:rsid w:val="008E086B"/>
    <w:rsid w:val="008F7906"/>
    <w:rsid w:val="00904B86"/>
    <w:rsid w:val="009213E5"/>
    <w:rsid w:val="00922D50"/>
    <w:rsid w:val="00930FCA"/>
    <w:rsid w:val="0093351E"/>
    <w:rsid w:val="009428B9"/>
    <w:rsid w:val="00951343"/>
    <w:rsid w:val="00956409"/>
    <w:rsid w:val="00962245"/>
    <w:rsid w:val="00962FA7"/>
    <w:rsid w:val="00967AC3"/>
    <w:rsid w:val="009746A9"/>
    <w:rsid w:val="00975843"/>
    <w:rsid w:val="009760D0"/>
    <w:rsid w:val="00984A4A"/>
    <w:rsid w:val="00994BDC"/>
    <w:rsid w:val="009A346D"/>
    <w:rsid w:val="009B3186"/>
    <w:rsid w:val="009C3C93"/>
    <w:rsid w:val="009C539E"/>
    <w:rsid w:val="009D0F67"/>
    <w:rsid w:val="009D2D16"/>
    <w:rsid w:val="009D7B50"/>
    <w:rsid w:val="009F1BCB"/>
    <w:rsid w:val="009F48BC"/>
    <w:rsid w:val="00A04B43"/>
    <w:rsid w:val="00A17635"/>
    <w:rsid w:val="00A24CC1"/>
    <w:rsid w:val="00A356A8"/>
    <w:rsid w:val="00A40F3E"/>
    <w:rsid w:val="00A42C1F"/>
    <w:rsid w:val="00A42E16"/>
    <w:rsid w:val="00A61A24"/>
    <w:rsid w:val="00A61AA1"/>
    <w:rsid w:val="00A61F36"/>
    <w:rsid w:val="00A6249D"/>
    <w:rsid w:val="00A63CBF"/>
    <w:rsid w:val="00A704DF"/>
    <w:rsid w:val="00A73EA3"/>
    <w:rsid w:val="00A75304"/>
    <w:rsid w:val="00A83565"/>
    <w:rsid w:val="00A86D02"/>
    <w:rsid w:val="00A90008"/>
    <w:rsid w:val="00AB2489"/>
    <w:rsid w:val="00AC17B8"/>
    <w:rsid w:val="00AD0CFE"/>
    <w:rsid w:val="00AD1A57"/>
    <w:rsid w:val="00AD5C7E"/>
    <w:rsid w:val="00AD5E87"/>
    <w:rsid w:val="00AE3B28"/>
    <w:rsid w:val="00B00FB2"/>
    <w:rsid w:val="00B06E50"/>
    <w:rsid w:val="00B23DED"/>
    <w:rsid w:val="00B24343"/>
    <w:rsid w:val="00B5454F"/>
    <w:rsid w:val="00B62E7F"/>
    <w:rsid w:val="00B644B3"/>
    <w:rsid w:val="00B72C91"/>
    <w:rsid w:val="00B73357"/>
    <w:rsid w:val="00B766F4"/>
    <w:rsid w:val="00B82D08"/>
    <w:rsid w:val="00B83AC5"/>
    <w:rsid w:val="00B93827"/>
    <w:rsid w:val="00B94EB3"/>
    <w:rsid w:val="00BA5DD6"/>
    <w:rsid w:val="00BC5CDD"/>
    <w:rsid w:val="00BD685B"/>
    <w:rsid w:val="00BE292C"/>
    <w:rsid w:val="00BE332F"/>
    <w:rsid w:val="00BE63A4"/>
    <w:rsid w:val="00C03AC6"/>
    <w:rsid w:val="00C06C78"/>
    <w:rsid w:val="00C17CAA"/>
    <w:rsid w:val="00C31DDA"/>
    <w:rsid w:val="00C44810"/>
    <w:rsid w:val="00C46F25"/>
    <w:rsid w:val="00C5252B"/>
    <w:rsid w:val="00C53518"/>
    <w:rsid w:val="00C5792C"/>
    <w:rsid w:val="00C66C38"/>
    <w:rsid w:val="00C76094"/>
    <w:rsid w:val="00CA3198"/>
    <w:rsid w:val="00CA3DA2"/>
    <w:rsid w:val="00CA4A3B"/>
    <w:rsid w:val="00CA565B"/>
    <w:rsid w:val="00CD1945"/>
    <w:rsid w:val="00CF5261"/>
    <w:rsid w:val="00D254CE"/>
    <w:rsid w:val="00D27818"/>
    <w:rsid w:val="00D3225A"/>
    <w:rsid w:val="00D33716"/>
    <w:rsid w:val="00D4288D"/>
    <w:rsid w:val="00D5446D"/>
    <w:rsid w:val="00D54947"/>
    <w:rsid w:val="00D6026E"/>
    <w:rsid w:val="00D8549F"/>
    <w:rsid w:val="00DA1459"/>
    <w:rsid w:val="00DA1A27"/>
    <w:rsid w:val="00DC132A"/>
    <w:rsid w:val="00DC7714"/>
    <w:rsid w:val="00DD08AA"/>
    <w:rsid w:val="00DD0C86"/>
    <w:rsid w:val="00DD16BF"/>
    <w:rsid w:val="00DD47FF"/>
    <w:rsid w:val="00DE7362"/>
    <w:rsid w:val="00DF3956"/>
    <w:rsid w:val="00E00A6C"/>
    <w:rsid w:val="00E13C7F"/>
    <w:rsid w:val="00E2343D"/>
    <w:rsid w:val="00E32EA8"/>
    <w:rsid w:val="00E36D8F"/>
    <w:rsid w:val="00E46E95"/>
    <w:rsid w:val="00E51DB9"/>
    <w:rsid w:val="00E71B7D"/>
    <w:rsid w:val="00E71E5E"/>
    <w:rsid w:val="00EA0476"/>
    <w:rsid w:val="00EB44B8"/>
    <w:rsid w:val="00EC1D71"/>
    <w:rsid w:val="00EC6C0A"/>
    <w:rsid w:val="00EE4056"/>
    <w:rsid w:val="00EF5261"/>
    <w:rsid w:val="00EF655C"/>
    <w:rsid w:val="00F07ABF"/>
    <w:rsid w:val="00F10E7F"/>
    <w:rsid w:val="00F24DCB"/>
    <w:rsid w:val="00F264A2"/>
    <w:rsid w:val="00F273C5"/>
    <w:rsid w:val="00F35604"/>
    <w:rsid w:val="00F57D52"/>
    <w:rsid w:val="00F63D78"/>
    <w:rsid w:val="00F676C4"/>
    <w:rsid w:val="00F86526"/>
    <w:rsid w:val="00F86D1C"/>
    <w:rsid w:val="00F91082"/>
    <w:rsid w:val="00FA3884"/>
    <w:rsid w:val="00FA5DB2"/>
    <w:rsid w:val="00FC1EDF"/>
    <w:rsid w:val="00FC5202"/>
    <w:rsid w:val="00FC7989"/>
    <w:rsid w:val="00FD5B7E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F674FD"/>
  <w15:chartTrackingRefBased/>
  <w15:docId w15:val="{8D2363C5-75F7-4F71-8C39-63CB6216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E58A3"/>
    <w:rPr>
      <w:rFonts w:eastAsia="Calibri" w:cs="Calibri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D00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qFormat/>
    <w:rsid w:val="00123F81"/>
    <w:pPr>
      <w:keepNext/>
      <w:autoSpaceDE w:val="0"/>
      <w:autoSpaceDN w:val="0"/>
      <w:spacing w:before="240" w:after="60"/>
      <w:outlineLvl w:val="2"/>
    </w:pPr>
    <w:rPr>
      <w:rFonts w:ascii="Times New Roman" w:eastAsia="Times New Roman" w:hAnsi="Times New Roman" w:cs="Arial"/>
      <w:b/>
      <w:sz w:val="26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254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67A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967AC3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63D78"/>
  </w:style>
  <w:style w:type="paragraph" w:styleId="a8">
    <w:name w:val="footer"/>
    <w:basedOn w:val="a0"/>
    <w:link w:val="a9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63D78"/>
  </w:style>
  <w:style w:type="paragraph" w:customStyle="1" w:styleId="RAEXdefault">
    <w:name w:val="RAEX default"/>
    <w:basedOn w:val="a0"/>
    <w:next w:val="a0"/>
    <w:link w:val="RAEXdefault0"/>
    <w:qFormat/>
    <w:rsid w:val="00617BA7"/>
    <w:pPr>
      <w:contextualSpacing/>
      <w:jc w:val="both"/>
    </w:pPr>
    <w:rPr>
      <w:rFonts w:ascii="Times New Roman" w:hAnsi="Times New Roman"/>
      <w:lang w:val="en-US"/>
    </w:rPr>
  </w:style>
  <w:style w:type="character" w:customStyle="1" w:styleId="RAEXdefault0">
    <w:name w:val="RAEX default Знак"/>
    <w:basedOn w:val="a1"/>
    <w:link w:val="RAEXdefault"/>
    <w:rsid w:val="00617BA7"/>
    <w:rPr>
      <w:rFonts w:ascii="Times New Roman" w:hAnsi="Times New Roman"/>
      <w:lang w:val="en-US"/>
    </w:rPr>
  </w:style>
  <w:style w:type="paragraph" w:styleId="aa">
    <w:name w:val="footnote text"/>
    <w:basedOn w:val="a0"/>
    <w:link w:val="ab"/>
    <w:uiPriority w:val="99"/>
    <w:unhideWhenUsed/>
    <w:rsid w:val="00797929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7979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unhideWhenUsed/>
    <w:rsid w:val="00797929"/>
    <w:rPr>
      <w:vertAlign w:val="superscript"/>
    </w:rPr>
  </w:style>
  <w:style w:type="paragraph" w:styleId="ad">
    <w:name w:val="Balloon Text"/>
    <w:basedOn w:val="a0"/>
    <w:link w:val="ae"/>
    <w:uiPriority w:val="99"/>
    <w:semiHidden/>
    <w:unhideWhenUsed/>
    <w:rsid w:val="00A42C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A42C1F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efault">
    <w:name w:val="Default"/>
    <w:rsid w:val="00234845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</w:rPr>
  </w:style>
  <w:style w:type="table" w:styleId="af">
    <w:name w:val="Table Grid"/>
    <w:basedOn w:val="a2"/>
    <w:uiPriority w:val="39"/>
    <w:rsid w:val="00C3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0"/>
    <w:next w:val="a0"/>
    <w:uiPriority w:val="35"/>
    <w:unhideWhenUsed/>
    <w:qFormat/>
    <w:rsid w:val="00962FA7"/>
    <w:pPr>
      <w:spacing w:after="200"/>
    </w:pPr>
    <w:rPr>
      <w:rFonts w:eastAsiaTheme="minorHAnsi" w:cstheme="minorHAnsi"/>
      <w:b/>
      <w:bCs/>
      <w:color w:val="4F81BD" w:themeColor="accent1"/>
      <w:sz w:val="18"/>
      <w:szCs w:val="18"/>
      <w:lang w:eastAsia="en-US"/>
    </w:rPr>
  </w:style>
  <w:style w:type="paragraph" w:styleId="af1">
    <w:name w:val="annotation text"/>
    <w:basedOn w:val="a0"/>
    <w:link w:val="af2"/>
    <w:uiPriority w:val="99"/>
    <w:unhideWhenUsed/>
    <w:rsid w:val="00B23DED"/>
    <w:rPr>
      <w:rFonts w:eastAsiaTheme="minorHAnsi" w:cs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1"/>
    <w:link w:val="af1"/>
    <w:uiPriority w:val="99"/>
    <w:rsid w:val="00B23DED"/>
    <w:rPr>
      <w:sz w:val="20"/>
      <w:szCs w:val="20"/>
    </w:rPr>
  </w:style>
  <w:style w:type="character" w:styleId="af3">
    <w:name w:val="annotation reference"/>
    <w:basedOn w:val="a1"/>
    <w:uiPriority w:val="99"/>
    <w:semiHidden/>
    <w:unhideWhenUsed/>
    <w:rsid w:val="001F2357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1F2357"/>
    <w:rPr>
      <w:rFonts w:eastAsia="Calibri" w:cs="Calibri"/>
      <w:b/>
      <w:bCs/>
      <w:lang w:eastAsia="ru-RU"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1F2357"/>
    <w:rPr>
      <w:rFonts w:eastAsia="Calibri" w:cs="Calibri"/>
      <w:b/>
      <w:bCs/>
      <w:sz w:val="20"/>
      <w:szCs w:val="20"/>
      <w:lang w:eastAsia="ru-RU"/>
    </w:rPr>
  </w:style>
  <w:style w:type="paragraph" w:styleId="af6">
    <w:name w:val="Normal (Web)"/>
    <w:basedOn w:val="a0"/>
    <w:uiPriority w:val="99"/>
    <w:rsid w:val="00084E6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Заголовок 3 Знак"/>
    <w:basedOn w:val="a1"/>
    <w:link w:val="3"/>
    <w:rsid w:val="00123F81"/>
    <w:rPr>
      <w:rFonts w:ascii="Times New Roman" w:eastAsia="Times New Roman" w:hAnsi="Times New Roman" w:cs="Arial"/>
      <w:b/>
      <w:sz w:val="26"/>
      <w:szCs w:val="24"/>
      <w:lang w:eastAsia="ru-RU"/>
    </w:rPr>
  </w:style>
  <w:style w:type="paragraph" w:styleId="af7">
    <w:name w:val="Body Text"/>
    <w:basedOn w:val="a0"/>
    <w:link w:val="af8"/>
    <w:rsid w:val="00375C24"/>
    <w:pPr>
      <w:autoSpaceDE w:val="0"/>
      <w:autoSpaceDN w:val="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8">
    <w:name w:val="Основной текст Знак"/>
    <w:basedOn w:val="a1"/>
    <w:link w:val="af7"/>
    <w:rsid w:val="00375C2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D254CE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D00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5">
    <w:name w:val="Абзац списка Знак"/>
    <w:link w:val="a4"/>
    <w:uiPriority w:val="34"/>
    <w:locked/>
    <w:rsid w:val="00CF5261"/>
    <w:rPr>
      <w:rFonts w:eastAsia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362F-83EB-45D6-B8ED-ED3CBF2F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Мусиец Марина</dc:creator>
  <cp:keywords/>
  <dc:description/>
  <cp:lastModifiedBy>Симановский Денис</cp:lastModifiedBy>
  <cp:revision>53</cp:revision>
  <cp:lastPrinted>2019-07-30T07:59:00Z</cp:lastPrinted>
  <dcterms:created xsi:type="dcterms:W3CDTF">2021-11-12T12:04:00Z</dcterms:created>
  <dcterms:modified xsi:type="dcterms:W3CDTF">2024-06-27T07:59:00Z</dcterms:modified>
</cp:coreProperties>
</file>