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BB97A" w14:textId="77777777" w:rsidR="004B2DFD" w:rsidRPr="00AC14F7" w:rsidRDefault="004B2DFD" w:rsidP="00D5711D">
      <w:pPr>
        <w:spacing w:after="0" w:line="240" w:lineRule="auto"/>
        <w:jc w:val="both"/>
        <w:rPr>
          <w:b/>
          <w:sz w:val="28"/>
          <w:szCs w:val="28"/>
        </w:rPr>
      </w:pPr>
      <w:r w:rsidRPr="00AC14F7">
        <w:rPr>
          <w:b/>
          <w:sz w:val="28"/>
          <w:szCs w:val="28"/>
        </w:rPr>
        <w:t>Изменения в Методологии присвоения рейтингов кредитоспособности нефинансовым компаниям</w:t>
      </w:r>
    </w:p>
    <w:p w14:paraId="3F7738D0" w14:textId="77777777" w:rsidR="004B2DFD" w:rsidRPr="00AC14F7" w:rsidRDefault="004B2DFD" w:rsidP="00D5711D">
      <w:pPr>
        <w:spacing w:after="0" w:line="240" w:lineRule="auto"/>
        <w:jc w:val="both"/>
      </w:pPr>
    </w:p>
    <w:p w14:paraId="5BCB65F2" w14:textId="020ED3B3" w:rsidR="004B2DFD" w:rsidRPr="00AC14F7" w:rsidRDefault="00093418" w:rsidP="00D5711D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Times New Roman"/>
          <w:b/>
          <w:sz w:val="28"/>
          <w:szCs w:val="28"/>
        </w:rPr>
      </w:pPr>
      <w:r w:rsidRPr="00AC14F7">
        <w:rPr>
          <w:rFonts w:cs="Times New Roman"/>
          <w:b/>
          <w:sz w:val="28"/>
          <w:szCs w:val="28"/>
        </w:rPr>
        <w:t xml:space="preserve">Внесено уточнение в </w:t>
      </w:r>
      <w:r w:rsidR="004B2DFD" w:rsidRPr="00AC14F7">
        <w:rPr>
          <w:rFonts w:cs="Times New Roman"/>
          <w:b/>
          <w:sz w:val="28"/>
          <w:szCs w:val="28"/>
        </w:rPr>
        <w:t>область применения методологии</w:t>
      </w:r>
    </w:p>
    <w:p w14:paraId="5474171A" w14:textId="77777777" w:rsidR="004B2DFD" w:rsidRPr="00AC14F7" w:rsidRDefault="004B2DFD" w:rsidP="00D5711D">
      <w:pPr>
        <w:spacing w:after="0" w:line="240" w:lineRule="auto"/>
        <w:jc w:val="both"/>
        <w:rPr>
          <w:rFonts w:eastAsia="Calibri" w:cs="Times New Roman"/>
          <w:sz w:val="28"/>
          <w:szCs w:val="28"/>
        </w:rPr>
      </w:pPr>
      <w:r w:rsidRPr="00AC14F7">
        <w:rPr>
          <w:rFonts w:eastAsia="Calibri" w:cs="Times New Roman"/>
          <w:sz w:val="28"/>
          <w:szCs w:val="28"/>
        </w:rPr>
        <w:t xml:space="preserve">Данная методология не применима к компаниям финансовой сферы (банки, страховые компании, профессиональные участники рынка ценных бумаг, финансовые посредники, лизинговые компании, МФО, НПФ, гарантийные фонды, управляющие компании, факторинговые компании и так далее), также к холдинговым компаниям, проектным компаниям </w:t>
      </w:r>
      <w:r w:rsidRPr="00AC14F7">
        <w:rPr>
          <w:rFonts w:eastAsia="Calibri" w:cs="Times New Roman"/>
          <w:b/>
          <w:sz w:val="28"/>
          <w:szCs w:val="28"/>
        </w:rPr>
        <w:t>(за исключением случаев, оговариваемых в соответствующей методологии)</w:t>
      </w:r>
      <w:r w:rsidRPr="00AC14F7">
        <w:rPr>
          <w:rFonts w:eastAsia="Calibri" w:cs="Times New Roman"/>
          <w:sz w:val="28"/>
          <w:szCs w:val="28"/>
        </w:rPr>
        <w:t>, органам власти субъектов и муниципалитетов Российской Федерации.</w:t>
      </w:r>
    </w:p>
    <w:p w14:paraId="04A722FB" w14:textId="1AB7453F" w:rsidR="004B2DFD" w:rsidRDefault="004B2DFD" w:rsidP="00D5711D">
      <w:pPr>
        <w:spacing w:after="0" w:line="240" w:lineRule="auto"/>
        <w:jc w:val="both"/>
        <w:rPr>
          <w:rFonts w:cs="Times New Roman"/>
          <w:b/>
          <w:sz w:val="28"/>
          <w:szCs w:val="28"/>
        </w:rPr>
      </w:pPr>
    </w:p>
    <w:p w14:paraId="44BA4ADE" w14:textId="010D931C" w:rsidR="00950588" w:rsidRPr="00CA2A99" w:rsidRDefault="00950588" w:rsidP="00CA2A99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Times New Roman"/>
          <w:b/>
          <w:sz w:val="28"/>
          <w:szCs w:val="28"/>
        </w:rPr>
      </w:pPr>
      <w:r w:rsidRPr="00CA2A99">
        <w:rPr>
          <w:rFonts w:cs="Times New Roman"/>
          <w:b/>
          <w:sz w:val="28"/>
          <w:szCs w:val="28"/>
        </w:rPr>
        <w:t xml:space="preserve">Скорректированы основания </w:t>
      </w:r>
      <w:r w:rsidR="00CA2A99" w:rsidRPr="00CA2A99">
        <w:rPr>
          <w:rFonts w:cs="Times New Roman"/>
          <w:b/>
          <w:sz w:val="28"/>
          <w:szCs w:val="28"/>
        </w:rPr>
        <w:t>для</w:t>
      </w:r>
      <w:r w:rsidR="00CA2A99">
        <w:rPr>
          <w:rFonts w:cs="Times New Roman"/>
          <w:b/>
          <w:sz w:val="28"/>
          <w:szCs w:val="28"/>
        </w:rPr>
        <w:t xml:space="preserve"> </w:t>
      </w:r>
      <w:r w:rsidRPr="00CA2A99">
        <w:rPr>
          <w:rFonts w:cs="Times New Roman"/>
          <w:b/>
          <w:sz w:val="28"/>
          <w:szCs w:val="28"/>
        </w:rPr>
        <w:t>использова</w:t>
      </w:r>
      <w:r w:rsidR="00CA2A99">
        <w:rPr>
          <w:rFonts w:cs="Times New Roman"/>
          <w:b/>
          <w:sz w:val="28"/>
          <w:szCs w:val="28"/>
        </w:rPr>
        <w:t>ния</w:t>
      </w:r>
      <w:r w:rsidRPr="00CA2A99">
        <w:rPr>
          <w:rFonts w:cs="Times New Roman"/>
          <w:b/>
          <w:sz w:val="28"/>
          <w:szCs w:val="28"/>
        </w:rPr>
        <w:t xml:space="preserve"> консолидированн</w:t>
      </w:r>
      <w:r w:rsidR="00CA2A99">
        <w:rPr>
          <w:rFonts w:cs="Times New Roman"/>
          <w:b/>
          <w:sz w:val="28"/>
          <w:szCs w:val="28"/>
        </w:rPr>
        <w:t>ой</w:t>
      </w:r>
      <w:r w:rsidRPr="00CA2A99">
        <w:rPr>
          <w:rFonts w:cs="Times New Roman"/>
          <w:b/>
          <w:sz w:val="28"/>
          <w:szCs w:val="28"/>
        </w:rPr>
        <w:t xml:space="preserve"> финансов</w:t>
      </w:r>
      <w:r w:rsidR="00CA2A99">
        <w:rPr>
          <w:rFonts w:cs="Times New Roman"/>
          <w:b/>
          <w:sz w:val="28"/>
          <w:szCs w:val="28"/>
        </w:rPr>
        <w:t>ой</w:t>
      </w:r>
      <w:r w:rsidRPr="00CA2A99">
        <w:rPr>
          <w:rFonts w:cs="Times New Roman"/>
          <w:b/>
          <w:sz w:val="28"/>
          <w:szCs w:val="28"/>
        </w:rPr>
        <w:t xml:space="preserve"> отчетност</w:t>
      </w:r>
      <w:r w:rsidR="00CA2A99">
        <w:rPr>
          <w:rFonts w:cs="Times New Roman"/>
          <w:b/>
          <w:sz w:val="28"/>
          <w:szCs w:val="28"/>
        </w:rPr>
        <w:t>и</w:t>
      </w:r>
      <w:r w:rsidRPr="00CA2A99">
        <w:rPr>
          <w:rFonts w:cs="Times New Roman"/>
          <w:b/>
          <w:sz w:val="28"/>
          <w:szCs w:val="28"/>
        </w:rPr>
        <w:t xml:space="preserve"> и ин</w:t>
      </w:r>
      <w:r w:rsidR="00CA2A99">
        <w:rPr>
          <w:rFonts w:cs="Times New Roman"/>
          <w:b/>
          <w:sz w:val="28"/>
          <w:szCs w:val="28"/>
        </w:rPr>
        <w:t>ой</w:t>
      </w:r>
      <w:r w:rsidRPr="00CA2A99">
        <w:rPr>
          <w:rFonts w:cs="Times New Roman"/>
          <w:b/>
          <w:sz w:val="28"/>
          <w:szCs w:val="28"/>
        </w:rPr>
        <w:t xml:space="preserve"> имеющ</w:t>
      </w:r>
      <w:r w:rsidR="00CA2A99">
        <w:rPr>
          <w:rFonts w:cs="Times New Roman"/>
          <w:b/>
          <w:sz w:val="28"/>
          <w:szCs w:val="28"/>
        </w:rPr>
        <w:t>ейся</w:t>
      </w:r>
      <w:r w:rsidRPr="00CA2A99">
        <w:rPr>
          <w:rFonts w:cs="Times New Roman"/>
          <w:b/>
          <w:sz w:val="28"/>
          <w:szCs w:val="28"/>
        </w:rPr>
        <w:t xml:space="preserve"> информаци</w:t>
      </w:r>
      <w:r w:rsidR="00CA2A99">
        <w:rPr>
          <w:rFonts w:cs="Times New Roman"/>
          <w:b/>
          <w:sz w:val="28"/>
          <w:szCs w:val="28"/>
        </w:rPr>
        <w:t>и</w:t>
      </w:r>
      <w:r w:rsidRPr="00CA2A99">
        <w:rPr>
          <w:rFonts w:cs="Times New Roman"/>
          <w:b/>
          <w:sz w:val="28"/>
          <w:szCs w:val="28"/>
        </w:rPr>
        <w:t xml:space="preserve"> по группе при присвоении рейтинга о</w:t>
      </w:r>
      <w:bookmarkStart w:id="0" w:name="_GoBack"/>
      <w:bookmarkEnd w:id="0"/>
      <w:r w:rsidRPr="00CA2A99">
        <w:rPr>
          <w:rFonts w:cs="Times New Roman"/>
          <w:b/>
          <w:sz w:val="28"/>
          <w:szCs w:val="28"/>
        </w:rPr>
        <w:t>дной из компаний группы в случаях крайне высокой степени операционной и финансовой интеграции дочерней и материнской компании</w:t>
      </w:r>
      <w:r w:rsidR="00CA2A99">
        <w:rPr>
          <w:rFonts w:cs="Times New Roman"/>
          <w:b/>
          <w:sz w:val="28"/>
          <w:szCs w:val="28"/>
        </w:rPr>
        <w:t xml:space="preserve"> (раздел «Структура анализа и метод расчета баллов»).</w:t>
      </w:r>
    </w:p>
    <w:p w14:paraId="03E83D02" w14:textId="77777777" w:rsidR="00535AC2" w:rsidRPr="00AC14F7" w:rsidRDefault="00535AC2" w:rsidP="00D5711D">
      <w:pPr>
        <w:spacing w:after="0" w:line="240" w:lineRule="auto"/>
        <w:jc w:val="both"/>
        <w:rPr>
          <w:rFonts w:cs="Times New Roman"/>
          <w:b/>
          <w:sz w:val="28"/>
          <w:szCs w:val="28"/>
        </w:rPr>
      </w:pPr>
    </w:p>
    <w:p w14:paraId="0EB91E8D" w14:textId="4C65FA17" w:rsidR="004B2DFD" w:rsidRPr="00AC14F7" w:rsidRDefault="004B2DFD" w:rsidP="00D5711D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Times New Roman"/>
          <w:b/>
          <w:sz w:val="28"/>
          <w:szCs w:val="28"/>
        </w:rPr>
      </w:pPr>
      <w:r w:rsidRPr="00AC14F7">
        <w:rPr>
          <w:rFonts w:cs="Times New Roman"/>
          <w:b/>
          <w:sz w:val="28"/>
          <w:szCs w:val="28"/>
        </w:rPr>
        <w:t>Пересмотрен набор ф</w:t>
      </w:r>
      <w:r w:rsidR="00093418" w:rsidRPr="00AC14F7">
        <w:rPr>
          <w:rFonts w:cs="Times New Roman"/>
          <w:b/>
          <w:sz w:val="28"/>
          <w:szCs w:val="28"/>
        </w:rPr>
        <w:t>акторов раздела «Бизнес-риски»</w:t>
      </w:r>
    </w:p>
    <w:p w14:paraId="22A7E433" w14:textId="1F0AD650" w:rsidR="00A843C8" w:rsidRPr="00AC14F7" w:rsidRDefault="00A843C8" w:rsidP="00A843C8">
      <w:pPr>
        <w:pStyle w:val="aa"/>
        <w:numPr>
          <w:ilvl w:val="0"/>
          <w:numId w:val="2"/>
        </w:numPr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  <w:r w:rsidRPr="00AC14F7">
        <w:rPr>
          <w:rFonts w:eastAsia="Calibri" w:cs="Times New Roman"/>
          <w:sz w:val="28"/>
          <w:szCs w:val="28"/>
          <w:lang w:eastAsia="ru-RU"/>
        </w:rPr>
        <w:t>А</w:t>
      </w:r>
      <w:r w:rsidR="004B2DFD" w:rsidRPr="00AC14F7">
        <w:rPr>
          <w:rFonts w:eastAsia="Calibri" w:cs="Times New Roman"/>
          <w:sz w:val="28"/>
          <w:szCs w:val="28"/>
          <w:lang w:eastAsia="ru-RU"/>
        </w:rPr>
        <w:t xml:space="preserve">нализ географии деятельности в части географической концентрации отнесен к фактору «Концентрация бизнеса» (новый фактор); в рамках этого же фактора оцениваются риски, ранее анализируемые в факторах </w:t>
      </w:r>
      <w:r w:rsidR="004B2DFD" w:rsidRPr="00AC14F7">
        <w:rPr>
          <w:rFonts w:eastAsia="Calibri" w:cs="Times New Roman"/>
          <w:sz w:val="28"/>
          <w:szCs w:val="28"/>
          <w:lang w:eastAsia="ru-RU"/>
        </w:rPr>
        <w:lastRenderedPageBreak/>
        <w:t>«</w:t>
      </w:r>
      <w:r w:rsidR="004B2DFD" w:rsidRPr="00CA2A99">
        <w:rPr>
          <w:rFonts w:eastAsia="Calibri" w:cs="Times New Roman"/>
          <w:sz w:val="28"/>
          <w:szCs w:val="28"/>
          <w:lang w:eastAsia="ru-RU"/>
        </w:rPr>
        <w:t xml:space="preserve">Диверсификация продаж» и «Зависимость от контрагентов». </w:t>
      </w:r>
      <w:r w:rsidR="00CA2A99" w:rsidRPr="00CA2A99">
        <w:rPr>
          <w:rFonts w:eastAsia="Calibri" w:cs="Times New Roman"/>
          <w:sz w:val="28"/>
          <w:szCs w:val="28"/>
          <w:lang w:eastAsia="ru-RU"/>
        </w:rPr>
        <w:t>Оговаривается повышающая корректировка оценки</w:t>
      </w:r>
      <w:r w:rsidR="00535AC2" w:rsidRPr="00CA2A99">
        <w:rPr>
          <w:rFonts w:eastAsia="Calibri" w:cs="Times New Roman"/>
          <w:sz w:val="28"/>
          <w:szCs w:val="28"/>
          <w:lang w:eastAsia="ru-RU"/>
        </w:rPr>
        <w:t xml:space="preserve"> концентраци</w:t>
      </w:r>
      <w:r w:rsidR="00CA2A99" w:rsidRPr="00CA2A99">
        <w:rPr>
          <w:rFonts w:eastAsia="Calibri" w:cs="Times New Roman"/>
          <w:sz w:val="28"/>
          <w:szCs w:val="28"/>
          <w:lang w:eastAsia="ru-RU"/>
        </w:rPr>
        <w:t>и</w:t>
      </w:r>
      <w:r w:rsidR="00535AC2" w:rsidRPr="00CA2A99">
        <w:rPr>
          <w:rFonts w:eastAsia="Calibri" w:cs="Times New Roman"/>
          <w:sz w:val="28"/>
          <w:szCs w:val="28"/>
          <w:lang w:eastAsia="ru-RU"/>
        </w:rPr>
        <w:t xml:space="preserve"> на активах в случае наличия имущественного страхования. </w:t>
      </w:r>
      <w:r w:rsidR="004B2DFD" w:rsidRPr="00CA2A99">
        <w:rPr>
          <w:rFonts w:eastAsia="Calibri" w:cs="Times New Roman"/>
          <w:sz w:val="28"/>
          <w:szCs w:val="28"/>
          <w:lang w:eastAsia="ru-RU"/>
        </w:rPr>
        <w:t xml:space="preserve">Добавлен стресс-фактор </w:t>
      </w:r>
      <w:r w:rsidRPr="00CA2A99">
        <w:rPr>
          <w:rFonts w:eastAsia="Calibri" w:cs="Times New Roman"/>
          <w:sz w:val="28"/>
          <w:szCs w:val="28"/>
          <w:lang w:eastAsia="ru-RU"/>
        </w:rPr>
        <w:t>«Концентрация бизнеса»</w:t>
      </w:r>
      <w:r w:rsidR="004B2DFD" w:rsidRPr="00CA2A99">
        <w:rPr>
          <w:rFonts w:eastAsia="Calibri" w:cs="Times New Roman"/>
          <w:sz w:val="28"/>
          <w:szCs w:val="28"/>
          <w:lang w:eastAsia="ru-RU"/>
        </w:rPr>
        <w:t>.</w:t>
      </w:r>
    </w:p>
    <w:p w14:paraId="7ED3FB70" w14:textId="3DDB015E" w:rsidR="004B2DFD" w:rsidRPr="00AC14F7" w:rsidRDefault="00A843C8" w:rsidP="00A843C8">
      <w:pPr>
        <w:pStyle w:val="aa"/>
        <w:numPr>
          <w:ilvl w:val="0"/>
          <w:numId w:val="2"/>
        </w:numPr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  <w:r w:rsidRPr="00AC14F7">
        <w:rPr>
          <w:rFonts w:eastAsia="Calibri" w:cs="Times New Roman"/>
          <w:sz w:val="28"/>
          <w:szCs w:val="28"/>
          <w:lang w:eastAsia="ru-RU"/>
        </w:rPr>
        <w:t>Ф</w:t>
      </w:r>
      <w:r w:rsidR="004B2DFD" w:rsidRPr="00AC14F7">
        <w:rPr>
          <w:rFonts w:eastAsia="Calibri" w:cs="Times New Roman"/>
          <w:sz w:val="28"/>
          <w:szCs w:val="28"/>
          <w:lang w:eastAsia="ru-RU"/>
        </w:rPr>
        <w:t xml:space="preserve">актор «Перспективы развития отрасли» объединен с остальной частью фактора «География деятельности» в фактор «Риск-профиль отрасли». </w:t>
      </w:r>
      <w:r w:rsidRPr="00AC14F7">
        <w:rPr>
          <w:rFonts w:eastAsia="Calibri" w:cs="Times New Roman"/>
          <w:sz w:val="28"/>
          <w:szCs w:val="28"/>
          <w:lang w:eastAsia="ru-RU"/>
        </w:rPr>
        <w:t>О</w:t>
      </w:r>
      <w:r w:rsidR="004B2DFD" w:rsidRPr="00AC14F7">
        <w:rPr>
          <w:rFonts w:eastAsia="Calibri" w:cs="Times New Roman"/>
          <w:sz w:val="28"/>
          <w:szCs w:val="28"/>
          <w:lang w:eastAsia="ru-RU"/>
        </w:rPr>
        <w:t>ценка просроченной задолженности по данным Банка России сохранена, но изменен оцениваемый период (ранее 2 года; по обновленному алгоритму анализируется среднее значение за период с 2009 г.). Вместо ожидаемой динамики рынка отрасль, в которой работает объект рейтинга, анализируется с точки зрения барьеров для входа и устойчивости к внешним шокам. Перечень отраслей детализирован</w:t>
      </w:r>
      <w:r w:rsidRPr="00AC14F7">
        <w:rPr>
          <w:rFonts w:eastAsia="Calibri" w:cs="Times New Roman"/>
          <w:sz w:val="28"/>
          <w:szCs w:val="28"/>
          <w:lang w:eastAsia="ru-RU"/>
        </w:rPr>
        <w:t xml:space="preserve"> и расширен</w:t>
      </w:r>
      <w:r w:rsidR="004B2DFD" w:rsidRPr="00AC14F7">
        <w:rPr>
          <w:rFonts w:eastAsia="Calibri" w:cs="Times New Roman"/>
          <w:sz w:val="28"/>
          <w:szCs w:val="28"/>
          <w:lang w:eastAsia="ru-RU"/>
        </w:rPr>
        <w:t xml:space="preserve">. </w:t>
      </w:r>
    </w:p>
    <w:p w14:paraId="2561F738" w14:textId="58DAFB09" w:rsidR="004B2DFD" w:rsidRPr="00AC14F7" w:rsidRDefault="00A843C8" w:rsidP="00A843C8">
      <w:pPr>
        <w:pStyle w:val="aa"/>
        <w:numPr>
          <w:ilvl w:val="0"/>
          <w:numId w:val="2"/>
        </w:numPr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  <w:r w:rsidRPr="00AC14F7">
        <w:rPr>
          <w:rFonts w:eastAsia="Calibri" w:cs="Times New Roman"/>
          <w:sz w:val="28"/>
          <w:szCs w:val="28"/>
          <w:lang w:eastAsia="ru-RU"/>
        </w:rPr>
        <w:t>А</w:t>
      </w:r>
      <w:r w:rsidR="004B2DFD" w:rsidRPr="00AC14F7">
        <w:rPr>
          <w:rFonts w:eastAsia="Calibri" w:cs="Times New Roman"/>
          <w:sz w:val="28"/>
          <w:szCs w:val="28"/>
          <w:lang w:eastAsia="ru-RU"/>
        </w:rPr>
        <w:t>нализ рыночных и конкурентных позиций расширен (в зависимости от отрасли определен набор критериев, по которым оцениваются позиции компании).</w:t>
      </w:r>
    </w:p>
    <w:p w14:paraId="3A55D8D0" w14:textId="77777777" w:rsidR="004B2DFD" w:rsidRPr="00AC14F7" w:rsidRDefault="004B2DFD" w:rsidP="00D5711D">
      <w:pPr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14:paraId="0A6B899E" w14:textId="25C0434A" w:rsidR="004B2DFD" w:rsidRPr="00AC14F7" w:rsidRDefault="004B2DFD" w:rsidP="00A843C8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cs="Times New Roman"/>
          <w:b/>
          <w:sz w:val="28"/>
          <w:szCs w:val="28"/>
        </w:rPr>
      </w:pPr>
      <w:r w:rsidRPr="00AC14F7">
        <w:rPr>
          <w:rFonts w:cs="Times New Roman"/>
          <w:b/>
          <w:sz w:val="28"/>
          <w:szCs w:val="28"/>
        </w:rPr>
        <w:t>Анализ фактора «Ликвидность» разделен на две части: сохранена прогнозная ликвидность, анализ текущей и абсолютной ликвидности заменен к</w:t>
      </w:r>
      <w:r w:rsidR="00093418" w:rsidRPr="00AC14F7">
        <w:rPr>
          <w:rFonts w:cs="Times New Roman"/>
          <w:b/>
          <w:sz w:val="28"/>
          <w:szCs w:val="28"/>
        </w:rPr>
        <w:t>ачественной оценкой ликвидности</w:t>
      </w:r>
    </w:p>
    <w:p w14:paraId="5A8B3502" w14:textId="77777777" w:rsidR="004B2DFD" w:rsidRPr="00AC14F7" w:rsidRDefault="004B2DFD" w:rsidP="00D5711D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AC14F7">
        <w:rPr>
          <w:rFonts w:cs="Times New Roman"/>
          <w:sz w:val="28"/>
          <w:szCs w:val="28"/>
        </w:rPr>
        <w:t xml:space="preserve">По обновленному алгоритму прогнозная ликвидность определяется не по единственной формуле, а по четырем. Это позволяет учесть расходы с разным уровнем приоритета. Реализована возможность увеличить прогнозный период с 1 года до нескольких лет. </w:t>
      </w:r>
    </w:p>
    <w:p w14:paraId="297D79ED" w14:textId="77777777" w:rsidR="004B2DFD" w:rsidRPr="00AC14F7" w:rsidRDefault="004B2DFD" w:rsidP="00D5711D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AC14F7">
        <w:rPr>
          <w:rFonts w:cs="Times New Roman"/>
          <w:sz w:val="28"/>
          <w:szCs w:val="28"/>
        </w:rPr>
        <w:t xml:space="preserve">В рамках логики фактора </w:t>
      </w:r>
      <w:proofErr w:type="spellStart"/>
      <w:r w:rsidRPr="00AC14F7">
        <w:rPr>
          <w:rFonts w:cs="Times New Roman"/>
          <w:sz w:val="28"/>
          <w:szCs w:val="28"/>
        </w:rPr>
        <w:t>рейтингуемая</w:t>
      </w:r>
      <w:proofErr w:type="spellEnd"/>
      <w:r w:rsidRPr="00AC14F7">
        <w:rPr>
          <w:rFonts w:cs="Times New Roman"/>
          <w:sz w:val="28"/>
          <w:szCs w:val="28"/>
        </w:rPr>
        <w:t xml:space="preserve"> компания должна быть способна оплачивать свои расходы на процентные платежи, капитальные затраты, дивиденды и погашение долга за счет операционного денежного потока, законтрактованной продажи активов и свободных денежных средств на счету, чтобы получить максимальную оценку.</w:t>
      </w:r>
    </w:p>
    <w:p w14:paraId="4DBB37AA" w14:textId="665EAC36" w:rsidR="004B2DFD" w:rsidRPr="00AC14F7" w:rsidRDefault="004B2DFD" w:rsidP="00D5711D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AC14F7">
        <w:rPr>
          <w:rFonts w:cs="Times New Roman"/>
          <w:sz w:val="28"/>
          <w:szCs w:val="28"/>
        </w:rPr>
        <w:t xml:space="preserve">Параллельно изменен алгоритм применения стресс-фактора за прогнозную ликвидность. </w:t>
      </w:r>
      <w:r w:rsidR="00A843C8" w:rsidRPr="00AC14F7">
        <w:rPr>
          <w:rFonts w:cs="Times New Roman"/>
          <w:sz w:val="28"/>
          <w:szCs w:val="28"/>
        </w:rPr>
        <w:t>Он применяется, е</w:t>
      </w:r>
      <w:r w:rsidRPr="00AC14F7">
        <w:rPr>
          <w:rFonts w:cs="Times New Roman"/>
          <w:sz w:val="28"/>
          <w:szCs w:val="28"/>
        </w:rPr>
        <w:t xml:space="preserve">сли </w:t>
      </w:r>
      <w:proofErr w:type="spellStart"/>
      <w:r w:rsidRPr="00AC14F7">
        <w:rPr>
          <w:rFonts w:cs="Times New Roman"/>
          <w:sz w:val="28"/>
          <w:szCs w:val="28"/>
        </w:rPr>
        <w:t>рейтингуемой</w:t>
      </w:r>
      <w:proofErr w:type="spellEnd"/>
      <w:r w:rsidRPr="00AC14F7">
        <w:rPr>
          <w:rFonts w:cs="Times New Roman"/>
          <w:sz w:val="28"/>
          <w:szCs w:val="28"/>
        </w:rPr>
        <w:t xml:space="preserve"> компании не хватает средств от операционной деятельности и других источников ликвидности с 10%</w:t>
      </w:r>
      <w:r w:rsidR="00A843C8" w:rsidRPr="00AC14F7">
        <w:rPr>
          <w:rFonts w:cs="Times New Roman"/>
          <w:sz w:val="28"/>
          <w:szCs w:val="28"/>
        </w:rPr>
        <w:t>-м</w:t>
      </w:r>
      <w:r w:rsidRPr="00AC14F7">
        <w:rPr>
          <w:rFonts w:cs="Times New Roman"/>
          <w:sz w:val="28"/>
          <w:szCs w:val="28"/>
        </w:rPr>
        <w:t xml:space="preserve"> запасом на оплату процентных платежей, поддерживающих капитальных затрат и законтрактованных затрат на развитие. </w:t>
      </w:r>
    </w:p>
    <w:p w14:paraId="6F154B1B" w14:textId="77777777" w:rsidR="004B2DFD" w:rsidRPr="00AC14F7" w:rsidRDefault="004B2DFD" w:rsidP="00D5711D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AC14F7">
        <w:rPr>
          <w:rFonts w:cs="Times New Roman"/>
          <w:sz w:val="28"/>
          <w:szCs w:val="28"/>
        </w:rPr>
        <w:t>Качественная оценка ликвидности оценивается по таблице, где в зависимости от уровня консервативности финансового планирования компании и ее репутации, применяется оценка от -1 (при крайней уязвимости компании перед любым финансовым шоком из-за пиков платежей, нарушенных ковенант или плохих взаимоотношений с банками) до 1 (при отсутствии каких-либо рисков разрывов ликвидности).</w:t>
      </w:r>
    </w:p>
    <w:p w14:paraId="1EEF507C" w14:textId="77777777" w:rsidR="004B2DFD" w:rsidRPr="00AC14F7" w:rsidRDefault="004B2DFD" w:rsidP="00D5711D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14:paraId="5DEF5A52" w14:textId="0E180D3C" w:rsidR="004B2DFD" w:rsidRPr="00AC14F7" w:rsidRDefault="004B2DFD" w:rsidP="00A843C8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cs="Times New Roman"/>
          <w:b/>
          <w:sz w:val="28"/>
          <w:szCs w:val="28"/>
        </w:rPr>
      </w:pPr>
      <w:r w:rsidRPr="00AC14F7">
        <w:rPr>
          <w:rFonts w:cs="Times New Roman"/>
          <w:b/>
          <w:sz w:val="28"/>
          <w:szCs w:val="28"/>
        </w:rPr>
        <w:t>Оценка фактора «Долговая нагрузка» разделена на две части: общий уровень долговой нагрузки и общий уровень процентной нагрузки (вместо текущего уровня долговой нагрузки). Введена дифференциаци</w:t>
      </w:r>
      <w:r w:rsidR="00093418" w:rsidRPr="00AC14F7">
        <w:rPr>
          <w:rFonts w:cs="Times New Roman"/>
          <w:b/>
          <w:sz w:val="28"/>
          <w:szCs w:val="28"/>
        </w:rPr>
        <w:t>я критериев оценки для отраслей</w:t>
      </w:r>
    </w:p>
    <w:p w14:paraId="4268DB3F" w14:textId="51EE15DF" w:rsidR="004B2DFD" w:rsidRPr="00AC14F7" w:rsidRDefault="004B2DFD" w:rsidP="00D5711D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AC14F7">
        <w:rPr>
          <w:rFonts w:cs="Times New Roman"/>
          <w:sz w:val="28"/>
          <w:szCs w:val="28"/>
        </w:rPr>
        <w:t>В соответствии с обновленной методологией долговая нагрузка анализируется не за 2 периода по 4 формулам (</w:t>
      </w:r>
      <w:r w:rsidRPr="00AC14F7">
        <w:rPr>
          <w:rFonts w:cs="Times New Roman"/>
          <w:sz w:val="28"/>
          <w:szCs w:val="28"/>
          <w:lang w:val="en-US"/>
        </w:rPr>
        <w:t>FFO</w:t>
      </w:r>
      <w:r w:rsidRPr="00AC14F7">
        <w:rPr>
          <w:rFonts w:cs="Times New Roman"/>
          <w:sz w:val="28"/>
          <w:szCs w:val="28"/>
        </w:rPr>
        <w:t xml:space="preserve"> / Долг, </w:t>
      </w:r>
      <w:r w:rsidRPr="00AC14F7">
        <w:rPr>
          <w:rFonts w:cs="Times New Roman"/>
          <w:sz w:val="28"/>
          <w:szCs w:val="28"/>
          <w:lang w:val="en-US"/>
        </w:rPr>
        <w:t>CFO</w:t>
      </w:r>
      <w:r w:rsidRPr="00AC14F7">
        <w:rPr>
          <w:rFonts w:cs="Times New Roman"/>
          <w:sz w:val="28"/>
          <w:szCs w:val="28"/>
        </w:rPr>
        <w:t xml:space="preserve"> / Долг, </w:t>
      </w:r>
      <w:r w:rsidRPr="00AC14F7">
        <w:rPr>
          <w:rFonts w:cs="Times New Roman"/>
          <w:sz w:val="28"/>
          <w:szCs w:val="28"/>
          <w:lang w:val="en-US"/>
        </w:rPr>
        <w:t>FCF</w:t>
      </w:r>
      <w:r w:rsidRPr="00AC14F7">
        <w:rPr>
          <w:rFonts w:cs="Times New Roman"/>
          <w:sz w:val="28"/>
          <w:szCs w:val="28"/>
        </w:rPr>
        <w:t xml:space="preserve"> / Долг, Долг / </w:t>
      </w:r>
      <w:r w:rsidRPr="00AC14F7">
        <w:rPr>
          <w:rFonts w:cs="Times New Roman"/>
          <w:sz w:val="28"/>
          <w:szCs w:val="28"/>
          <w:lang w:val="en-US"/>
        </w:rPr>
        <w:t>EBITDA</w:t>
      </w:r>
      <w:r w:rsidRPr="00AC14F7">
        <w:rPr>
          <w:rFonts w:cs="Times New Roman"/>
          <w:sz w:val="28"/>
          <w:szCs w:val="28"/>
        </w:rPr>
        <w:t xml:space="preserve">), а за 2 прошлых и 1 прогнозный год по двум формулам (Долг / </w:t>
      </w:r>
      <w:r w:rsidRPr="00AC14F7">
        <w:rPr>
          <w:rFonts w:cs="Times New Roman"/>
          <w:sz w:val="28"/>
          <w:szCs w:val="28"/>
          <w:lang w:val="en-US"/>
        </w:rPr>
        <w:t>EBITDA</w:t>
      </w:r>
      <w:r w:rsidRPr="00AC14F7">
        <w:rPr>
          <w:rFonts w:cs="Times New Roman"/>
          <w:sz w:val="28"/>
          <w:szCs w:val="28"/>
        </w:rPr>
        <w:t>, Долг / (</w:t>
      </w:r>
      <w:r w:rsidRPr="00AC14F7">
        <w:rPr>
          <w:rFonts w:cs="Times New Roman"/>
          <w:sz w:val="28"/>
          <w:szCs w:val="28"/>
          <w:lang w:val="en-US"/>
        </w:rPr>
        <w:t>FFO</w:t>
      </w:r>
      <w:r w:rsidRPr="00AC14F7">
        <w:rPr>
          <w:rFonts w:cs="Times New Roman"/>
          <w:sz w:val="28"/>
          <w:szCs w:val="28"/>
        </w:rPr>
        <w:t xml:space="preserve"> – </w:t>
      </w:r>
      <w:r w:rsidRPr="00AC14F7">
        <w:rPr>
          <w:rFonts w:cs="Times New Roman"/>
          <w:sz w:val="28"/>
          <w:szCs w:val="28"/>
          <w:lang w:val="en-US"/>
        </w:rPr>
        <w:t>Maintenance</w:t>
      </w:r>
      <w:r w:rsidRPr="00AC14F7">
        <w:rPr>
          <w:rFonts w:cs="Times New Roman"/>
          <w:sz w:val="28"/>
          <w:szCs w:val="28"/>
        </w:rPr>
        <w:t xml:space="preserve"> </w:t>
      </w:r>
      <w:r w:rsidRPr="00AC14F7">
        <w:rPr>
          <w:rFonts w:cs="Times New Roman"/>
          <w:sz w:val="28"/>
          <w:szCs w:val="28"/>
          <w:lang w:val="en-US"/>
        </w:rPr>
        <w:t>Capex</w:t>
      </w:r>
      <w:r w:rsidRPr="00AC14F7">
        <w:rPr>
          <w:rFonts w:cs="Times New Roman"/>
          <w:sz w:val="28"/>
          <w:szCs w:val="28"/>
        </w:rPr>
        <w:t xml:space="preserve">)). Количество лет оценки может быть изменено, если старые периоды не репрезентативны из-за изменений в наборе бизнес-сегментов компании; при этом количество будущих периодов может быть увеличено до 5 лет в случае ожидаемого изменения долговой нагрузки (например, из-за расширения бизнеса или сильных колебаний цен на рынке). Добавлена также возможность корректировки </w:t>
      </w:r>
      <w:r w:rsidR="00A843C8" w:rsidRPr="00AC14F7">
        <w:rPr>
          <w:rFonts w:cs="Times New Roman"/>
          <w:sz w:val="28"/>
          <w:szCs w:val="28"/>
        </w:rPr>
        <w:t xml:space="preserve">оценки </w:t>
      </w:r>
      <w:r w:rsidRPr="00AC14F7">
        <w:rPr>
          <w:rFonts w:cs="Times New Roman"/>
          <w:sz w:val="28"/>
          <w:szCs w:val="28"/>
        </w:rPr>
        <w:t xml:space="preserve">фактора долговой нагрузки для отдельных отраслей при расхождении с оценками по формулам </w:t>
      </w:r>
      <w:r w:rsidRPr="00AC14F7">
        <w:rPr>
          <w:rFonts w:cs="Times New Roman"/>
          <w:sz w:val="28"/>
          <w:szCs w:val="28"/>
          <w:lang w:val="en-US"/>
        </w:rPr>
        <w:t>LTV</w:t>
      </w:r>
      <w:r w:rsidRPr="00AC14F7">
        <w:rPr>
          <w:rFonts w:cs="Times New Roman"/>
          <w:sz w:val="28"/>
          <w:szCs w:val="28"/>
        </w:rPr>
        <w:t xml:space="preserve"> или Собственный капитал/Активы.</w:t>
      </w:r>
    </w:p>
    <w:p w14:paraId="20860B36" w14:textId="77777777" w:rsidR="00A843C8" w:rsidRPr="00AC14F7" w:rsidRDefault="00A843C8" w:rsidP="00D5711D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14:paraId="4BAFE976" w14:textId="5A2BBABC" w:rsidR="004B2DFD" w:rsidRPr="00AC14F7" w:rsidRDefault="004B2DFD" w:rsidP="00D5711D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AC14F7">
        <w:rPr>
          <w:rFonts w:cs="Times New Roman"/>
          <w:sz w:val="28"/>
          <w:szCs w:val="28"/>
        </w:rPr>
        <w:t xml:space="preserve">Процентная нагрузка </w:t>
      </w:r>
      <w:r w:rsidR="00F44A8C" w:rsidRPr="00AC14F7">
        <w:rPr>
          <w:rFonts w:cs="Times New Roman"/>
          <w:sz w:val="28"/>
          <w:szCs w:val="28"/>
        </w:rPr>
        <w:t>рассчитывается</w:t>
      </w:r>
      <w:r w:rsidRPr="00AC14F7">
        <w:rPr>
          <w:rFonts w:cs="Times New Roman"/>
          <w:sz w:val="28"/>
          <w:szCs w:val="28"/>
        </w:rPr>
        <w:t xml:space="preserve"> по формуле: </w:t>
      </w:r>
    </w:p>
    <w:p w14:paraId="369C2B16" w14:textId="77777777" w:rsidR="004B2DFD" w:rsidRPr="00AC14F7" w:rsidRDefault="004B2DFD" w:rsidP="00D5711D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AC14F7">
        <w:rPr>
          <w:rFonts w:cs="Times New Roman"/>
          <w:sz w:val="28"/>
          <w:szCs w:val="28"/>
          <w:lang w:val="en-US"/>
        </w:rPr>
        <w:t>EBITDA</w:t>
      </w:r>
      <w:r w:rsidRPr="00AC14F7">
        <w:rPr>
          <w:rFonts w:cs="Times New Roman"/>
          <w:sz w:val="28"/>
          <w:szCs w:val="28"/>
        </w:rPr>
        <w:t xml:space="preserve"> / процентные расходы по долгу, пенсионным и медицинским обязательствам, резервам на выбытие активов и охрану окружающей среды.</w:t>
      </w:r>
    </w:p>
    <w:p w14:paraId="202DAEF4" w14:textId="77777777" w:rsidR="004B2DFD" w:rsidRPr="00AC14F7" w:rsidRDefault="004B2DFD" w:rsidP="00D5711D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AC14F7">
        <w:rPr>
          <w:rFonts w:cs="Times New Roman"/>
          <w:sz w:val="28"/>
          <w:szCs w:val="28"/>
        </w:rPr>
        <w:t>Формула считается за те же периоды, что и долговая нагрузка. Ранее текущий уровень долговой нагрузки оценивался по аналогичной формуле и по трем другим формулам за 2 прошедших года, однако возможность учета кредитных линий в этих формулах приводила к смещению оценки от долговой и процентной нагрузки к оценке ликвидности. В соответствии с обновленным алгоритмом оценивается только процентная нагрузка, что позволяет рассмотреть долговую устойчивость компании с точки зрения возможности обслуживания долга.</w:t>
      </w:r>
    </w:p>
    <w:p w14:paraId="139D96D1" w14:textId="77777777" w:rsidR="004B2DFD" w:rsidRPr="00AC14F7" w:rsidRDefault="004B2DFD" w:rsidP="00D5711D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AC14F7">
        <w:rPr>
          <w:rFonts w:cs="Times New Roman"/>
          <w:sz w:val="28"/>
          <w:szCs w:val="28"/>
        </w:rPr>
        <w:t>Введен стресс-фактор за слишком высокую долговую / процентную нагрузку.</w:t>
      </w:r>
    </w:p>
    <w:p w14:paraId="1FAF910A" w14:textId="77777777" w:rsidR="004B2DFD" w:rsidRPr="00AC14F7" w:rsidRDefault="004B2DFD" w:rsidP="00D5711D">
      <w:pPr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  <w:bookmarkStart w:id="1" w:name="_Hlk45735444"/>
    </w:p>
    <w:bookmarkEnd w:id="1"/>
    <w:p w14:paraId="2D5C008E" w14:textId="2F86136E" w:rsidR="004B2DFD" w:rsidRPr="00AC14F7" w:rsidRDefault="004B2DFD" w:rsidP="00A843C8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cs="Times New Roman"/>
          <w:b/>
          <w:sz w:val="28"/>
          <w:szCs w:val="28"/>
        </w:rPr>
      </w:pPr>
      <w:r w:rsidRPr="00AC14F7">
        <w:rPr>
          <w:rFonts w:cs="Times New Roman"/>
          <w:b/>
          <w:sz w:val="28"/>
          <w:szCs w:val="28"/>
        </w:rPr>
        <w:t>Факторы «Стрессовая ликвидность» и «Диверсификация пассивов по к</w:t>
      </w:r>
      <w:r w:rsidR="00093418" w:rsidRPr="00AC14F7">
        <w:rPr>
          <w:rFonts w:cs="Times New Roman"/>
          <w:b/>
          <w:sz w:val="28"/>
          <w:szCs w:val="28"/>
        </w:rPr>
        <w:t>редиторам» исключены из анализа</w:t>
      </w:r>
    </w:p>
    <w:p w14:paraId="3D8E0BD9" w14:textId="427B83DB" w:rsidR="004B2DFD" w:rsidRPr="00AC14F7" w:rsidRDefault="00A843C8" w:rsidP="00D5711D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AC14F7">
        <w:rPr>
          <w:rFonts w:cs="Times New Roman"/>
          <w:sz w:val="28"/>
          <w:szCs w:val="28"/>
        </w:rPr>
        <w:t>Ф</w:t>
      </w:r>
      <w:r w:rsidR="004B2DFD" w:rsidRPr="00AC14F7">
        <w:rPr>
          <w:rFonts w:cs="Times New Roman"/>
          <w:sz w:val="28"/>
          <w:szCs w:val="28"/>
        </w:rPr>
        <w:t xml:space="preserve">ункции </w:t>
      </w:r>
      <w:r w:rsidRPr="00AC14F7">
        <w:rPr>
          <w:rFonts w:cs="Times New Roman"/>
          <w:sz w:val="28"/>
          <w:szCs w:val="28"/>
        </w:rPr>
        <w:t xml:space="preserve">фактора «Стрессовая ликвидность» </w:t>
      </w:r>
      <w:r w:rsidR="004B2DFD" w:rsidRPr="00AC14F7">
        <w:rPr>
          <w:rFonts w:cs="Times New Roman"/>
          <w:sz w:val="28"/>
          <w:szCs w:val="28"/>
        </w:rPr>
        <w:t xml:space="preserve">переданы оценке долговой нагрузки. </w:t>
      </w:r>
    </w:p>
    <w:p w14:paraId="0D694985" w14:textId="2754C7F3" w:rsidR="004B2DFD" w:rsidRDefault="004B2DFD" w:rsidP="00D5711D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AC14F7">
        <w:rPr>
          <w:rFonts w:cs="Times New Roman"/>
          <w:sz w:val="28"/>
          <w:szCs w:val="28"/>
        </w:rPr>
        <w:t xml:space="preserve">Анализ диверсификации пассивов по кредиторам включен в фактор «Качественная оценка ликвидности». </w:t>
      </w:r>
    </w:p>
    <w:p w14:paraId="7A877171" w14:textId="77777777" w:rsidR="00CA2A99" w:rsidRPr="00AC14F7" w:rsidRDefault="00CA2A99" w:rsidP="00D5711D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14:paraId="070DD056" w14:textId="484A5B51" w:rsidR="004B2DFD" w:rsidRPr="00AC14F7" w:rsidRDefault="004B2DFD" w:rsidP="00D5711D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Times New Roman"/>
          <w:b/>
          <w:sz w:val="28"/>
          <w:szCs w:val="28"/>
        </w:rPr>
      </w:pPr>
      <w:r w:rsidRPr="00AC14F7">
        <w:rPr>
          <w:rFonts w:cs="Times New Roman"/>
          <w:b/>
          <w:sz w:val="28"/>
          <w:szCs w:val="28"/>
        </w:rPr>
        <w:t xml:space="preserve">Изменены </w:t>
      </w:r>
      <w:r w:rsidR="00093418" w:rsidRPr="00AC14F7">
        <w:rPr>
          <w:rFonts w:cs="Times New Roman"/>
          <w:b/>
          <w:sz w:val="28"/>
          <w:szCs w:val="28"/>
        </w:rPr>
        <w:t>подходы к оценке рентабельности</w:t>
      </w:r>
    </w:p>
    <w:p w14:paraId="37FE296B" w14:textId="77777777" w:rsidR="004B2DFD" w:rsidRPr="00AC14F7" w:rsidRDefault="004B2DFD" w:rsidP="00D5711D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AC14F7">
        <w:rPr>
          <w:rFonts w:cs="Times New Roman"/>
          <w:sz w:val="28"/>
          <w:szCs w:val="28"/>
        </w:rPr>
        <w:t>Введены дифференцированные критерии оценки для разных отраслей.</w:t>
      </w:r>
    </w:p>
    <w:p w14:paraId="2C87ADDD" w14:textId="77777777" w:rsidR="004B2DFD" w:rsidRPr="00AC14F7" w:rsidRDefault="004B2DFD" w:rsidP="00D5711D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AC14F7">
        <w:rPr>
          <w:rFonts w:cs="Times New Roman"/>
          <w:sz w:val="28"/>
          <w:szCs w:val="28"/>
        </w:rPr>
        <w:t>Рентабельность оценивается по двум формулам (</w:t>
      </w:r>
      <w:r w:rsidRPr="00AC14F7">
        <w:rPr>
          <w:rFonts w:cs="Times New Roman"/>
          <w:sz w:val="28"/>
          <w:szCs w:val="28"/>
          <w:lang w:val="en-US"/>
        </w:rPr>
        <w:t>EBITDA</w:t>
      </w:r>
      <w:r w:rsidRPr="00AC14F7">
        <w:rPr>
          <w:rFonts w:cs="Times New Roman"/>
          <w:sz w:val="28"/>
          <w:szCs w:val="28"/>
        </w:rPr>
        <w:t xml:space="preserve"> / Выручка, (</w:t>
      </w:r>
      <w:r w:rsidRPr="00AC14F7">
        <w:rPr>
          <w:rFonts w:cs="Times New Roman"/>
          <w:sz w:val="28"/>
          <w:szCs w:val="28"/>
          <w:lang w:val="en-US"/>
        </w:rPr>
        <w:t>FFO</w:t>
      </w:r>
      <w:r w:rsidRPr="00AC14F7">
        <w:rPr>
          <w:rFonts w:cs="Times New Roman"/>
          <w:sz w:val="28"/>
          <w:szCs w:val="28"/>
        </w:rPr>
        <w:t xml:space="preserve"> – </w:t>
      </w:r>
      <w:r w:rsidRPr="00AC14F7">
        <w:rPr>
          <w:rFonts w:cs="Times New Roman"/>
          <w:sz w:val="28"/>
          <w:szCs w:val="28"/>
          <w:lang w:val="en-US"/>
        </w:rPr>
        <w:t>Capex</w:t>
      </w:r>
      <w:r w:rsidRPr="00AC14F7">
        <w:rPr>
          <w:rFonts w:cs="Times New Roman"/>
          <w:sz w:val="28"/>
          <w:szCs w:val="28"/>
        </w:rPr>
        <w:t xml:space="preserve"> </w:t>
      </w:r>
      <w:r w:rsidRPr="00AC14F7">
        <w:rPr>
          <w:rFonts w:cs="Times New Roman"/>
          <w:sz w:val="28"/>
          <w:szCs w:val="28"/>
          <w:lang w:val="en-US"/>
        </w:rPr>
        <w:t>Maintenance</w:t>
      </w:r>
      <w:r w:rsidRPr="00AC14F7">
        <w:rPr>
          <w:rFonts w:cs="Times New Roman"/>
          <w:sz w:val="28"/>
          <w:szCs w:val="28"/>
        </w:rPr>
        <w:t xml:space="preserve">) / Выручка; ранее – по четырем: </w:t>
      </w:r>
      <w:r w:rsidRPr="00AC14F7">
        <w:rPr>
          <w:rFonts w:cs="Times New Roman"/>
          <w:sz w:val="28"/>
          <w:szCs w:val="28"/>
          <w:lang w:val="en-US"/>
        </w:rPr>
        <w:t>EBITDA</w:t>
      </w:r>
      <w:r w:rsidRPr="00AC14F7">
        <w:rPr>
          <w:rFonts w:cs="Times New Roman"/>
          <w:sz w:val="28"/>
          <w:szCs w:val="28"/>
        </w:rPr>
        <w:t xml:space="preserve"> / Выручка, </w:t>
      </w:r>
      <w:r w:rsidRPr="00AC14F7">
        <w:rPr>
          <w:rFonts w:cs="Times New Roman"/>
          <w:sz w:val="28"/>
          <w:szCs w:val="28"/>
          <w:lang w:val="en-US"/>
        </w:rPr>
        <w:t>ROA</w:t>
      </w:r>
      <w:r w:rsidRPr="00AC14F7">
        <w:rPr>
          <w:rFonts w:cs="Times New Roman"/>
          <w:sz w:val="28"/>
          <w:szCs w:val="28"/>
        </w:rPr>
        <w:t xml:space="preserve">, </w:t>
      </w:r>
      <w:r w:rsidRPr="00AC14F7">
        <w:rPr>
          <w:rFonts w:cs="Times New Roman"/>
          <w:sz w:val="28"/>
          <w:szCs w:val="28"/>
          <w:lang w:val="en-US"/>
        </w:rPr>
        <w:t>ROE</w:t>
      </w:r>
      <w:r w:rsidRPr="00AC14F7">
        <w:rPr>
          <w:rFonts w:cs="Times New Roman"/>
          <w:sz w:val="28"/>
          <w:szCs w:val="28"/>
        </w:rPr>
        <w:t xml:space="preserve">, </w:t>
      </w:r>
      <w:r w:rsidRPr="00AC14F7">
        <w:rPr>
          <w:rFonts w:cs="Times New Roman"/>
          <w:sz w:val="28"/>
          <w:szCs w:val="28"/>
          <w:lang w:val="en-US"/>
        </w:rPr>
        <w:t>ROS</w:t>
      </w:r>
      <w:r w:rsidRPr="00AC14F7">
        <w:rPr>
          <w:rFonts w:cs="Times New Roman"/>
          <w:sz w:val="28"/>
          <w:szCs w:val="28"/>
        </w:rPr>
        <w:t>). Период оценки совпадает с периодом из фактора «Долговая нагрузка».</w:t>
      </w:r>
    </w:p>
    <w:p w14:paraId="6C25AF67" w14:textId="593E09F5" w:rsidR="004B2DFD" w:rsidRPr="00AC14F7" w:rsidRDefault="004B2DFD" w:rsidP="00D5711D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AC14F7">
        <w:rPr>
          <w:rFonts w:cs="Times New Roman"/>
          <w:sz w:val="28"/>
          <w:szCs w:val="28"/>
        </w:rPr>
        <w:t>А</w:t>
      </w:r>
      <w:r w:rsidR="00A843C8" w:rsidRPr="00AC14F7">
        <w:rPr>
          <w:rFonts w:cs="Times New Roman"/>
          <w:sz w:val="28"/>
          <w:szCs w:val="28"/>
        </w:rPr>
        <w:t>гентство</w:t>
      </w:r>
      <w:r w:rsidRPr="00AC14F7">
        <w:rPr>
          <w:rFonts w:cs="Times New Roman"/>
          <w:sz w:val="28"/>
          <w:szCs w:val="28"/>
        </w:rPr>
        <w:t xml:space="preserve"> может применить корректировки выручки, чтобы привести ее к сопоставимости с другими компаниями. Также добавлена возможность корректировки оценки фактора, если оценки маржинальности по натуральным показателям сильно отличаются от оценки по приведенным формулам.</w:t>
      </w:r>
    </w:p>
    <w:p w14:paraId="7CC7047D" w14:textId="77777777" w:rsidR="004B2DFD" w:rsidRPr="00AC14F7" w:rsidRDefault="004B2DFD" w:rsidP="00D5711D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14:paraId="7A043C32" w14:textId="036A5689" w:rsidR="004B2DFD" w:rsidRPr="00AC14F7" w:rsidRDefault="004B2DFD" w:rsidP="00A843C8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cs="Times New Roman"/>
          <w:b/>
          <w:sz w:val="28"/>
          <w:szCs w:val="28"/>
        </w:rPr>
      </w:pPr>
      <w:r w:rsidRPr="00AC14F7">
        <w:rPr>
          <w:rFonts w:cs="Times New Roman"/>
          <w:b/>
          <w:sz w:val="28"/>
          <w:szCs w:val="28"/>
        </w:rPr>
        <w:t>Анализ подверженности валютным рискам включен в фактор «П</w:t>
      </w:r>
      <w:r w:rsidR="00093418" w:rsidRPr="00AC14F7">
        <w:rPr>
          <w:rFonts w:cs="Times New Roman"/>
          <w:b/>
          <w:sz w:val="28"/>
          <w:szCs w:val="28"/>
        </w:rPr>
        <w:t>одверженность рыночным рискам»</w:t>
      </w:r>
    </w:p>
    <w:p w14:paraId="0F86560F" w14:textId="77777777" w:rsidR="004B2DFD" w:rsidRPr="00AC14F7" w:rsidRDefault="004B2DFD" w:rsidP="00D5711D">
      <w:pPr>
        <w:spacing w:after="0" w:line="240" w:lineRule="auto"/>
        <w:jc w:val="both"/>
        <w:rPr>
          <w:rFonts w:cs="Times New Roman"/>
          <w:b/>
          <w:sz w:val="28"/>
          <w:szCs w:val="28"/>
        </w:rPr>
      </w:pPr>
      <w:r w:rsidRPr="00AC14F7">
        <w:rPr>
          <w:rFonts w:cs="Times New Roman"/>
          <w:sz w:val="28"/>
          <w:szCs w:val="28"/>
        </w:rPr>
        <w:t>Помимо этого, фактор описывает оценку ценового риска выпускаемой продукции или сырья, рисков использования производных финансовых инструментов, а также рисков плавающих процентных ставок.</w:t>
      </w:r>
    </w:p>
    <w:p w14:paraId="2FA035B9" w14:textId="77777777" w:rsidR="004B2DFD" w:rsidRPr="00AC14F7" w:rsidRDefault="004B2DFD" w:rsidP="00D5711D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AC14F7">
        <w:rPr>
          <w:rFonts w:cs="Times New Roman"/>
          <w:sz w:val="28"/>
          <w:szCs w:val="28"/>
        </w:rPr>
        <w:t>Для случаев крайне высоких рисков предусмотрен стресс-фактор за рыночные риски.</w:t>
      </w:r>
    </w:p>
    <w:p w14:paraId="3039BD7E" w14:textId="77777777" w:rsidR="004B2DFD" w:rsidRPr="00AC14F7" w:rsidRDefault="004B2DFD" w:rsidP="00D5711D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14:paraId="322768F6" w14:textId="7563116F" w:rsidR="004B2DFD" w:rsidRPr="00AC14F7" w:rsidRDefault="004B2DFD" w:rsidP="00A843C8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cs="Times New Roman"/>
          <w:b/>
          <w:sz w:val="28"/>
          <w:szCs w:val="28"/>
        </w:rPr>
      </w:pPr>
      <w:r w:rsidRPr="00AC14F7">
        <w:rPr>
          <w:rFonts w:cs="Times New Roman"/>
          <w:b/>
          <w:sz w:val="28"/>
          <w:szCs w:val="28"/>
        </w:rPr>
        <w:t>Фактор «Структура собственности» преобразован в фактор «Структура соб</w:t>
      </w:r>
      <w:r w:rsidR="00093418" w:rsidRPr="00AC14F7">
        <w:rPr>
          <w:rFonts w:cs="Times New Roman"/>
          <w:b/>
          <w:sz w:val="28"/>
          <w:szCs w:val="28"/>
        </w:rPr>
        <w:t>ственности и структура группы»</w:t>
      </w:r>
    </w:p>
    <w:p w14:paraId="2CF26535" w14:textId="77777777" w:rsidR="004B2DFD" w:rsidRPr="00AC14F7" w:rsidRDefault="004B2DFD" w:rsidP="00D5711D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AC14F7">
        <w:rPr>
          <w:rFonts w:cs="Times New Roman"/>
          <w:sz w:val="28"/>
          <w:szCs w:val="28"/>
        </w:rPr>
        <w:t>Помимо оценки структуры конечных собственников, которая теперь зависит в основном не от концентрации, а от характеристик собственников, добавлен анализ юридической структуры цепочек владения, что ранее оценивалось через отдельные корректировки.</w:t>
      </w:r>
    </w:p>
    <w:p w14:paraId="6A2172CD" w14:textId="74CC7CE3" w:rsidR="004B2DFD" w:rsidRPr="00AC14F7" w:rsidRDefault="004B2DFD" w:rsidP="00D5711D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AC14F7">
        <w:rPr>
          <w:rFonts w:cs="Times New Roman"/>
          <w:sz w:val="28"/>
          <w:szCs w:val="28"/>
        </w:rPr>
        <w:t>Изменен алгоритм определения оценки: базовая оценка фактора составляет 1</w:t>
      </w:r>
      <w:r w:rsidR="005C2C89" w:rsidRPr="00AC14F7">
        <w:rPr>
          <w:rFonts w:cs="Times New Roman"/>
          <w:sz w:val="28"/>
          <w:szCs w:val="28"/>
        </w:rPr>
        <w:t>,</w:t>
      </w:r>
      <w:r w:rsidRPr="00AC14F7">
        <w:rPr>
          <w:rFonts w:cs="Times New Roman"/>
          <w:sz w:val="28"/>
          <w:szCs w:val="28"/>
        </w:rPr>
        <w:t xml:space="preserve"> предусмотрены основания для ее корректировки вниз.</w:t>
      </w:r>
    </w:p>
    <w:p w14:paraId="203E066E" w14:textId="77777777" w:rsidR="004B2DFD" w:rsidRPr="00AC14F7" w:rsidRDefault="004B2DFD" w:rsidP="00D5711D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14:paraId="06896947" w14:textId="6EDF0F1A" w:rsidR="004B2DFD" w:rsidRPr="00AC14F7" w:rsidRDefault="004B2DFD" w:rsidP="00D5711D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Times New Roman"/>
          <w:b/>
          <w:sz w:val="28"/>
          <w:szCs w:val="28"/>
        </w:rPr>
      </w:pPr>
      <w:r w:rsidRPr="00AC14F7">
        <w:rPr>
          <w:rFonts w:cs="Times New Roman"/>
          <w:b/>
          <w:sz w:val="28"/>
          <w:szCs w:val="28"/>
        </w:rPr>
        <w:t>Скорректированы крите</w:t>
      </w:r>
      <w:r w:rsidR="00093418" w:rsidRPr="00AC14F7">
        <w:rPr>
          <w:rFonts w:cs="Times New Roman"/>
          <w:b/>
          <w:sz w:val="28"/>
          <w:szCs w:val="28"/>
        </w:rPr>
        <w:t>рии оценки качества управления</w:t>
      </w:r>
    </w:p>
    <w:p w14:paraId="57AFF489" w14:textId="77777777" w:rsidR="004B2DFD" w:rsidRPr="00AC14F7" w:rsidRDefault="004B2DFD" w:rsidP="00D5711D">
      <w:pPr>
        <w:spacing w:after="0" w:line="240" w:lineRule="auto"/>
        <w:jc w:val="both"/>
        <w:rPr>
          <w:rFonts w:eastAsia="Calibri" w:cs="Times New Roman"/>
          <w:sz w:val="28"/>
          <w:szCs w:val="28"/>
          <w:lang w:eastAsia="ru-RU"/>
        </w:rPr>
      </w:pPr>
    </w:p>
    <w:p w14:paraId="14450ED4" w14:textId="5DFB4FF2" w:rsidR="004B2DFD" w:rsidRPr="00AC14F7" w:rsidRDefault="004B2DFD" w:rsidP="00A843C8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cs="Times New Roman"/>
          <w:b/>
          <w:sz w:val="28"/>
          <w:szCs w:val="28"/>
        </w:rPr>
      </w:pPr>
      <w:r w:rsidRPr="00AC14F7">
        <w:rPr>
          <w:rFonts w:cs="Times New Roman"/>
          <w:b/>
          <w:sz w:val="28"/>
          <w:szCs w:val="28"/>
        </w:rPr>
        <w:t>Фактор «Репутация аудитора» исключен из анализа. В анализ фактора «Степень транспарентности» включены критерии, относящиеся к аудиторскому за</w:t>
      </w:r>
      <w:r w:rsidR="00093418" w:rsidRPr="00AC14F7">
        <w:rPr>
          <w:rFonts w:cs="Times New Roman"/>
          <w:b/>
          <w:sz w:val="28"/>
          <w:szCs w:val="28"/>
        </w:rPr>
        <w:t>ключению и репутации аудитора</w:t>
      </w:r>
    </w:p>
    <w:p w14:paraId="38569370" w14:textId="77777777" w:rsidR="004B2DFD" w:rsidRPr="00AC14F7" w:rsidRDefault="004B2DFD" w:rsidP="00D5711D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AC14F7">
        <w:rPr>
          <w:rFonts w:cs="Times New Roman"/>
          <w:sz w:val="28"/>
          <w:szCs w:val="28"/>
        </w:rPr>
        <w:t>В рамках фактора дополнительно оцениваются прозрачность группы и качество отчетности.</w:t>
      </w:r>
    </w:p>
    <w:p w14:paraId="6C6300E8" w14:textId="77777777" w:rsidR="004B2DFD" w:rsidRPr="00AC14F7" w:rsidRDefault="004B2DFD" w:rsidP="00D5711D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14:paraId="3186BD7E" w14:textId="0C074160" w:rsidR="001F0E2E" w:rsidRPr="00AC14F7" w:rsidRDefault="004B2DFD" w:rsidP="001F0E2E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cs="Times New Roman"/>
          <w:sz w:val="28"/>
          <w:szCs w:val="28"/>
        </w:rPr>
      </w:pPr>
      <w:r w:rsidRPr="00AC14F7">
        <w:rPr>
          <w:rFonts w:cs="Times New Roman"/>
          <w:b/>
          <w:sz w:val="28"/>
          <w:szCs w:val="28"/>
        </w:rPr>
        <w:t>Набор критериев оценки фактора «Страт</w:t>
      </w:r>
      <w:r w:rsidR="00093418" w:rsidRPr="00AC14F7">
        <w:rPr>
          <w:rFonts w:cs="Times New Roman"/>
          <w:b/>
          <w:sz w:val="28"/>
          <w:szCs w:val="28"/>
        </w:rPr>
        <w:t>егическое обеспечение» расширен</w:t>
      </w:r>
    </w:p>
    <w:p w14:paraId="42B72185" w14:textId="3A4CDB52" w:rsidR="004B2DFD" w:rsidRPr="00AC14F7" w:rsidRDefault="001F0E2E" w:rsidP="001F0E2E">
      <w:pPr>
        <w:tabs>
          <w:tab w:val="left" w:pos="426"/>
        </w:tabs>
        <w:spacing w:after="0" w:line="240" w:lineRule="auto"/>
        <w:contextualSpacing/>
        <w:jc w:val="both"/>
        <w:rPr>
          <w:rFonts w:cs="Times New Roman"/>
          <w:sz w:val="28"/>
          <w:szCs w:val="28"/>
        </w:rPr>
      </w:pPr>
      <w:r w:rsidRPr="00AC14F7">
        <w:rPr>
          <w:rFonts w:cs="Times New Roman"/>
          <w:sz w:val="28"/>
          <w:szCs w:val="28"/>
        </w:rPr>
        <w:t xml:space="preserve"> </w:t>
      </w:r>
    </w:p>
    <w:p w14:paraId="3EE4E7A5" w14:textId="43072AD6" w:rsidR="001F0E2E" w:rsidRPr="00AC14F7" w:rsidRDefault="004B2DFD" w:rsidP="005C2C89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cs="Times New Roman"/>
          <w:b/>
          <w:sz w:val="28"/>
          <w:szCs w:val="28"/>
        </w:rPr>
      </w:pPr>
      <w:r w:rsidRPr="00AC14F7">
        <w:rPr>
          <w:rFonts w:cs="Times New Roman"/>
          <w:b/>
          <w:sz w:val="28"/>
          <w:szCs w:val="28"/>
        </w:rPr>
        <w:t>Скорректирован алгоритм оценки фактора «Качество риск-менеджмента»</w:t>
      </w:r>
    </w:p>
    <w:p w14:paraId="068DBBCB" w14:textId="2015DC1B" w:rsidR="004B2DFD" w:rsidRPr="00CA2A99" w:rsidRDefault="001F0E2E" w:rsidP="001F0E2E">
      <w:pPr>
        <w:spacing w:after="0" w:line="240" w:lineRule="auto"/>
        <w:contextualSpacing/>
        <w:jc w:val="both"/>
        <w:rPr>
          <w:rFonts w:cs="Times New Roman"/>
          <w:sz w:val="28"/>
          <w:szCs w:val="28"/>
        </w:rPr>
      </w:pPr>
      <w:r w:rsidRPr="00AC14F7">
        <w:rPr>
          <w:rFonts w:cs="Times New Roman"/>
          <w:sz w:val="28"/>
          <w:szCs w:val="28"/>
        </w:rPr>
        <w:t>Б</w:t>
      </w:r>
      <w:r w:rsidR="004B2DFD" w:rsidRPr="00AC14F7">
        <w:rPr>
          <w:rFonts w:cs="Times New Roman"/>
          <w:sz w:val="28"/>
          <w:szCs w:val="28"/>
        </w:rPr>
        <w:t xml:space="preserve">азовая оценка фактора составляет 0, если в компании есть элементы системы риск-менеджмента, или -1, если они не выявлены, и предусмотрены основания для корректировки оценки вверх за наличие коллегиального органа или </w:t>
      </w:r>
      <w:r w:rsidR="004B2DFD" w:rsidRPr="00CA2A99">
        <w:rPr>
          <w:rFonts w:cs="Times New Roman"/>
          <w:sz w:val="28"/>
          <w:szCs w:val="28"/>
        </w:rPr>
        <w:t>страхование рисков, или вниз за формальный подход к риск-менеджменту.</w:t>
      </w:r>
    </w:p>
    <w:p w14:paraId="066A115F" w14:textId="3D2071D4" w:rsidR="004B2DFD" w:rsidRPr="00CA2A99" w:rsidRDefault="004B2DFD" w:rsidP="00D5711D">
      <w:pPr>
        <w:spacing w:after="0" w:line="240" w:lineRule="auto"/>
        <w:jc w:val="both"/>
        <w:rPr>
          <w:rFonts w:cs="Times New Roman"/>
          <w:b/>
          <w:sz w:val="28"/>
          <w:szCs w:val="28"/>
        </w:rPr>
      </w:pPr>
    </w:p>
    <w:p w14:paraId="5B499BE4" w14:textId="63F64094" w:rsidR="00535AC2" w:rsidRPr="00CA2A99" w:rsidRDefault="00535AC2" w:rsidP="00535AC2">
      <w:pPr>
        <w:pStyle w:val="aa"/>
        <w:numPr>
          <w:ilvl w:val="0"/>
          <w:numId w:val="1"/>
        </w:numPr>
        <w:spacing w:after="0"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CA2A99">
        <w:rPr>
          <w:rFonts w:cs="Times New Roman"/>
          <w:b/>
          <w:sz w:val="28"/>
          <w:szCs w:val="28"/>
        </w:rPr>
        <w:t xml:space="preserve">Перечень внутренних стресс-факторов претерпел изменения из-за появления отдельных стресс-факторов за долговую нагрузку, концентрацию бизнеса (вместо зависимости от контрагентов), рыночные риски (вместо валютных рисков). </w:t>
      </w:r>
      <w:r w:rsidR="00CA2A99" w:rsidRPr="00CA2A99">
        <w:rPr>
          <w:rFonts w:cs="Times New Roman"/>
          <w:sz w:val="28"/>
          <w:szCs w:val="28"/>
        </w:rPr>
        <w:t>Оговаривается, что д</w:t>
      </w:r>
      <w:r w:rsidRPr="00CA2A99">
        <w:rPr>
          <w:rFonts w:cs="Times New Roman"/>
          <w:sz w:val="28"/>
          <w:szCs w:val="28"/>
        </w:rPr>
        <w:t xml:space="preserve">ля </w:t>
      </w:r>
      <w:r w:rsidR="00CA2A99" w:rsidRPr="00CA2A99">
        <w:rPr>
          <w:rFonts w:cs="Times New Roman"/>
          <w:sz w:val="28"/>
          <w:szCs w:val="28"/>
        </w:rPr>
        <w:t>применения стресс-фактора</w:t>
      </w:r>
      <w:r w:rsidRPr="00CA2A99">
        <w:rPr>
          <w:rFonts w:cs="Times New Roman"/>
          <w:sz w:val="28"/>
          <w:szCs w:val="28"/>
        </w:rPr>
        <w:t>, являющ</w:t>
      </w:r>
      <w:r w:rsidR="00CA2A99" w:rsidRPr="00CA2A99">
        <w:rPr>
          <w:rFonts w:cs="Times New Roman"/>
          <w:sz w:val="28"/>
          <w:szCs w:val="28"/>
        </w:rPr>
        <w:t>егося</w:t>
      </w:r>
      <w:r w:rsidRPr="00CA2A99">
        <w:rPr>
          <w:rFonts w:cs="Times New Roman"/>
          <w:sz w:val="28"/>
          <w:szCs w:val="28"/>
        </w:rPr>
        <w:t xml:space="preserve"> </w:t>
      </w:r>
      <w:r w:rsidR="00CA2A99" w:rsidRPr="00CA2A99">
        <w:rPr>
          <w:rFonts w:cs="Times New Roman"/>
          <w:sz w:val="28"/>
          <w:szCs w:val="28"/>
        </w:rPr>
        <w:t xml:space="preserve">развитием фактора </w:t>
      </w:r>
      <w:r w:rsidRPr="00CA2A99">
        <w:rPr>
          <w:rFonts w:cs="Times New Roman"/>
          <w:sz w:val="28"/>
          <w:szCs w:val="28"/>
        </w:rPr>
        <w:t xml:space="preserve">рейтинговой модели, </w:t>
      </w:r>
      <w:r w:rsidR="00CA2A99" w:rsidRPr="00CA2A99">
        <w:rPr>
          <w:rFonts w:cs="Times New Roman"/>
          <w:sz w:val="28"/>
          <w:szCs w:val="28"/>
        </w:rPr>
        <w:t xml:space="preserve">необходимо, чтобы фактор был оценен </w:t>
      </w:r>
      <w:r w:rsidRPr="00CA2A99">
        <w:rPr>
          <w:rFonts w:cs="Times New Roman"/>
          <w:sz w:val="28"/>
          <w:szCs w:val="28"/>
        </w:rPr>
        <w:t>на -1.</w:t>
      </w:r>
    </w:p>
    <w:p w14:paraId="20BBAF87" w14:textId="77777777" w:rsidR="00535AC2" w:rsidRPr="00CA2A99" w:rsidRDefault="00535AC2" w:rsidP="00D5711D">
      <w:pPr>
        <w:spacing w:after="0" w:line="240" w:lineRule="auto"/>
        <w:jc w:val="both"/>
        <w:rPr>
          <w:rFonts w:cs="Times New Roman"/>
          <w:b/>
          <w:sz w:val="28"/>
          <w:szCs w:val="28"/>
        </w:rPr>
      </w:pPr>
    </w:p>
    <w:p w14:paraId="43F13BE3" w14:textId="64F00AB2" w:rsidR="001F0E2E" w:rsidRPr="00AC14F7" w:rsidRDefault="001F0E2E" w:rsidP="001F0E2E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cs="Times New Roman"/>
          <w:b/>
          <w:sz w:val="28"/>
          <w:szCs w:val="28"/>
        </w:rPr>
      </w:pPr>
      <w:r w:rsidRPr="00CA2A99">
        <w:rPr>
          <w:rFonts w:cs="Times New Roman"/>
          <w:b/>
          <w:sz w:val="28"/>
          <w:szCs w:val="28"/>
        </w:rPr>
        <w:t>Н</w:t>
      </w:r>
      <w:r w:rsidR="004B2DFD" w:rsidRPr="00CA2A99">
        <w:rPr>
          <w:rFonts w:cs="Times New Roman"/>
          <w:b/>
          <w:sz w:val="28"/>
          <w:szCs w:val="28"/>
        </w:rPr>
        <w:t xml:space="preserve">азвание стресс-фактора «Деловая репутация» </w:t>
      </w:r>
      <w:r w:rsidRPr="00CA2A99">
        <w:rPr>
          <w:rFonts w:cs="Times New Roman"/>
          <w:b/>
          <w:sz w:val="28"/>
          <w:szCs w:val="28"/>
        </w:rPr>
        <w:t xml:space="preserve">изменено </w:t>
      </w:r>
      <w:r w:rsidR="004B2DFD" w:rsidRPr="00CA2A99">
        <w:rPr>
          <w:rFonts w:cs="Times New Roman"/>
          <w:b/>
          <w:sz w:val="28"/>
          <w:szCs w:val="28"/>
        </w:rPr>
        <w:t>на «Деловая</w:t>
      </w:r>
      <w:r w:rsidR="004B2DFD" w:rsidRPr="00AC14F7">
        <w:rPr>
          <w:rFonts w:cs="Times New Roman"/>
          <w:b/>
          <w:sz w:val="28"/>
          <w:szCs w:val="28"/>
        </w:rPr>
        <w:t xml:space="preserve"> репутация и корпоративные риски»</w:t>
      </w:r>
      <w:r w:rsidRPr="00AC14F7">
        <w:rPr>
          <w:rFonts w:cs="Times New Roman"/>
          <w:b/>
          <w:sz w:val="28"/>
          <w:szCs w:val="28"/>
        </w:rPr>
        <w:t>, и</w:t>
      </w:r>
      <w:r w:rsidR="004B2DFD" w:rsidRPr="00AC14F7">
        <w:rPr>
          <w:rFonts w:cs="Times New Roman"/>
          <w:b/>
          <w:sz w:val="28"/>
          <w:szCs w:val="28"/>
        </w:rPr>
        <w:t>зменен перечень применяемых вычетов</w:t>
      </w:r>
    </w:p>
    <w:p w14:paraId="2E292CF3" w14:textId="6D8E343B" w:rsidR="004B2DFD" w:rsidRPr="00AC14F7" w:rsidRDefault="001F0E2E" w:rsidP="001F0E2E">
      <w:pPr>
        <w:spacing w:after="0" w:line="240" w:lineRule="auto"/>
        <w:contextualSpacing/>
        <w:jc w:val="both"/>
        <w:rPr>
          <w:rFonts w:cs="Times New Roman"/>
          <w:b/>
          <w:sz w:val="28"/>
          <w:szCs w:val="28"/>
        </w:rPr>
      </w:pPr>
      <w:r w:rsidRPr="00AC14F7">
        <w:rPr>
          <w:rFonts w:cs="Times New Roman"/>
          <w:sz w:val="28"/>
          <w:szCs w:val="28"/>
        </w:rPr>
        <w:t>Д</w:t>
      </w:r>
      <w:r w:rsidR="004B2DFD" w:rsidRPr="00AC14F7">
        <w:rPr>
          <w:rFonts w:cs="Times New Roman"/>
          <w:sz w:val="28"/>
          <w:szCs w:val="28"/>
        </w:rPr>
        <w:t>обавлен вычет, связанный с нахождением топ-менеджеров или собственников в розыске или применением в отношении них мер изоляции на период следственных действий, исключены вычеты за негативное аудиторское заключение или значимые оговорки.</w:t>
      </w:r>
    </w:p>
    <w:p w14:paraId="7CAE2C08" w14:textId="77777777" w:rsidR="004B2DFD" w:rsidRPr="00AC14F7" w:rsidRDefault="004B2DFD" w:rsidP="00D5711D">
      <w:pPr>
        <w:spacing w:after="0" w:line="240" w:lineRule="auto"/>
        <w:jc w:val="both"/>
        <w:rPr>
          <w:rFonts w:cs="Times New Roman"/>
          <w:b/>
          <w:sz w:val="28"/>
          <w:szCs w:val="28"/>
        </w:rPr>
      </w:pPr>
    </w:p>
    <w:p w14:paraId="40DC333B" w14:textId="77777777" w:rsidR="004B2DFD" w:rsidRPr="00AC14F7" w:rsidRDefault="004B2DFD" w:rsidP="00A843C8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cs="Times New Roman"/>
          <w:b/>
          <w:sz w:val="28"/>
          <w:szCs w:val="28"/>
        </w:rPr>
      </w:pPr>
      <w:r w:rsidRPr="00AC14F7">
        <w:rPr>
          <w:rFonts w:cs="Times New Roman"/>
          <w:b/>
          <w:sz w:val="28"/>
          <w:szCs w:val="28"/>
        </w:rPr>
        <w:t>Вес раздела «Бизнес-риски» увеличен с 25 до 40 % за счет уменьшения веса раздела «Финансовые риски» на 10 п. п. и «Корпоративные риски» на 5 п. п.</w:t>
      </w:r>
    </w:p>
    <w:p w14:paraId="5AA62FE1" w14:textId="493BB4DB" w:rsidR="004B2DFD" w:rsidRPr="00AC14F7" w:rsidRDefault="004B2DFD" w:rsidP="00A843C8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cs="Times New Roman"/>
          <w:b/>
          <w:sz w:val="28"/>
          <w:szCs w:val="28"/>
        </w:rPr>
      </w:pPr>
      <w:r w:rsidRPr="00AC14F7">
        <w:rPr>
          <w:rFonts w:cs="Times New Roman"/>
          <w:b/>
          <w:sz w:val="28"/>
          <w:szCs w:val="28"/>
        </w:rPr>
        <w:t>В связи с изменением набора факторов и их названий внесены изменения в таблицу с весами (раздел</w:t>
      </w:r>
      <w:r w:rsidR="00093418" w:rsidRPr="00AC14F7">
        <w:rPr>
          <w:rFonts w:cs="Times New Roman"/>
          <w:b/>
          <w:sz w:val="28"/>
          <w:szCs w:val="28"/>
        </w:rPr>
        <w:t xml:space="preserve"> «Веса значимости показателей»)</w:t>
      </w:r>
    </w:p>
    <w:p w14:paraId="3487B596" w14:textId="224C888E" w:rsidR="004B2DFD" w:rsidRPr="00AC14F7" w:rsidRDefault="004B2DFD" w:rsidP="00A843C8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cs="Times New Roman"/>
          <w:b/>
          <w:sz w:val="28"/>
          <w:szCs w:val="28"/>
        </w:rPr>
      </w:pPr>
      <w:r w:rsidRPr="00AC14F7">
        <w:rPr>
          <w:rFonts w:cs="Times New Roman"/>
          <w:b/>
          <w:sz w:val="28"/>
          <w:szCs w:val="28"/>
        </w:rPr>
        <w:t>Критерии оценки ряда показателей раздела «Финансовые риски» вынесены в</w:t>
      </w:r>
      <w:r w:rsidR="00093418" w:rsidRPr="00AC14F7">
        <w:rPr>
          <w:rFonts w:cs="Times New Roman"/>
          <w:b/>
          <w:sz w:val="28"/>
          <w:szCs w:val="28"/>
        </w:rPr>
        <w:t xml:space="preserve"> отдельную таблицу (Приложение)</w:t>
      </w:r>
    </w:p>
    <w:p w14:paraId="3F1155C8" w14:textId="6C21C0B3" w:rsidR="004B2DFD" w:rsidRPr="00AC14F7" w:rsidRDefault="004B2DFD" w:rsidP="00A843C8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contextualSpacing/>
        <w:jc w:val="both"/>
      </w:pPr>
      <w:r w:rsidRPr="00AC14F7">
        <w:rPr>
          <w:rFonts w:cs="Times New Roman"/>
          <w:b/>
          <w:sz w:val="28"/>
          <w:szCs w:val="28"/>
        </w:rPr>
        <w:t>Ре</w:t>
      </w:r>
      <w:r w:rsidR="00093418" w:rsidRPr="00AC14F7">
        <w:rPr>
          <w:rFonts w:cs="Times New Roman"/>
          <w:b/>
          <w:sz w:val="28"/>
          <w:szCs w:val="28"/>
        </w:rPr>
        <w:t>ализованы технические изменения</w:t>
      </w:r>
    </w:p>
    <w:sectPr w:rsidR="004B2DFD" w:rsidRPr="00AC14F7" w:rsidSect="005C2C89">
      <w:footerReference w:type="default" r:id="rId7"/>
      <w:pgSz w:w="11906" w:h="16838"/>
      <w:pgMar w:top="1134" w:right="850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277B7E" w14:textId="77777777" w:rsidR="00924EE6" w:rsidRDefault="00924EE6" w:rsidP="00A843C8">
      <w:pPr>
        <w:spacing w:after="0" w:line="240" w:lineRule="auto"/>
      </w:pPr>
      <w:r>
        <w:separator/>
      </w:r>
    </w:p>
  </w:endnote>
  <w:endnote w:type="continuationSeparator" w:id="0">
    <w:p w14:paraId="04B82331" w14:textId="77777777" w:rsidR="00924EE6" w:rsidRDefault="00924EE6" w:rsidP="00A84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65532914"/>
      <w:docPartObj>
        <w:docPartGallery w:val="Page Numbers (Bottom of Page)"/>
        <w:docPartUnique/>
      </w:docPartObj>
    </w:sdtPr>
    <w:sdtEndPr/>
    <w:sdtContent>
      <w:p w14:paraId="630EA4DC" w14:textId="3DD4488F" w:rsidR="00A843C8" w:rsidRDefault="00A843C8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1EDF2ED" w14:textId="77777777" w:rsidR="00A843C8" w:rsidRDefault="00A843C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B7F990" w14:textId="77777777" w:rsidR="00924EE6" w:rsidRDefault="00924EE6" w:rsidP="00A843C8">
      <w:pPr>
        <w:spacing w:after="0" w:line="240" w:lineRule="auto"/>
      </w:pPr>
      <w:r>
        <w:separator/>
      </w:r>
    </w:p>
  </w:footnote>
  <w:footnote w:type="continuationSeparator" w:id="0">
    <w:p w14:paraId="58C721B4" w14:textId="77777777" w:rsidR="00924EE6" w:rsidRDefault="00924EE6" w:rsidP="00A843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D680F"/>
    <w:multiLevelType w:val="hybridMultilevel"/>
    <w:tmpl w:val="914EC8E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CD7CE2"/>
    <w:multiLevelType w:val="multilevel"/>
    <w:tmpl w:val="F948C8EA"/>
    <w:lvl w:ilvl="0">
      <w:start w:val="1"/>
      <w:numFmt w:val="decimal"/>
      <w:lvlText w:val="%1."/>
      <w:lvlJc w:val="left"/>
      <w:pPr>
        <w:ind w:left="360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7CC1048"/>
    <w:multiLevelType w:val="hybridMultilevel"/>
    <w:tmpl w:val="8DFEAE8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DFD"/>
    <w:rsid w:val="000576EF"/>
    <w:rsid w:val="00093418"/>
    <w:rsid w:val="001F0E2E"/>
    <w:rsid w:val="00302004"/>
    <w:rsid w:val="004639CD"/>
    <w:rsid w:val="004B2DFD"/>
    <w:rsid w:val="00535AC2"/>
    <w:rsid w:val="005C2C89"/>
    <w:rsid w:val="00924EE6"/>
    <w:rsid w:val="00950588"/>
    <w:rsid w:val="00A843C8"/>
    <w:rsid w:val="00AC14F7"/>
    <w:rsid w:val="00CA2A99"/>
    <w:rsid w:val="00D5711D"/>
    <w:rsid w:val="00F44A8C"/>
    <w:rsid w:val="00F67398"/>
    <w:rsid w:val="00F77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72143"/>
  <w15:chartTrackingRefBased/>
  <w15:docId w15:val="{96D6A5FC-4128-4E09-8A9E-EA8B54BC9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2DFD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5711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5711D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5711D"/>
    <w:rPr>
      <w:rFonts w:ascii="Times New Roman" w:hAnsi="Times New Roman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5711D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5711D"/>
    <w:rPr>
      <w:rFonts w:ascii="Times New Roman" w:hAnsi="Times New Roman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57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5711D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843C8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A843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843C8"/>
    <w:rPr>
      <w:rFonts w:ascii="Times New Roman" w:hAnsi="Times New Roman"/>
    </w:rPr>
  </w:style>
  <w:style w:type="paragraph" w:styleId="ad">
    <w:name w:val="footer"/>
    <w:basedOn w:val="a"/>
    <w:link w:val="ae"/>
    <w:uiPriority w:val="99"/>
    <w:unhideWhenUsed/>
    <w:rsid w:val="00A843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43C8"/>
    <w:rPr>
      <w:rFonts w:ascii="Times New Roman" w:hAnsi="Times New Roman"/>
    </w:rPr>
  </w:style>
  <w:style w:type="paragraph" w:styleId="af">
    <w:name w:val="Body Text"/>
    <w:basedOn w:val="a"/>
    <w:link w:val="af0"/>
    <w:uiPriority w:val="99"/>
    <w:semiHidden/>
    <w:unhideWhenUsed/>
    <w:rsid w:val="00535AC2"/>
    <w:pPr>
      <w:autoSpaceDE w:val="0"/>
      <w:autoSpaceDN w:val="0"/>
      <w:spacing w:after="0" w:line="240" w:lineRule="auto"/>
      <w:jc w:val="both"/>
    </w:pPr>
    <w:rPr>
      <w:rFonts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semiHidden/>
    <w:rsid w:val="00535AC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5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1315</Words>
  <Characters>7501</Characters>
  <Application>Microsoft Office Word</Application>
  <DocSecurity>4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Прокудин Антон</dc:creator>
  <cp:keywords/>
  <dc:description/>
  <cp:lastModifiedBy>Прокудин Антон</cp:lastModifiedBy>
  <cp:revision>2</cp:revision>
  <dcterms:created xsi:type="dcterms:W3CDTF">2020-08-24T12:00:00Z</dcterms:created>
  <dcterms:modified xsi:type="dcterms:W3CDTF">2020-08-24T12:00:00Z</dcterms:modified>
</cp:coreProperties>
</file>