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CC9941" w14:textId="5560D153" w:rsidR="003179A9" w:rsidRPr="00B95C19" w:rsidRDefault="00533944" w:rsidP="001F407A">
      <w:pPr>
        <w:spacing w:after="0" w:line="240" w:lineRule="auto"/>
        <w:jc w:val="both"/>
        <w:rPr>
          <w:rFonts w:ascii="Times New Roman" w:eastAsia="Times New Roman" w:hAnsi="Times New Roman" w:cs="Times New Roman"/>
          <w:b/>
          <w:bCs/>
          <w:sz w:val="24"/>
          <w:szCs w:val="24"/>
          <w:lang w:eastAsia="ru-RU"/>
        </w:rPr>
      </w:pPr>
      <w:r w:rsidRPr="00B95C19">
        <w:rPr>
          <w:rFonts w:ascii="Times New Roman" w:eastAsia="Times New Roman" w:hAnsi="Times New Roman" w:cs="Times New Roman"/>
          <w:b/>
          <w:bCs/>
          <w:sz w:val="24"/>
          <w:szCs w:val="24"/>
          <w:lang w:eastAsia="ru-RU"/>
        </w:rPr>
        <w:t>Изменения в</w:t>
      </w:r>
      <w:r w:rsidR="003179A9" w:rsidRPr="00B95C19">
        <w:rPr>
          <w:rFonts w:ascii="Times New Roman" w:eastAsia="Times New Roman" w:hAnsi="Times New Roman" w:cs="Times New Roman"/>
          <w:b/>
          <w:bCs/>
          <w:sz w:val="24"/>
          <w:szCs w:val="24"/>
          <w:lang w:eastAsia="ru-RU"/>
        </w:rPr>
        <w:t xml:space="preserve"> </w:t>
      </w:r>
      <w:r w:rsidR="00131BB3" w:rsidRPr="00B95C19">
        <w:rPr>
          <w:rFonts w:ascii="Times New Roman" w:eastAsia="Times New Roman" w:hAnsi="Times New Roman" w:cs="Times New Roman"/>
          <w:b/>
          <w:bCs/>
          <w:sz w:val="24"/>
          <w:szCs w:val="24"/>
          <w:lang w:eastAsia="ru-RU"/>
        </w:rPr>
        <w:t>методологии присвоения рейтингов финансовой надежности страховым компаниям</w:t>
      </w:r>
    </w:p>
    <w:p w14:paraId="15648F2B" w14:textId="77777777" w:rsidR="003179A9" w:rsidRPr="00B95C19" w:rsidRDefault="003179A9" w:rsidP="001F407A">
      <w:pPr>
        <w:spacing w:after="0" w:line="240" w:lineRule="auto"/>
        <w:jc w:val="both"/>
        <w:rPr>
          <w:rFonts w:ascii="Times New Roman" w:eastAsia="Times New Roman" w:hAnsi="Times New Roman" w:cs="Times New Roman"/>
          <w:b/>
          <w:bCs/>
          <w:sz w:val="24"/>
          <w:szCs w:val="24"/>
          <w:lang w:eastAsia="ru-RU"/>
        </w:rPr>
      </w:pPr>
    </w:p>
    <w:p w14:paraId="184AF834" w14:textId="5190328E" w:rsidR="00533944" w:rsidRPr="00B95C19" w:rsidRDefault="00533944" w:rsidP="001F407A">
      <w:pPr>
        <w:pStyle w:val="a7"/>
        <w:numPr>
          <w:ilvl w:val="0"/>
          <w:numId w:val="2"/>
        </w:numPr>
        <w:tabs>
          <w:tab w:val="left" w:pos="284"/>
        </w:tabs>
        <w:spacing w:after="0" w:line="240" w:lineRule="auto"/>
        <w:ind w:left="0" w:firstLine="0"/>
        <w:jc w:val="both"/>
        <w:rPr>
          <w:rFonts w:ascii="Times New Roman" w:hAnsi="Times New Roman" w:cs="Times New Roman"/>
          <w:sz w:val="24"/>
          <w:szCs w:val="24"/>
        </w:rPr>
      </w:pPr>
      <w:r w:rsidRPr="00B95C19">
        <w:rPr>
          <w:rFonts w:ascii="Times New Roman" w:hAnsi="Times New Roman" w:cs="Times New Roman"/>
          <w:sz w:val="24"/>
          <w:szCs w:val="24"/>
        </w:rPr>
        <w:t>В области применения методологии изложено:</w:t>
      </w:r>
    </w:p>
    <w:p w14:paraId="44B8F6A2" w14:textId="77777777" w:rsidR="00131BB3" w:rsidRPr="00B95C19" w:rsidRDefault="00131BB3" w:rsidP="001F407A">
      <w:pPr>
        <w:pStyle w:val="a9"/>
      </w:pPr>
      <w:r w:rsidRPr="00B95C19">
        <w:t xml:space="preserve">В соответствии с настоящей методологией кредитное рейтинговое агентство АО «Эксперт РА» (далее – Агентство или «Эксперт РА») присваивает рейтинги финансовой надежности (далее – рейтинг или кредитный рейтинг или рейтинг надежности) страховым организациям (за исключением страховых медицинских организаций, </w:t>
      </w:r>
      <w:r w:rsidRPr="00B95C19">
        <w:rPr>
          <w:u w:val="single"/>
        </w:rPr>
        <w:t xml:space="preserve">осуществляющих исключительно обязательное медицинское страхование, </w:t>
      </w:r>
      <w:r w:rsidRPr="00B95C19">
        <w:t xml:space="preserve">а также страховых организаций, имеющих право на заключение новых договоров страхования жизни) (далее – страховщик или перестраховщик или компания или страховая компания или объект рейтинга). Данная методология не используется при присвоении рейтингов иным финансовым компаниям (в т. ч. банкам, лизинговым, факторинговым компаниям, страховым медицинским организациям, </w:t>
      </w:r>
      <w:r w:rsidRPr="00B95C19">
        <w:rPr>
          <w:u w:val="single"/>
        </w:rPr>
        <w:t xml:space="preserve">осуществляющим исключительно обязательное медицинское страхование, </w:t>
      </w:r>
      <w:r w:rsidRPr="00B95C19">
        <w:t>страховым организациям, имеющим право на заключение новых договоров страхования жизни, МФО и т. д.).</w:t>
      </w:r>
    </w:p>
    <w:p w14:paraId="2CC8DC14" w14:textId="446F7511" w:rsidR="00131BB3" w:rsidRPr="00B95C19" w:rsidRDefault="00131BB3" w:rsidP="001F407A">
      <w:pPr>
        <w:pStyle w:val="a7"/>
        <w:numPr>
          <w:ilvl w:val="0"/>
          <w:numId w:val="2"/>
        </w:numPr>
        <w:tabs>
          <w:tab w:val="left" w:pos="284"/>
        </w:tabs>
        <w:spacing w:after="0" w:line="240" w:lineRule="auto"/>
        <w:ind w:left="0" w:firstLine="0"/>
        <w:jc w:val="both"/>
        <w:rPr>
          <w:rFonts w:ascii="Times New Roman" w:hAnsi="Times New Roman" w:cs="Times New Roman"/>
          <w:sz w:val="24"/>
          <w:szCs w:val="24"/>
        </w:rPr>
      </w:pPr>
      <w:r w:rsidRPr="00B95C19">
        <w:rPr>
          <w:rFonts w:ascii="Times New Roman" w:hAnsi="Times New Roman" w:cs="Times New Roman"/>
          <w:sz w:val="24"/>
          <w:szCs w:val="24"/>
        </w:rPr>
        <w:t>«Рейтинг самостоятельной финансовой надежности» по тексту заменен на «оценку собственной финансовой надежности».</w:t>
      </w:r>
    </w:p>
    <w:p w14:paraId="40259986" w14:textId="6290846B" w:rsidR="00131BB3" w:rsidRPr="00B95C19" w:rsidRDefault="00131BB3" w:rsidP="001F407A">
      <w:pPr>
        <w:pStyle w:val="a7"/>
        <w:numPr>
          <w:ilvl w:val="0"/>
          <w:numId w:val="2"/>
        </w:numPr>
        <w:tabs>
          <w:tab w:val="left" w:pos="284"/>
        </w:tabs>
        <w:spacing w:after="0" w:line="240" w:lineRule="auto"/>
        <w:ind w:left="0" w:firstLine="0"/>
        <w:jc w:val="both"/>
        <w:rPr>
          <w:rFonts w:ascii="Times New Roman" w:hAnsi="Times New Roman" w:cs="Times New Roman"/>
          <w:sz w:val="24"/>
          <w:szCs w:val="24"/>
        </w:rPr>
      </w:pPr>
      <w:r w:rsidRPr="00B95C19">
        <w:rPr>
          <w:rFonts w:ascii="Times New Roman" w:hAnsi="Times New Roman" w:cs="Times New Roman"/>
          <w:sz w:val="24"/>
          <w:szCs w:val="24"/>
        </w:rPr>
        <w:t>В области применения методологии дополнено: методология применяется в совокупности с методологией оценки внешнего влияния на кредитный рейтинг.</w:t>
      </w:r>
    </w:p>
    <w:p w14:paraId="2DBC1C0A" w14:textId="14580147" w:rsidR="00C1350C" w:rsidRPr="00B95C19" w:rsidRDefault="00C1350C" w:rsidP="001F407A">
      <w:pPr>
        <w:pStyle w:val="a7"/>
        <w:numPr>
          <w:ilvl w:val="0"/>
          <w:numId w:val="2"/>
        </w:numPr>
        <w:tabs>
          <w:tab w:val="left" w:pos="284"/>
        </w:tabs>
        <w:spacing w:after="0" w:line="240" w:lineRule="auto"/>
        <w:ind w:left="0" w:firstLine="0"/>
        <w:jc w:val="both"/>
        <w:rPr>
          <w:rFonts w:ascii="Times New Roman" w:hAnsi="Times New Roman" w:cs="Times New Roman"/>
          <w:sz w:val="24"/>
          <w:szCs w:val="24"/>
        </w:rPr>
      </w:pPr>
      <w:bookmarkStart w:id="0" w:name="_Toc509324011"/>
      <w:r w:rsidRPr="00B95C19">
        <w:rPr>
          <w:rFonts w:ascii="Times New Roman" w:hAnsi="Times New Roman" w:cs="Times New Roman"/>
          <w:sz w:val="24"/>
          <w:szCs w:val="24"/>
        </w:rPr>
        <w:t>В разделе «Структура анализа и метод расчета баллов</w:t>
      </w:r>
      <w:bookmarkEnd w:id="0"/>
      <w:r w:rsidRPr="00B95C19">
        <w:rPr>
          <w:rFonts w:ascii="Times New Roman" w:hAnsi="Times New Roman" w:cs="Times New Roman"/>
          <w:sz w:val="24"/>
          <w:szCs w:val="24"/>
        </w:rPr>
        <w:t>» дополнено: «Рейтинг компании определяется на основе анализа ее собственной финансовой надежности (с учетом внутренних стресс-факторов и факторов поддержки), значимости внешних факторов поддержки и стресс-факторов, а также рейтинговых потолков</w:t>
      </w:r>
      <w:r w:rsidRPr="00B95C19">
        <w:rPr>
          <w:rFonts w:ascii="Times New Roman" w:hAnsi="Times New Roman" w:cs="Times New Roman"/>
          <w:sz w:val="24"/>
          <w:szCs w:val="24"/>
          <w:u w:val="single"/>
        </w:rPr>
        <w:t xml:space="preserve"> (подход III методологии оценки внешнего влияния на кредитный рейтинг)</w:t>
      </w:r>
      <w:r w:rsidRPr="00B95C19">
        <w:rPr>
          <w:rFonts w:ascii="Times New Roman" w:hAnsi="Times New Roman" w:cs="Times New Roman"/>
          <w:sz w:val="24"/>
          <w:szCs w:val="24"/>
        </w:rPr>
        <w:t xml:space="preserve">». </w:t>
      </w:r>
    </w:p>
    <w:p w14:paraId="04BF4D6D" w14:textId="4DB01E2B" w:rsidR="00C1350C" w:rsidRPr="00B95C19" w:rsidRDefault="00C1350C" w:rsidP="001F407A">
      <w:pPr>
        <w:pStyle w:val="a7"/>
        <w:numPr>
          <w:ilvl w:val="0"/>
          <w:numId w:val="2"/>
        </w:numPr>
        <w:tabs>
          <w:tab w:val="left" w:pos="284"/>
        </w:tabs>
        <w:spacing w:after="0" w:line="240" w:lineRule="auto"/>
        <w:ind w:left="0" w:firstLine="0"/>
        <w:jc w:val="both"/>
        <w:rPr>
          <w:rFonts w:ascii="Times New Roman" w:hAnsi="Times New Roman" w:cs="Times New Roman"/>
          <w:sz w:val="24"/>
          <w:szCs w:val="24"/>
        </w:rPr>
      </w:pPr>
      <w:r w:rsidRPr="00B95C19">
        <w:rPr>
          <w:rFonts w:ascii="Times New Roman" w:hAnsi="Times New Roman" w:cs="Times New Roman"/>
          <w:sz w:val="24"/>
          <w:szCs w:val="24"/>
        </w:rPr>
        <w:t>Анализ фактора «Качество урегулирования убытков» (отношение числа урегулированных к числу заявленных страховых случаев, число отказов в страховой выплате к числу урегулированных страховых случаев) сужен до страхования автокаско и ОСАГО.</w:t>
      </w:r>
    </w:p>
    <w:p w14:paraId="78823341" w14:textId="7B766A69" w:rsidR="00C31E52" w:rsidRPr="00B95C19" w:rsidRDefault="00C31E52" w:rsidP="001F407A">
      <w:pPr>
        <w:pStyle w:val="a7"/>
        <w:numPr>
          <w:ilvl w:val="0"/>
          <w:numId w:val="2"/>
        </w:numPr>
        <w:tabs>
          <w:tab w:val="left" w:pos="284"/>
        </w:tabs>
        <w:spacing w:after="0" w:line="240" w:lineRule="auto"/>
        <w:ind w:left="0" w:firstLine="0"/>
        <w:jc w:val="both"/>
        <w:rPr>
          <w:rFonts w:ascii="Times New Roman" w:hAnsi="Times New Roman" w:cs="Times New Roman"/>
          <w:sz w:val="24"/>
          <w:szCs w:val="24"/>
        </w:rPr>
      </w:pPr>
      <w:r w:rsidRPr="00B95C19">
        <w:rPr>
          <w:rFonts w:ascii="Times New Roman" w:hAnsi="Times New Roman" w:cs="Times New Roman"/>
          <w:sz w:val="24"/>
          <w:szCs w:val="24"/>
        </w:rPr>
        <w:t>Из фактора «Деловая репутация» исключены названия конкретных аудиторских компаний, репутация которых оценивается как хорошая.</w:t>
      </w:r>
    </w:p>
    <w:p w14:paraId="4D3CE87F" w14:textId="66A85098" w:rsidR="00C31E52" w:rsidRPr="00B95C19" w:rsidRDefault="00C31E52" w:rsidP="001F407A">
      <w:pPr>
        <w:pStyle w:val="a7"/>
        <w:numPr>
          <w:ilvl w:val="0"/>
          <w:numId w:val="2"/>
        </w:numPr>
        <w:tabs>
          <w:tab w:val="left" w:pos="284"/>
        </w:tabs>
        <w:spacing w:after="0" w:line="240" w:lineRule="auto"/>
        <w:ind w:left="0" w:firstLine="0"/>
        <w:jc w:val="both"/>
        <w:rPr>
          <w:rFonts w:ascii="Times New Roman" w:hAnsi="Times New Roman" w:cs="Times New Roman"/>
          <w:sz w:val="24"/>
          <w:szCs w:val="24"/>
        </w:rPr>
      </w:pPr>
      <w:r w:rsidRPr="00B95C19">
        <w:rPr>
          <w:rFonts w:ascii="Times New Roman" w:hAnsi="Times New Roman" w:cs="Times New Roman"/>
          <w:sz w:val="24"/>
          <w:szCs w:val="24"/>
        </w:rPr>
        <w:t>Фактор «Уровень транспарентности» дополнен корректировкой: оценка фактора может быть повышена на 1 балл в случаях, когда нераскрытие информации компанией допускается регулятором либо законодательством.</w:t>
      </w:r>
    </w:p>
    <w:p w14:paraId="60FF82DF" w14:textId="3F7934AD" w:rsidR="005E169A" w:rsidRPr="00B95C19" w:rsidRDefault="005E169A" w:rsidP="001F407A">
      <w:pPr>
        <w:pStyle w:val="a7"/>
        <w:numPr>
          <w:ilvl w:val="0"/>
          <w:numId w:val="2"/>
        </w:numPr>
        <w:tabs>
          <w:tab w:val="left" w:pos="284"/>
        </w:tabs>
        <w:spacing w:after="0" w:line="240" w:lineRule="auto"/>
        <w:ind w:left="0" w:firstLine="0"/>
        <w:jc w:val="both"/>
        <w:rPr>
          <w:rFonts w:ascii="Times New Roman" w:hAnsi="Times New Roman" w:cs="Times New Roman"/>
          <w:sz w:val="24"/>
          <w:szCs w:val="24"/>
        </w:rPr>
      </w:pPr>
      <w:r w:rsidRPr="00B95C19">
        <w:rPr>
          <w:rFonts w:ascii="Times New Roman" w:hAnsi="Times New Roman" w:cs="Times New Roman"/>
          <w:sz w:val="24"/>
          <w:szCs w:val="24"/>
        </w:rPr>
        <w:t>Анализ фактора «</w:t>
      </w:r>
      <w:bookmarkStart w:id="1" w:name="_Hlk34133781"/>
      <w:r w:rsidRPr="00B95C19">
        <w:rPr>
          <w:rFonts w:ascii="Times New Roman" w:hAnsi="Times New Roman" w:cs="Times New Roman"/>
          <w:sz w:val="24"/>
          <w:szCs w:val="24"/>
        </w:rPr>
        <w:t>Опыт крупных выплат» приведен к пяти годам.</w:t>
      </w:r>
    </w:p>
    <w:p w14:paraId="6B828DF1" w14:textId="21826BCB" w:rsidR="005E169A" w:rsidRPr="00B95C19" w:rsidRDefault="005E169A" w:rsidP="001F407A">
      <w:pPr>
        <w:pStyle w:val="a7"/>
        <w:numPr>
          <w:ilvl w:val="0"/>
          <w:numId w:val="2"/>
        </w:numPr>
        <w:tabs>
          <w:tab w:val="left" w:pos="284"/>
        </w:tabs>
        <w:spacing w:after="0" w:line="240" w:lineRule="auto"/>
        <w:ind w:left="0" w:firstLine="0"/>
        <w:jc w:val="both"/>
        <w:rPr>
          <w:rFonts w:ascii="Times New Roman" w:hAnsi="Times New Roman" w:cs="Times New Roman"/>
          <w:sz w:val="24"/>
          <w:szCs w:val="24"/>
        </w:rPr>
      </w:pPr>
      <w:bookmarkStart w:id="2" w:name="_Hlk512330101"/>
      <w:bookmarkEnd w:id="1"/>
      <w:r w:rsidRPr="00B95C19">
        <w:rPr>
          <w:rFonts w:ascii="Times New Roman" w:hAnsi="Times New Roman" w:cs="Times New Roman"/>
          <w:sz w:val="24"/>
          <w:szCs w:val="24"/>
        </w:rPr>
        <w:t>В факторе «Кредиторская задолженность и прочие обязательства» уточнено: показатель оценивается на четыре последние квартальные даты, в его расчет не включается часть обязательств, связанная с увеличением уставного капитала</w:t>
      </w:r>
      <w:r w:rsidRPr="00B95C19">
        <w:rPr>
          <w:rFonts w:ascii="Times New Roman" w:hAnsi="Times New Roman" w:cs="Times New Roman"/>
          <w:sz w:val="24"/>
          <w:szCs w:val="24"/>
          <w:u w:val="single"/>
        </w:rPr>
        <w:t xml:space="preserve"> и выплатой дивидендов. Для страховых медицинских организаций оцениваемый показатель очищается от кредиторской задолженности по операциям в сфере обязательного медицинского страхования.</w:t>
      </w:r>
    </w:p>
    <w:bookmarkEnd w:id="2"/>
    <w:p w14:paraId="4326E917" w14:textId="2BAFFEF3" w:rsidR="00C31E52" w:rsidRPr="00B95C19" w:rsidRDefault="005E169A" w:rsidP="001F407A">
      <w:pPr>
        <w:pStyle w:val="a7"/>
        <w:numPr>
          <w:ilvl w:val="0"/>
          <w:numId w:val="2"/>
        </w:numPr>
        <w:tabs>
          <w:tab w:val="left" w:pos="284"/>
        </w:tabs>
        <w:spacing w:after="0" w:line="240" w:lineRule="auto"/>
        <w:ind w:left="0" w:firstLine="0"/>
        <w:jc w:val="both"/>
        <w:rPr>
          <w:rFonts w:ascii="Times New Roman" w:hAnsi="Times New Roman" w:cs="Times New Roman"/>
          <w:sz w:val="24"/>
          <w:szCs w:val="24"/>
        </w:rPr>
      </w:pPr>
      <w:r w:rsidRPr="00B95C19">
        <w:rPr>
          <w:rFonts w:ascii="Times New Roman" w:hAnsi="Times New Roman" w:cs="Times New Roman"/>
          <w:sz w:val="24"/>
          <w:szCs w:val="24"/>
        </w:rPr>
        <w:t>Фактор «Запас свободного капитала» исключен из анализа.</w:t>
      </w:r>
    </w:p>
    <w:p w14:paraId="24306FFA" w14:textId="61CEE9FF" w:rsidR="00C31E52" w:rsidRPr="00B95C19" w:rsidRDefault="005E169A" w:rsidP="001F407A">
      <w:pPr>
        <w:pStyle w:val="a7"/>
        <w:numPr>
          <w:ilvl w:val="0"/>
          <w:numId w:val="2"/>
        </w:numPr>
        <w:tabs>
          <w:tab w:val="left" w:pos="284"/>
        </w:tabs>
        <w:spacing w:after="0" w:line="240" w:lineRule="auto"/>
        <w:ind w:left="0" w:firstLine="0"/>
        <w:jc w:val="both"/>
        <w:rPr>
          <w:rFonts w:ascii="Times New Roman" w:hAnsi="Times New Roman" w:cs="Times New Roman"/>
          <w:sz w:val="24"/>
          <w:szCs w:val="24"/>
        </w:rPr>
      </w:pPr>
      <w:r w:rsidRPr="00B95C19">
        <w:rPr>
          <w:rFonts w:ascii="Times New Roman" w:hAnsi="Times New Roman" w:cs="Times New Roman"/>
          <w:sz w:val="24"/>
          <w:szCs w:val="24"/>
        </w:rPr>
        <w:t>В разделе «Качество и структура активов» оговорено, что в анализ помимо отложенных аквизиционных расходов не включается дебиторская задолженность по обязательному медицинскому страхованию.</w:t>
      </w:r>
    </w:p>
    <w:p w14:paraId="06441782" w14:textId="4BDB3698" w:rsidR="005E169A" w:rsidRPr="00B95C19" w:rsidRDefault="005E169A" w:rsidP="001F407A">
      <w:pPr>
        <w:pStyle w:val="a7"/>
        <w:numPr>
          <w:ilvl w:val="0"/>
          <w:numId w:val="2"/>
        </w:numPr>
        <w:tabs>
          <w:tab w:val="left" w:pos="284"/>
        </w:tabs>
        <w:spacing w:after="0" w:line="240" w:lineRule="auto"/>
        <w:ind w:left="0" w:firstLine="0"/>
        <w:jc w:val="both"/>
        <w:rPr>
          <w:rFonts w:ascii="Times New Roman" w:hAnsi="Times New Roman" w:cs="Times New Roman"/>
          <w:sz w:val="24"/>
          <w:szCs w:val="24"/>
        </w:rPr>
      </w:pPr>
      <w:bookmarkStart w:id="3" w:name="_Hlk34134020"/>
      <w:r w:rsidRPr="00B95C19">
        <w:rPr>
          <w:rFonts w:ascii="Times New Roman" w:hAnsi="Times New Roman" w:cs="Times New Roman"/>
          <w:sz w:val="24"/>
          <w:szCs w:val="24"/>
        </w:rPr>
        <w:t>В факторе «Качество активов» дополнено:</w:t>
      </w:r>
    </w:p>
    <w:p w14:paraId="28A95AA3" w14:textId="77777777" w:rsidR="005E169A" w:rsidRPr="00B95C19" w:rsidRDefault="005E169A" w:rsidP="001F407A">
      <w:pPr>
        <w:pStyle w:val="a7"/>
        <w:tabs>
          <w:tab w:val="left" w:pos="284"/>
        </w:tabs>
        <w:spacing w:after="0" w:line="240" w:lineRule="auto"/>
        <w:ind w:left="0"/>
        <w:jc w:val="both"/>
        <w:rPr>
          <w:rFonts w:ascii="Times New Roman" w:hAnsi="Times New Roman" w:cs="Times New Roman"/>
          <w:sz w:val="24"/>
          <w:szCs w:val="24"/>
        </w:rPr>
      </w:pPr>
      <w:bookmarkStart w:id="4" w:name="_Hlk34134060"/>
      <w:r w:rsidRPr="00B95C19">
        <w:rPr>
          <w:rFonts w:ascii="Times New Roman" w:hAnsi="Times New Roman" w:cs="Times New Roman"/>
          <w:sz w:val="24"/>
          <w:szCs w:val="24"/>
        </w:rPr>
        <w:t xml:space="preserve">Максимальная оценка активов с обременением и бессрочных депозитов в рамках гарантий по прямому возмещению убытков ограничена уровнем -0,5. Оценка субординированных банковских депозитов, а также депозитов без возможности досрочного изъятия в течение более, чем пяти лет с момента анализа (за исключением бессрочных депозитов в рамках гарантий по прямому возмещению убытков) устанавливается на уровне -1. </w:t>
      </w:r>
      <w:r w:rsidRPr="00B95C19">
        <w:rPr>
          <w:rFonts w:ascii="Times New Roman" w:hAnsi="Times New Roman" w:cs="Times New Roman"/>
          <w:sz w:val="24"/>
          <w:szCs w:val="24"/>
          <w:u w:val="single"/>
        </w:rPr>
        <w:t>Оценка займов срочностью более, чем пять лет с момента анализа устанавливается на уровне -1</w:t>
      </w:r>
      <w:r w:rsidRPr="00B95C19">
        <w:rPr>
          <w:rFonts w:ascii="Times New Roman" w:hAnsi="Times New Roman" w:cs="Times New Roman"/>
          <w:sz w:val="24"/>
          <w:szCs w:val="24"/>
        </w:rPr>
        <w:t xml:space="preserve">. Оценка иных депозитов без возможности досрочного изъятия </w:t>
      </w:r>
      <w:r w:rsidRPr="00B95C19">
        <w:rPr>
          <w:rFonts w:ascii="Times New Roman" w:hAnsi="Times New Roman" w:cs="Times New Roman"/>
          <w:sz w:val="24"/>
          <w:szCs w:val="24"/>
          <w:u w:val="single"/>
        </w:rPr>
        <w:t>и займов</w:t>
      </w:r>
      <w:r w:rsidRPr="00B95C19">
        <w:rPr>
          <w:rFonts w:ascii="Times New Roman" w:hAnsi="Times New Roman" w:cs="Times New Roman"/>
          <w:sz w:val="24"/>
          <w:szCs w:val="24"/>
        </w:rPr>
        <w:t xml:space="preserve"> корректируется:</w:t>
      </w:r>
    </w:p>
    <w:tbl>
      <w:tblPr>
        <w:tblStyle w:val="ab"/>
        <w:tblW w:w="0" w:type="auto"/>
        <w:tblLook w:val="04A0" w:firstRow="1" w:lastRow="0" w:firstColumn="1" w:lastColumn="0" w:noHBand="0" w:noVBand="1"/>
      </w:tblPr>
      <w:tblGrid>
        <w:gridCol w:w="4651"/>
        <w:gridCol w:w="4694"/>
      </w:tblGrid>
      <w:tr w:rsidR="005E169A" w:rsidRPr="00B95C19" w14:paraId="7BA54C19" w14:textId="77777777" w:rsidTr="005E169A">
        <w:tc>
          <w:tcPr>
            <w:tcW w:w="4651" w:type="dxa"/>
            <w:vAlign w:val="center"/>
          </w:tcPr>
          <w:p w14:paraId="19D847E8" w14:textId="77777777" w:rsidR="005E169A" w:rsidRPr="00B95C19" w:rsidRDefault="005E169A" w:rsidP="001F407A">
            <w:pPr>
              <w:jc w:val="center"/>
              <w:rPr>
                <w:rFonts w:ascii="Times New Roman" w:hAnsi="Times New Roman" w:cs="Times New Roman"/>
                <w:szCs w:val="24"/>
              </w:rPr>
            </w:pPr>
            <w:r w:rsidRPr="00B95C19">
              <w:rPr>
                <w:rFonts w:ascii="Times New Roman" w:hAnsi="Times New Roman" w:cs="Times New Roman"/>
                <w:szCs w:val="24"/>
              </w:rPr>
              <w:lastRenderedPageBreak/>
              <w:t>Срок с момента анализа, в течение которого депозит не может быть отозван</w:t>
            </w:r>
            <w:r w:rsidRPr="00B95C19">
              <w:rPr>
                <w:rFonts w:ascii="Times New Roman" w:hAnsi="Times New Roman" w:cs="Times New Roman"/>
                <w:szCs w:val="24"/>
                <w:u w:val="single"/>
              </w:rPr>
              <w:t xml:space="preserve"> / срочность займа с момента анализа</w:t>
            </w:r>
            <w:r w:rsidRPr="00B95C19">
              <w:rPr>
                <w:rFonts w:ascii="Times New Roman" w:hAnsi="Times New Roman" w:cs="Times New Roman"/>
                <w:szCs w:val="24"/>
              </w:rPr>
              <w:t>, лет</w:t>
            </w:r>
          </w:p>
        </w:tc>
        <w:tc>
          <w:tcPr>
            <w:tcW w:w="4694" w:type="dxa"/>
            <w:vAlign w:val="center"/>
          </w:tcPr>
          <w:p w14:paraId="194B5FC2" w14:textId="77777777" w:rsidR="005E169A" w:rsidRPr="00B95C19" w:rsidRDefault="005E169A" w:rsidP="001F407A">
            <w:pPr>
              <w:jc w:val="center"/>
              <w:rPr>
                <w:rFonts w:ascii="Times New Roman" w:hAnsi="Times New Roman" w:cs="Times New Roman"/>
                <w:szCs w:val="24"/>
              </w:rPr>
            </w:pPr>
            <w:r w:rsidRPr="00B95C19">
              <w:rPr>
                <w:rFonts w:ascii="Times New Roman" w:hAnsi="Times New Roman" w:cs="Times New Roman"/>
                <w:szCs w:val="24"/>
              </w:rPr>
              <w:t>Корректировка</w:t>
            </w:r>
          </w:p>
        </w:tc>
      </w:tr>
      <w:tr w:rsidR="005E169A" w:rsidRPr="00B95C19" w14:paraId="7D0770E1" w14:textId="77777777" w:rsidTr="005E169A">
        <w:tc>
          <w:tcPr>
            <w:tcW w:w="4651" w:type="dxa"/>
            <w:vAlign w:val="center"/>
          </w:tcPr>
          <w:p w14:paraId="0F6544E2" w14:textId="77777777" w:rsidR="005E169A" w:rsidRPr="00B95C19" w:rsidRDefault="005E169A" w:rsidP="001F407A">
            <w:pPr>
              <w:jc w:val="center"/>
              <w:rPr>
                <w:rFonts w:ascii="Times New Roman" w:hAnsi="Times New Roman" w:cs="Times New Roman"/>
                <w:szCs w:val="24"/>
                <w:lang w:val="en-US"/>
              </w:rPr>
            </w:pPr>
            <w:r w:rsidRPr="00B95C19">
              <w:rPr>
                <w:rFonts w:ascii="Times New Roman" w:hAnsi="Times New Roman" w:cs="Times New Roman"/>
                <w:szCs w:val="24"/>
                <w:lang w:val="en-US"/>
              </w:rPr>
              <w:t>(</w:t>
            </w:r>
            <w:r w:rsidRPr="00B95C19">
              <w:rPr>
                <w:rFonts w:ascii="Times New Roman" w:hAnsi="Times New Roman" w:cs="Times New Roman"/>
                <w:szCs w:val="24"/>
              </w:rPr>
              <w:t>1; 2</w:t>
            </w:r>
            <w:r w:rsidRPr="00B95C19">
              <w:rPr>
                <w:rFonts w:ascii="Times New Roman" w:hAnsi="Times New Roman" w:cs="Times New Roman"/>
                <w:szCs w:val="24"/>
                <w:lang w:val="en-US"/>
              </w:rPr>
              <w:t>)</w:t>
            </w:r>
          </w:p>
        </w:tc>
        <w:tc>
          <w:tcPr>
            <w:tcW w:w="4694" w:type="dxa"/>
            <w:vAlign w:val="center"/>
          </w:tcPr>
          <w:p w14:paraId="3B1057DC" w14:textId="77777777" w:rsidR="005E169A" w:rsidRPr="00B95C19" w:rsidRDefault="005E169A" w:rsidP="001F407A">
            <w:pPr>
              <w:jc w:val="center"/>
              <w:rPr>
                <w:rFonts w:ascii="Times New Roman" w:hAnsi="Times New Roman" w:cs="Times New Roman"/>
                <w:szCs w:val="24"/>
              </w:rPr>
            </w:pPr>
            <w:r w:rsidRPr="00B95C19">
              <w:rPr>
                <w:rFonts w:ascii="Times New Roman" w:hAnsi="Times New Roman" w:cs="Times New Roman"/>
                <w:szCs w:val="24"/>
              </w:rPr>
              <w:t>-</w:t>
            </w:r>
            <w:r w:rsidRPr="00B95C19">
              <w:rPr>
                <w:rFonts w:ascii="Times New Roman" w:hAnsi="Times New Roman" w:cs="Times New Roman"/>
                <w:szCs w:val="24"/>
                <w:lang w:val="en-US"/>
              </w:rPr>
              <w:t>0</w:t>
            </w:r>
            <w:r w:rsidRPr="00B95C19">
              <w:rPr>
                <w:rFonts w:ascii="Times New Roman" w:hAnsi="Times New Roman" w:cs="Times New Roman"/>
                <w:szCs w:val="24"/>
              </w:rPr>
              <w:t>,5</w:t>
            </w:r>
          </w:p>
        </w:tc>
      </w:tr>
      <w:tr w:rsidR="005E169A" w:rsidRPr="00B95C19" w14:paraId="126BCE6F" w14:textId="77777777" w:rsidTr="005E169A">
        <w:tc>
          <w:tcPr>
            <w:tcW w:w="4651" w:type="dxa"/>
            <w:vAlign w:val="center"/>
          </w:tcPr>
          <w:p w14:paraId="21825F67" w14:textId="77777777" w:rsidR="005E169A" w:rsidRPr="00B95C19" w:rsidRDefault="005E169A" w:rsidP="001F407A">
            <w:pPr>
              <w:jc w:val="center"/>
              <w:rPr>
                <w:rFonts w:ascii="Times New Roman" w:hAnsi="Times New Roman" w:cs="Times New Roman"/>
                <w:szCs w:val="24"/>
                <w:lang w:val="en-US"/>
              </w:rPr>
            </w:pPr>
            <w:r w:rsidRPr="00B95C19">
              <w:rPr>
                <w:rFonts w:ascii="Times New Roman" w:hAnsi="Times New Roman" w:cs="Times New Roman"/>
                <w:szCs w:val="24"/>
              </w:rPr>
              <w:t>[</w:t>
            </w:r>
            <w:r w:rsidRPr="00B95C19">
              <w:rPr>
                <w:rFonts w:ascii="Times New Roman" w:hAnsi="Times New Roman" w:cs="Times New Roman"/>
                <w:szCs w:val="24"/>
                <w:lang w:val="en-US"/>
              </w:rPr>
              <w:t>2</w:t>
            </w:r>
            <w:r w:rsidRPr="00B95C19">
              <w:rPr>
                <w:rFonts w:ascii="Times New Roman" w:hAnsi="Times New Roman" w:cs="Times New Roman"/>
                <w:szCs w:val="24"/>
              </w:rPr>
              <w:t>; 5</w:t>
            </w:r>
            <w:r w:rsidRPr="00B95C19">
              <w:rPr>
                <w:rFonts w:ascii="Times New Roman" w:hAnsi="Times New Roman" w:cs="Times New Roman"/>
                <w:szCs w:val="24"/>
                <w:lang w:val="en-US"/>
              </w:rPr>
              <w:t>]</w:t>
            </w:r>
          </w:p>
        </w:tc>
        <w:tc>
          <w:tcPr>
            <w:tcW w:w="4694" w:type="dxa"/>
            <w:vAlign w:val="center"/>
          </w:tcPr>
          <w:p w14:paraId="2192A90B" w14:textId="77777777" w:rsidR="005E169A" w:rsidRPr="00B95C19" w:rsidRDefault="005E169A" w:rsidP="001F407A">
            <w:pPr>
              <w:jc w:val="center"/>
              <w:rPr>
                <w:rFonts w:ascii="Times New Roman" w:hAnsi="Times New Roman" w:cs="Times New Roman"/>
                <w:szCs w:val="24"/>
              </w:rPr>
            </w:pPr>
            <w:r w:rsidRPr="00B95C19">
              <w:rPr>
                <w:rFonts w:ascii="Times New Roman" w:hAnsi="Times New Roman" w:cs="Times New Roman"/>
                <w:szCs w:val="24"/>
              </w:rPr>
              <w:t>-1</w:t>
            </w:r>
          </w:p>
        </w:tc>
      </w:tr>
    </w:tbl>
    <w:p w14:paraId="4CDB3E15" w14:textId="011A58CA" w:rsidR="005E169A" w:rsidRPr="00B95C19" w:rsidRDefault="005E169A" w:rsidP="001F407A">
      <w:pPr>
        <w:spacing w:after="0" w:line="240" w:lineRule="auto"/>
        <w:jc w:val="both"/>
        <w:rPr>
          <w:rFonts w:ascii="Times New Roman" w:hAnsi="Times New Roman" w:cs="Times New Roman"/>
          <w:sz w:val="24"/>
          <w:szCs w:val="24"/>
        </w:rPr>
      </w:pPr>
    </w:p>
    <w:p w14:paraId="6ACCEC10" w14:textId="69D6A90E" w:rsidR="00177334" w:rsidRPr="00B95C19" w:rsidRDefault="00177334" w:rsidP="001F407A">
      <w:pPr>
        <w:pStyle w:val="a7"/>
        <w:numPr>
          <w:ilvl w:val="0"/>
          <w:numId w:val="2"/>
        </w:numPr>
        <w:tabs>
          <w:tab w:val="left" w:pos="284"/>
        </w:tabs>
        <w:spacing w:after="0" w:line="240" w:lineRule="auto"/>
        <w:ind w:left="0" w:firstLine="0"/>
        <w:jc w:val="both"/>
        <w:rPr>
          <w:rFonts w:ascii="Times New Roman" w:hAnsi="Times New Roman" w:cs="Times New Roman"/>
          <w:sz w:val="24"/>
          <w:szCs w:val="24"/>
        </w:rPr>
      </w:pPr>
      <w:r w:rsidRPr="00B95C19">
        <w:rPr>
          <w:rFonts w:ascii="Times New Roman" w:hAnsi="Times New Roman" w:cs="Times New Roman"/>
          <w:sz w:val="24"/>
          <w:szCs w:val="24"/>
        </w:rPr>
        <w:t>Из критериев стресс-фактора «Регулятивные риски» исключено отклонение фактической маржи платежеспособности над нормативной</w:t>
      </w:r>
      <w:r w:rsidR="008A7EBD" w:rsidRPr="00B95C19">
        <w:rPr>
          <w:rFonts w:ascii="Times New Roman" w:hAnsi="Times New Roman" w:cs="Times New Roman"/>
          <w:sz w:val="24"/>
          <w:szCs w:val="24"/>
        </w:rPr>
        <w:t xml:space="preserve"> и запас свободного капитала</w:t>
      </w:r>
      <w:r w:rsidRPr="00B95C19">
        <w:rPr>
          <w:rFonts w:ascii="Times New Roman" w:hAnsi="Times New Roman" w:cs="Times New Roman"/>
          <w:sz w:val="24"/>
          <w:szCs w:val="24"/>
        </w:rPr>
        <w:t>.</w:t>
      </w:r>
    </w:p>
    <w:p w14:paraId="404A5381" w14:textId="61F04EC0" w:rsidR="00177334" w:rsidRPr="00B95C19" w:rsidRDefault="00177334" w:rsidP="001F407A">
      <w:pPr>
        <w:pStyle w:val="a7"/>
        <w:numPr>
          <w:ilvl w:val="0"/>
          <w:numId w:val="2"/>
        </w:numPr>
        <w:tabs>
          <w:tab w:val="left" w:pos="284"/>
        </w:tabs>
        <w:spacing w:after="0" w:line="240" w:lineRule="auto"/>
        <w:ind w:left="0" w:firstLine="0"/>
        <w:jc w:val="both"/>
        <w:rPr>
          <w:rFonts w:ascii="Times New Roman" w:hAnsi="Times New Roman" w:cs="Times New Roman"/>
          <w:sz w:val="24"/>
          <w:szCs w:val="24"/>
        </w:rPr>
      </w:pPr>
      <w:r w:rsidRPr="00B95C19">
        <w:rPr>
          <w:rFonts w:ascii="Times New Roman" w:hAnsi="Times New Roman" w:cs="Times New Roman"/>
          <w:sz w:val="24"/>
          <w:szCs w:val="24"/>
        </w:rPr>
        <w:t xml:space="preserve">Критерий умеренного стресс-фактора «Регулятивные риски» скорректирован: 1,000 ≤ Нормативное соотношение собственных средств (капитала) и принятых обязательств страховой организации &lt; </w:t>
      </w:r>
      <w:r w:rsidRPr="00B95C19">
        <w:rPr>
          <w:rFonts w:ascii="Times New Roman" w:hAnsi="Times New Roman" w:cs="Times New Roman"/>
          <w:strike/>
          <w:sz w:val="24"/>
          <w:szCs w:val="24"/>
        </w:rPr>
        <w:t>≤</w:t>
      </w:r>
      <w:r w:rsidRPr="00B95C19">
        <w:rPr>
          <w:rFonts w:ascii="Times New Roman" w:hAnsi="Times New Roman" w:cs="Times New Roman"/>
          <w:sz w:val="24"/>
          <w:szCs w:val="24"/>
        </w:rPr>
        <w:t>1,050.</w:t>
      </w:r>
    </w:p>
    <w:bookmarkEnd w:id="4"/>
    <w:bookmarkEnd w:id="3"/>
    <w:p w14:paraId="5E63905C" w14:textId="3F9F4E55" w:rsidR="008A7EBD" w:rsidRPr="00B95C19" w:rsidRDefault="008A7EBD" w:rsidP="001F407A">
      <w:pPr>
        <w:pStyle w:val="a7"/>
        <w:numPr>
          <w:ilvl w:val="0"/>
          <w:numId w:val="2"/>
        </w:numPr>
        <w:tabs>
          <w:tab w:val="left" w:pos="284"/>
        </w:tabs>
        <w:spacing w:after="0" w:line="240" w:lineRule="auto"/>
        <w:ind w:left="0" w:firstLine="0"/>
        <w:jc w:val="both"/>
        <w:rPr>
          <w:rFonts w:ascii="Times New Roman" w:hAnsi="Times New Roman" w:cs="Times New Roman"/>
          <w:sz w:val="24"/>
          <w:szCs w:val="24"/>
        </w:rPr>
      </w:pPr>
      <w:r w:rsidRPr="00B95C19">
        <w:rPr>
          <w:rFonts w:ascii="Times New Roman" w:hAnsi="Times New Roman" w:cs="Times New Roman"/>
          <w:sz w:val="24"/>
          <w:szCs w:val="24"/>
        </w:rPr>
        <w:t>В примечании к стресс-фактору «Финансовый результат»</w:t>
      </w:r>
      <w:r w:rsidR="001F407A" w:rsidRPr="00B95C19">
        <w:rPr>
          <w:rFonts w:ascii="Times New Roman" w:hAnsi="Times New Roman" w:cs="Times New Roman"/>
          <w:sz w:val="24"/>
          <w:szCs w:val="24"/>
        </w:rPr>
        <w:t xml:space="preserve"> скорректировано:</w:t>
      </w:r>
    </w:p>
    <w:p w14:paraId="2CA5FE0D" w14:textId="5D8CEDD7" w:rsidR="008A7EBD" w:rsidRPr="00B95C19" w:rsidRDefault="008A7EBD" w:rsidP="001F407A">
      <w:pPr>
        <w:spacing w:after="0" w:line="240" w:lineRule="auto"/>
        <w:jc w:val="both"/>
        <w:rPr>
          <w:rFonts w:ascii="Times New Roman" w:hAnsi="Times New Roman" w:cs="Times New Roman"/>
          <w:sz w:val="24"/>
          <w:szCs w:val="24"/>
        </w:rPr>
      </w:pPr>
      <w:r w:rsidRPr="00B95C19">
        <w:rPr>
          <w:rFonts w:ascii="Times New Roman" w:hAnsi="Times New Roman" w:cs="Times New Roman"/>
          <w:sz w:val="24"/>
          <w:szCs w:val="24"/>
        </w:rPr>
        <w:t>В случае если оценка фактора «Нормативное соотношение собственных средств и принятых обязательств</w:t>
      </w:r>
      <w:r w:rsidRPr="00B95C19">
        <w:rPr>
          <w:rFonts w:ascii="Times New Roman" w:hAnsi="Times New Roman" w:cs="Times New Roman"/>
          <w:strike/>
          <w:sz w:val="24"/>
          <w:szCs w:val="24"/>
        </w:rPr>
        <w:t>» и, если применимо, оценка фактора «Запас свободного капитала»</w:t>
      </w:r>
      <w:r w:rsidRPr="00B95C19">
        <w:rPr>
          <w:rFonts w:ascii="Times New Roman" w:hAnsi="Times New Roman" w:cs="Times New Roman"/>
          <w:sz w:val="24"/>
          <w:szCs w:val="24"/>
        </w:rPr>
        <w:t xml:space="preserve"> составляет не менее 0,5, сильный стресс-фактор корректируется до умеренного; в аналогичной ситуации умеренный стресс-фактор не применяется.</w:t>
      </w:r>
    </w:p>
    <w:p w14:paraId="74BBA987" w14:textId="75DCAE69" w:rsidR="008A7EBD" w:rsidRPr="00B95C19" w:rsidRDefault="000D0EDC" w:rsidP="000D0EDC">
      <w:pPr>
        <w:pStyle w:val="a7"/>
        <w:numPr>
          <w:ilvl w:val="0"/>
          <w:numId w:val="2"/>
        </w:numPr>
        <w:tabs>
          <w:tab w:val="left" w:pos="284"/>
        </w:tabs>
        <w:spacing w:after="0" w:line="240" w:lineRule="auto"/>
        <w:ind w:left="0" w:firstLine="0"/>
        <w:jc w:val="both"/>
        <w:rPr>
          <w:rFonts w:ascii="Times New Roman" w:hAnsi="Times New Roman" w:cs="Times New Roman"/>
          <w:sz w:val="24"/>
          <w:szCs w:val="24"/>
        </w:rPr>
      </w:pPr>
      <w:r w:rsidRPr="00B95C19">
        <w:rPr>
          <w:rFonts w:ascii="Times New Roman" w:hAnsi="Times New Roman" w:cs="Times New Roman"/>
          <w:sz w:val="24"/>
          <w:szCs w:val="24"/>
        </w:rPr>
        <w:t>Изменен алгоритм применения фактора поддержки со стороны собственника.</w:t>
      </w:r>
    </w:p>
    <w:p w14:paraId="51D5FE18" w14:textId="6C8D2581" w:rsidR="005E169A" w:rsidRPr="00B95C19" w:rsidRDefault="000D0EDC" w:rsidP="000D0EDC">
      <w:pPr>
        <w:pStyle w:val="a7"/>
        <w:numPr>
          <w:ilvl w:val="0"/>
          <w:numId w:val="2"/>
        </w:numPr>
        <w:tabs>
          <w:tab w:val="left" w:pos="284"/>
        </w:tabs>
        <w:spacing w:after="0" w:line="240" w:lineRule="auto"/>
        <w:ind w:left="0" w:firstLine="0"/>
        <w:jc w:val="both"/>
        <w:rPr>
          <w:rFonts w:ascii="Times New Roman" w:hAnsi="Times New Roman" w:cs="Times New Roman"/>
          <w:sz w:val="24"/>
          <w:szCs w:val="24"/>
        </w:rPr>
      </w:pPr>
      <w:r w:rsidRPr="00B95C19">
        <w:rPr>
          <w:rFonts w:ascii="Times New Roman" w:hAnsi="Times New Roman" w:cs="Times New Roman"/>
          <w:sz w:val="24"/>
          <w:szCs w:val="24"/>
        </w:rPr>
        <w:t>Вес фактора «Нормативное соотношение собственных средств и принятых обязательств» установлен на уровне 6 (ранее – 3 или 6 в зависимости от веса фактора «Запас свободного капитала»</w:t>
      </w:r>
      <w:r w:rsidR="00F8294C" w:rsidRPr="00F8294C">
        <w:rPr>
          <w:rFonts w:ascii="Times New Roman" w:hAnsi="Times New Roman" w:cs="Times New Roman"/>
          <w:sz w:val="24"/>
          <w:szCs w:val="24"/>
        </w:rPr>
        <w:t>)</w:t>
      </w:r>
      <w:r w:rsidRPr="00B95C19">
        <w:rPr>
          <w:rFonts w:ascii="Times New Roman" w:hAnsi="Times New Roman" w:cs="Times New Roman"/>
          <w:sz w:val="24"/>
          <w:szCs w:val="24"/>
        </w:rPr>
        <w:t>.</w:t>
      </w:r>
    </w:p>
    <w:p w14:paraId="7B9981E6" w14:textId="60C97AC8" w:rsidR="00C1350C" w:rsidRPr="00B95C19" w:rsidRDefault="00C1350C" w:rsidP="00B210A7">
      <w:pPr>
        <w:pStyle w:val="a7"/>
        <w:numPr>
          <w:ilvl w:val="0"/>
          <w:numId w:val="2"/>
        </w:numPr>
        <w:tabs>
          <w:tab w:val="left" w:pos="284"/>
        </w:tabs>
        <w:spacing w:after="0" w:line="240" w:lineRule="auto"/>
        <w:ind w:left="0" w:firstLine="0"/>
        <w:jc w:val="both"/>
        <w:rPr>
          <w:rFonts w:ascii="Times New Roman" w:hAnsi="Times New Roman" w:cs="Times New Roman"/>
          <w:sz w:val="24"/>
          <w:szCs w:val="24"/>
        </w:rPr>
      </w:pPr>
      <w:r w:rsidRPr="00B210A7">
        <w:rPr>
          <w:rFonts w:ascii="Times New Roman" w:hAnsi="Times New Roman" w:cs="Times New Roman"/>
          <w:sz w:val="24"/>
          <w:szCs w:val="24"/>
        </w:rPr>
        <w:t>Технические изменения.</w:t>
      </w:r>
    </w:p>
    <w:sectPr w:rsidR="00C1350C" w:rsidRPr="00B95C1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853431" w14:textId="77777777" w:rsidR="00533944" w:rsidRDefault="00533944" w:rsidP="00533944">
      <w:pPr>
        <w:spacing w:after="0" w:line="240" w:lineRule="auto"/>
      </w:pPr>
      <w:r>
        <w:separator/>
      </w:r>
    </w:p>
  </w:endnote>
  <w:endnote w:type="continuationSeparator" w:id="0">
    <w:p w14:paraId="70DCDC43" w14:textId="77777777" w:rsidR="00533944" w:rsidRDefault="00533944" w:rsidP="005339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Times">
    <w:panose1 w:val="02020603050405020304"/>
    <w:charset w:val="CC"/>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BEA323" w14:textId="77777777" w:rsidR="00533944" w:rsidRDefault="00533944" w:rsidP="00533944">
      <w:pPr>
        <w:spacing w:after="0" w:line="240" w:lineRule="auto"/>
      </w:pPr>
      <w:r>
        <w:separator/>
      </w:r>
    </w:p>
  </w:footnote>
  <w:footnote w:type="continuationSeparator" w:id="0">
    <w:p w14:paraId="3E3C17FE" w14:textId="77777777" w:rsidR="00533944" w:rsidRDefault="00533944" w:rsidP="0053394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D106EA"/>
    <w:multiLevelType w:val="hybridMultilevel"/>
    <w:tmpl w:val="83C82D70"/>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05">
      <w:start w:val="1"/>
      <w:numFmt w:val="bullet"/>
      <w:lvlText w:val=""/>
      <w:lvlJc w:val="left"/>
      <w:pPr>
        <w:tabs>
          <w:tab w:val="num" w:pos="3600"/>
        </w:tabs>
        <w:ind w:left="3600" w:hanging="360"/>
      </w:pPr>
      <w:rPr>
        <w:rFonts w:ascii="Wingdings" w:hAnsi="Wingdings" w:hint="default"/>
      </w:r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28614152"/>
    <w:multiLevelType w:val="multilevel"/>
    <w:tmpl w:val="697AFEA2"/>
    <w:lvl w:ilvl="0">
      <w:start w:val="6"/>
      <w:numFmt w:val="decimal"/>
      <w:lvlText w:val="%1"/>
      <w:lvlJc w:val="left"/>
      <w:pPr>
        <w:ind w:left="480" w:hanging="480"/>
      </w:pPr>
      <w:rPr>
        <w:rFonts w:hint="default"/>
      </w:rPr>
    </w:lvl>
    <w:lvl w:ilvl="1">
      <w:start w:val="8"/>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2A2C1948"/>
    <w:multiLevelType w:val="multilevel"/>
    <w:tmpl w:val="44E09B7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40500512"/>
    <w:multiLevelType w:val="hybridMultilevel"/>
    <w:tmpl w:val="D03E64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50B616A9"/>
    <w:multiLevelType w:val="hybridMultilevel"/>
    <w:tmpl w:val="150A75E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71482958"/>
    <w:multiLevelType w:val="hybridMultilevel"/>
    <w:tmpl w:val="80524028"/>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3"/>
  </w:num>
  <w:num w:numId="2">
    <w:abstractNumId w:val="4"/>
  </w:num>
  <w:num w:numId="3">
    <w:abstractNumId w:val="5"/>
  </w:num>
  <w:num w:numId="4">
    <w:abstractNumId w:val="2"/>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0BD3"/>
    <w:rsid w:val="000D0EDC"/>
    <w:rsid w:val="00131BB3"/>
    <w:rsid w:val="00177334"/>
    <w:rsid w:val="001F407A"/>
    <w:rsid w:val="002A0BD3"/>
    <w:rsid w:val="003179A9"/>
    <w:rsid w:val="00533944"/>
    <w:rsid w:val="005E169A"/>
    <w:rsid w:val="006E5183"/>
    <w:rsid w:val="007C6679"/>
    <w:rsid w:val="008A7EBD"/>
    <w:rsid w:val="009101B3"/>
    <w:rsid w:val="00B0636B"/>
    <w:rsid w:val="00B210A7"/>
    <w:rsid w:val="00B95C19"/>
    <w:rsid w:val="00BA6084"/>
    <w:rsid w:val="00C1350C"/>
    <w:rsid w:val="00C31E52"/>
    <w:rsid w:val="00F829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D7C9E8"/>
  <w15:chartTrackingRefBased/>
  <w15:docId w15:val="{F82C713D-E71E-434E-959A-CC7AFD01A6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qFormat/>
    <w:rsid w:val="00C1350C"/>
    <w:pPr>
      <w:keepNext/>
      <w:keepLines/>
      <w:spacing w:before="480" w:after="0" w:line="240" w:lineRule="auto"/>
      <w:outlineLvl w:val="0"/>
    </w:pPr>
    <w:rPr>
      <w:rFonts w:asciiTheme="majorHAnsi" w:eastAsiaTheme="majorEastAsia" w:hAnsiTheme="majorHAnsi" w:cstheme="majorBidi"/>
      <w:b/>
      <w:bCs/>
      <w:color w:val="2F5496" w:themeColor="accent1" w:themeShade="BF"/>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AEXdefault">
    <w:name w:val="RAEX default"/>
    <w:basedOn w:val="a"/>
    <w:next w:val="a"/>
    <w:link w:val="RAEXdefault0"/>
    <w:qFormat/>
    <w:rsid w:val="00533944"/>
    <w:pPr>
      <w:spacing w:after="0" w:line="240" w:lineRule="auto"/>
      <w:ind w:firstLine="709"/>
      <w:contextualSpacing/>
      <w:jc w:val="both"/>
    </w:pPr>
    <w:rPr>
      <w:rFonts w:ascii="Times New Roman" w:eastAsia="Times New Roman" w:hAnsi="Times New Roman" w:cs="Times New Roman"/>
      <w:sz w:val="24"/>
      <w:szCs w:val="24"/>
      <w:lang w:val="en-US" w:eastAsia="ru-RU"/>
    </w:rPr>
  </w:style>
  <w:style w:type="character" w:customStyle="1" w:styleId="RAEXdefault0">
    <w:name w:val="RAEX default Знак"/>
    <w:basedOn w:val="a0"/>
    <w:link w:val="RAEXdefault"/>
    <w:rsid w:val="00533944"/>
    <w:rPr>
      <w:rFonts w:ascii="Times New Roman" w:eastAsia="Times New Roman" w:hAnsi="Times New Roman" w:cs="Times New Roman"/>
      <w:sz w:val="24"/>
      <w:szCs w:val="24"/>
      <w:lang w:val="en-US" w:eastAsia="ru-RU"/>
    </w:rPr>
  </w:style>
  <w:style w:type="paragraph" w:styleId="a3">
    <w:name w:val="footnote text"/>
    <w:basedOn w:val="a"/>
    <w:link w:val="a4"/>
    <w:uiPriority w:val="99"/>
    <w:rsid w:val="00533944"/>
    <w:pPr>
      <w:spacing w:after="0" w:line="240" w:lineRule="auto"/>
      <w:jc w:val="both"/>
    </w:pPr>
    <w:rPr>
      <w:rFonts w:ascii="Times New Roman" w:eastAsia="Times New Roman" w:hAnsi="Times New Roman" w:cs="Times New Roman"/>
      <w:sz w:val="20"/>
      <w:szCs w:val="20"/>
      <w:lang w:eastAsia="ru-RU"/>
    </w:rPr>
  </w:style>
  <w:style w:type="character" w:customStyle="1" w:styleId="a4">
    <w:name w:val="Текст сноски Знак"/>
    <w:basedOn w:val="a0"/>
    <w:link w:val="a3"/>
    <w:uiPriority w:val="99"/>
    <w:rsid w:val="00533944"/>
    <w:rPr>
      <w:rFonts w:ascii="Times New Roman" w:eastAsia="Times New Roman" w:hAnsi="Times New Roman" w:cs="Times New Roman"/>
      <w:sz w:val="20"/>
      <w:szCs w:val="20"/>
      <w:lang w:eastAsia="ru-RU"/>
    </w:rPr>
  </w:style>
  <w:style w:type="character" w:styleId="a5">
    <w:name w:val="footnote reference"/>
    <w:uiPriority w:val="99"/>
    <w:rsid w:val="00533944"/>
    <w:rPr>
      <w:vertAlign w:val="superscript"/>
    </w:rPr>
  </w:style>
  <w:style w:type="paragraph" w:styleId="a6">
    <w:name w:val="Normal (Web)"/>
    <w:basedOn w:val="a"/>
    <w:uiPriority w:val="99"/>
    <w:unhideWhenUsed/>
    <w:rsid w:val="005339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List Paragraph"/>
    <w:basedOn w:val="a"/>
    <w:link w:val="a8"/>
    <w:uiPriority w:val="34"/>
    <w:qFormat/>
    <w:rsid w:val="00533944"/>
    <w:pPr>
      <w:ind w:left="720"/>
      <w:contextualSpacing/>
    </w:pPr>
  </w:style>
  <w:style w:type="paragraph" w:styleId="a9">
    <w:name w:val="Body Text"/>
    <w:basedOn w:val="a"/>
    <w:link w:val="aa"/>
    <w:rsid w:val="003179A9"/>
    <w:pPr>
      <w:autoSpaceDE w:val="0"/>
      <w:autoSpaceDN w:val="0"/>
      <w:spacing w:after="0" w:line="240" w:lineRule="auto"/>
      <w:jc w:val="both"/>
    </w:pPr>
    <w:rPr>
      <w:rFonts w:ascii="Times New Roman" w:eastAsia="Times New Roman" w:hAnsi="Times New Roman" w:cs="Times New Roman"/>
      <w:sz w:val="24"/>
      <w:szCs w:val="24"/>
      <w:lang w:eastAsia="ru-RU"/>
    </w:rPr>
  </w:style>
  <w:style w:type="character" w:customStyle="1" w:styleId="aa">
    <w:name w:val="Основной текст Знак"/>
    <w:basedOn w:val="a0"/>
    <w:link w:val="a9"/>
    <w:rsid w:val="003179A9"/>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C1350C"/>
    <w:rPr>
      <w:rFonts w:asciiTheme="majorHAnsi" w:eastAsiaTheme="majorEastAsia" w:hAnsiTheme="majorHAnsi" w:cstheme="majorBidi"/>
      <w:b/>
      <w:bCs/>
      <w:color w:val="2F5496" w:themeColor="accent1" w:themeShade="BF"/>
      <w:sz w:val="28"/>
      <w:szCs w:val="28"/>
      <w:lang w:eastAsia="ru-RU"/>
    </w:rPr>
  </w:style>
  <w:style w:type="character" w:customStyle="1" w:styleId="a8">
    <w:name w:val="Абзац списка Знак"/>
    <w:link w:val="a7"/>
    <w:uiPriority w:val="34"/>
    <w:locked/>
    <w:rsid w:val="00C31E52"/>
  </w:style>
  <w:style w:type="table" w:styleId="ab">
    <w:name w:val="Table Grid"/>
    <w:basedOn w:val="a1"/>
    <w:uiPriority w:val="39"/>
    <w:rsid w:val="005E169A"/>
    <w:pPr>
      <w:spacing w:after="0" w:line="240" w:lineRule="auto"/>
    </w:pPr>
    <w:rPr>
      <w:rFonts w:ascii="Times" w:hAnsi="Times" w:cstheme="minorHAnsi"/>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702</Words>
  <Characters>4002</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Стукан Денис</dc:creator>
  <cp:keywords/>
  <dc:description/>
  <cp:lastModifiedBy>Стукан Денис</cp:lastModifiedBy>
  <cp:revision>3</cp:revision>
  <dcterms:created xsi:type="dcterms:W3CDTF">2022-07-28T05:59:00Z</dcterms:created>
  <dcterms:modified xsi:type="dcterms:W3CDTF">2022-07-28T06:16:00Z</dcterms:modified>
</cp:coreProperties>
</file>