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6D6A5" w14:textId="7AE24C1D" w:rsidR="00B528CF" w:rsidRPr="000028C3" w:rsidRDefault="006629B5" w:rsidP="00D0597B">
      <w:pPr>
        <w:jc w:val="right"/>
      </w:pPr>
      <w:r w:rsidRPr="000028C3">
        <w:t>Проект от 06.05.2020</w:t>
      </w:r>
    </w:p>
    <w:p w14:paraId="13B5717A" w14:textId="77777777" w:rsidR="00B528CF" w:rsidRPr="000028C3" w:rsidRDefault="00B528CF" w:rsidP="0039664F"/>
    <w:p w14:paraId="32CF20C6" w14:textId="77777777" w:rsidR="00B528CF" w:rsidRPr="000028C3" w:rsidRDefault="00B528CF" w:rsidP="0039664F"/>
    <w:p w14:paraId="4F292265" w14:textId="77777777" w:rsidR="00B528CF" w:rsidRPr="000028C3" w:rsidRDefault="00B528CF" w:rsidP="0039664F"/>
    <w:p w14:paraId="78196E0E" w14:textId="77777777" w:rsidR="0079661C" w:rsidRPr="000028C3" w:rsidRDefault="0079661C" w:rsidP="0039664F"/>
    <w:p w14:paraId="02A00879" w14:textId="77777777" w:rsidR="0079661C" w:rsidRPr="000028C3" w:rsidRDefault="0079661C" w:rsidP="0039664F">
      <w:bookmarkStart w:id="0" w:name="_GoBack"/>
      <w:bookmarkEnd w:id="0"/>
    </w:p>
    <w:p w14:paraId="5071C753" w14:textId="77777777" w:rsidR="0079661C" w:rsidRPr="000028C3" w:rsidRDefault="0079661C" w:rsidP="0039664F"/>
    <w:p w14:paraId="37F88BEE" w14:textId="77777777" w:rsidR="00B528CF" w:rsidRPr="000028C3" w:rsidRDefault="00B528CF" w:rsidP="0039664F"/>
    <w:p w14:paraId="551CEC99" w14:textId="77777777" w:rsidR="00B528CF" w:rsidRPr="000028C3" w:rsidRDefault="00B528CF" w:rsidP="0039664F"/>
    <w:p w14:paraId="0727A877" w14:textId="77777777" w:rsidR="0079661C" w:rsidRPr="000028C3" w:rsidRDefault="0079661C" w:rsidP="0039664F">
      <w:pPr>
        <w:suppressAutoHyphens/>
        <w:jc w:val="center"/>
        <w:rPr>
          <w:b/>
          <w:sz w:val="36"/>
          <w:szCs w:val="36"/>
          <w:lang w:eastAsia="ar-SA"/>
        </w:rPr>
      </w:pPr>
    </w:p>
    <w:p w14:paraId="177686AB" w14:textId="77777777" w:rsidR="0079661C" w:rsidRPr="000028C3" w:rsidRDefault="0079661C" w:rsidP="0039664F">
      <w:pPr>
        <w:suppressAutoHyphens/>
        <w:jc w:val="center"/>
        <w:rPr>
          <w:b/>
          <w:sz w:val="36"/>
          <w:szCs w:val="36"/>
          <w:lang w:eastAsia="ar-SA"/>
        </w:rPr>
      </w:pPr>
    </w:p>
    <w:p w14:paraId="391912C2" w14:textId="77777777" w:rsidR="00B528CF" w:rsidRPr="000028C3" w:rsidRDefault="00D201AD" w:rsidP="0039664F">
      <w:pPr>
        <w:suppressAutoHyphens/>
        <w:jc w:val="center"/>
        <w:rPr>
          <w:sz w:val="36"/>
          <w:szCs w:val="36"/>
          <w:lang w:eastAsia="ar-SA"/>
        </w:rPr>
      </w:pPr>
      <w:r w:rsidRPr="000028C3">
        <w:rPr>
          <w:sz w:val="36"/>
          <w:szCs w:val="36"/>
          <w:lang w:eastAsia="ar-SA"/>
        </w:rPr>
        <w:t>М</w:t>
      </w:r>
      <w:r w:rsidR="00E62C52" w:rsidRPr="000028C3">
        <w:rPr>
          <w:sz w:val="36"/>
          <w:szCs w:val="36"/>
          <w:lang w:eastAsia="ar-SA"/>
        </w:rPr>
        <w:t>етодологи</w:t>
      </w:r>
      <w:r w:rsidRPr="000028C3">
        <w:rPr>
          <w:sz w:val="36"/>
          <w:szCs w:val="36"/>
          <w:lang w:eastAsia="ar-SA"/>
        </w:rPr>
        <w:t>я</w:t>
      </w:r>
      <w:r w:rsidR="00E62C52" w:rsidRPr="000028C3">
        <w:rPr>
          <w:sz w:val="36"/>
          <w:szCs w:val="36"/>
          <w:lang w:eastAsia="ar-SA"/>
        </w:rPr>
        <w:t xml:space="preserve"> присвоения рейтингов </w:t>
      </w:r>
      <w:r w:rsidR="00E62C52" w:rsidRPr="000028C3">
        <w:rPr>
          <w:sz w:val="36"/>
          <w:szCs w:val="36"/>
          <w:lang w:eastAsia="ar-SA"/>
        </w:rPr>
        <w:br/>
        <w:t xml:space="preserve">кредитоспособности </w:t>
      </w:r>
      <w:r w:rsidR="006F765C" w:rsidRPr="000028C3">
        <w:rPr>
          <w:sz w:val="36"/>
          <w:szCs w:val="36"/>
          <w:lang w:eastAsia="ar-SA"/>
        </w:rPr>
        <w:t>факторинговым компаниям</w:t>
      </w:r>
    </w:p>
    <w:p w14:paraId="11F15EA4" w14:textId="77777777" w:rsidR="0079661C" w:rsidRPr="000028C3" w:rsidRDefault="0079661C" w:rsidP="0039664F">
      <w:pPr>
        <w:jc w:val="right"/>
      </w:pPr>
    </w:p>
    <w:p w14:paraId="73C87BF6" w14:textId="77777777" w:rsidR="006F4E14" w:rsidRPr="000028C3" w:rsidRDefault="006F4E14" w:rsidP="0039664F">
      <w:pPr>
        <w:jc w:val="right"/>
      </w:pPr>
    </w:p>
    <w:p w14:paraId="6D488A05" w14:textId="77777777" w:rsidR="006F4E14" w:rsidRPr="000028C3" w:rsidRDefault="006F4E14" w:rsidP="0039664F">
      <w:pPr>
        <w:jc w:val="right"/>
      </w:pPr>
    </w:p>
    <w:p w14:paraId="12E3D330" w14:textId="77777777" w:rsidR="0079661C" w:rsidRPr="000028C3" w:rsidRDefault="0079661C" w:rsidP="0039664F">
      <w:pPr>
        <w:jc w:val="right"/>
      </w:pPr>
    </w:p>
    <w:p w14:paraId="4929852B" w14:textId="77777777" w:rsidR="0079661C" w:rsidRPr="000028C3" w:rsidRDefault="0079661C" w:rsidP="0039664F">
      <w:pPr>
        <w:jc w:val="right"/>
      </w:pPr>
    </w:p>
    <w:p w14:paraId="38459783" w14:textId="77777777" w:rsidR="002A1410" w:rsidRPr="000028C3" w:rsidRDefault="002A1410" w:rsidP="0039664F">
      <w:pPr>
        <w:jc w:val="right"/>
      </w:pPr>
    </w:p>
    <w:p w14:paraId="001C8DB5" w14:textId="77777777" w:rsidR="002A1410" w:rsidRPr="000028C3" w:rsidRDefault="002A1410" w:rsidP="0039664F">
      <w:pPr>
        <w:jc w:val="right"/>
      </w:pPr>
    </w:p>
    <w:p w14:paraId="3DB3D882" w14:textId="77777777" w:rsidR="002A1410" w:rsidRPr="000028C3" w:rsidRDefault="002A1410" w:rsidP="0039664F">
      <w:pPr>
        <w:jc w:val="right"/>
      </w:pPr>
    </w:p>
    <w:p w14:paraId="20167982" w14:textId="77777777" w:rsidR="002A1410" w:rsidRPr="000028C3" w:rsidRDefault="002A1410" w:rsidP="0039664F">
      <w:pPr>
        <w:jc w:val="right"/>
      </w:pPr>
    </w:p>
    <w:p w14:paraId="511E8E97" w14:textId="77777777" w:rsidR="002A1410" w:rsidRPr="000028C3" w:rsidRDefault="002A1410" w:rsidP="0039664F">
      <w:pPr>
        <w:jc w:val="right"/>
      </w:pPr>
    </w:p>
    <w:p w14:paraId="6E533ED0" w14:textId="77777777" w:rsidR="002A1410" w:rsidRPr="000028C3" w:rsidRDefault="002A1410" w:rsidP="0039664F">
      <w:pPr>
        <w:jc w:val="right"/>
      </w:pPr>
    </w:p>
    <w:p w14:paraId="5F49377B" w14:textId="77777777" w:rsidR="002A1410" w:rsidRPr="000028C3" w:rsidRDefault="002A1410" w:rsidP="0039664F">
      <w:pPr>
        <w:jc w:val="right"/>
      </w:pPr>
    </w:p>
    <w:p w14:paraId="05DCE876" w14:textId="77777777" w:rsidR="002A1410" w:rsidRPr="000028C3" w:rsidRDefault="002A1410" w:rsidP="0039664F">
      <w:pPr>
        <w:jc w:val="right"/>
      </w:pPr>
    </w:p>
    <w:p w14:paraId="41B76026" w14:textId="77777777" w:rsidR="002A1410" w:rsidRPr="000028C3" w:rsidRDefault="002A1410" w:rsidP="0039664F">
      <w:pPr>
        <w:jc w:val="right"/>
      </w:pPr>
    </w:p>
    <w:p w14:paraId="4CDFC4CB" w14:textId="77777777" w:rsidR="002A1410" w:rsidRPr="000028C3" w:rsidRDefault="002A1410" w:rsidP="0039664F">
      <w:pPr>
        <w:jc w:val="right"/>
      </w:pPr>
    </w:p>
    <w:p w14:paraId="326156F3" w14:textId="77777777" w:rsidR="002A1410" w:rsidRPr="000028C3" w:rsidRDefault="002A1410" w:rsidP="0039664F">
      <w:pPr>
        <w:jc w:val="right"/>
      </w:pPr>
    </w:p>
    <w:p w14:paraId="58E6AD51" w14:textId="3F8D7F81" w:rsidR="0079661C" w:rsidRPr="000028C3" w:rsidRDefault="0079661C" w:rsidP="0039664F">
      <w:pPr>
        <w:jc w:val="right"/>
      </w:pPr>
      <w:r w:rsidRPr="000028C3">
        <w:t>Утверждена на заседании</w:t>
      </w:r>
    </w:p>
    <w:p w14:paraId="2493EF71" w14:textId="77777777" w:rsidR="006F4E14" w:rsidRPr="000028C3" w:rsidRDefault="00A86C85" w:rsidP="0039664F">
      <w:pPr>
        <w:jc w:val="right"/>
      </w:pPr>
      <w:r w:rsidRPr="000028C3">
        <w:t>м</w:t>
      </w:r>
      <w:r w:rsidR="0079661C" w:rsidRPr="000028C3">
        <w:t xml:space="preserve">етодологического комитета </w:t>
      </w:r>
      <w:r w:rsidR="005A2B1C" w:rsidRPr="000028C3">
        <w:t>№</w:t>
      </w:r>
      <w:r w:rsidR="006D77FE" w:rsidRPr="000028C3">
        <w:t>___</w:t>
      </w:r>
      <w:r w:rsidR="0071553C" w:rsidRPr="000028C3">
        <w:t xml:space="preserve"> </w:t>
      </w:r>
      <w:r w:rsidR="005A2B1C" w:rsidRPr="000028C3">
        <w:t xml:space="preserve">от </w:t>
      </w:r>
      <w:r w:rsidR="006D77FE" w:rsidRPr="000028C3">
        <w:t>_</w:t>
      </w:r>
      <w:proofErr w:type="gramStart"/>
      <w:r w:rsidR="006D77FE" w:rsidRPr="000028C3">
        <w:t>_</w:t>
      </w:r>
      <w:r w:rsidR="006F765C" w:rsidRPr="000028C3">
        <w:t>.</w:t>
      </w:r>
      <w:r w:rsidR="006D77FE" w:rsidRPr="000028C3">
        <w:t>_</w:t>
      </w:r>
      <w:proofErr w:type="gramEnd"/>
      <w:r w:rsidR="006D77FE" w:rsidRPr="000028C3">
        <w:t>_</w:t>
      </w:r>
      <w:r w:rsidR="00A5623D" w:rsidRPr="000028C3">
        <w:t>.20</w:t>
      </w:r>
      <w:r w:rsidR="006D77FE" w:rsidRPr="000028C3">
        <w:t>20</w:t>
      </w:r>
    </w:p>
    <w:p w14:paraId="5A5594EC" w14:textId="77777777" w:rsidR="006F4E14" w:rsidRPr="000028C3" w:rsidRDefault="006F4E14" w:rsidP="0039664F">
      <w:r w:rsidRPr="000028C3">
        <w:br w:type="page"/>
      </w:r>
    </w:p>
    <w:p w14:paraId="203EF788" w14:textId="77777777" w:rsidR="0079661C" w:rsidRPr="000028C3" w:rsidRDefault="0079661C" w:rsidP="0039664F">
      <w:pPr>
        <w:jc w:val="right"/>
      </w:pPr>
    </w:p>
    <w:sdt>
      <w:sdtPr>
        <w:rPr>
          <w:rFonts w:ascii="Times New Roman" w:eastAsia="Times New Roman" w:hAnsi="Times New Roman" w:cs="Times New Roman"/>
          <w:color w:val="auto"/>
          <w:sz w:val="24"/>
          <w:szCs w:val="24"/>
        </w:rPr>
        <w:id w:val="1335339429"/>
        <w:docPartObj>
          <w:docPartGallery w:val="Table of Contents"/>
          <w:docPartUnique/>
        </w:docPartObj>
      </w:sdtPr>
      <w:sdtEndPr>
        <w:rPr>
          <w:b/>
          <w:bCs/>
        </w:rPr>
      </w:sdtEndPr>
      <w:sdtContent>
        <w:p w14:paraId="2AAACF0F" w14:textId="77777777" w:rsidR="0056518F" w:rsidRPr="000028C3" w:rsidRDefault="0056518F" w:rsidP="0039664F">
          <w:pPr>
            <w:pStyle w:val="afa"/>
            <w:spacing w:before="0" w:line="240" w:lineRule="auto"/>
            <w:rPr>
              <w:rFonts w:ascii="Times New Roman" w:hAnsi="Times New Roman" w:cs="Times New Roman"/>
              <w:b/>
              <w:color w:val="auto"/>
              <w:sz w:val="28"/>
              <w:szCs w:val="28"/>
            </w:rPr>
          </w:pPr>
          <w:r w:rsidRPr="000028C3">
            <w:rPr>
              <w:rFonts w:ascii="Times New Roman" w:hAnsi="Times New Roman" w:cs="Times New Roman"/>
              <w:b/>
              <w:color w:val="auto"/>
              <w:sz w:val="28"/>
              <w:szCs w:val="28"/>
            </w:rPr>
            <w:t>Оглавление</w:t>
          </w:r>
        </w:p>
        <w:p w14:paraId="4BBBBD56" w14:textId="1ECF9BD4" w:rsidR="00EB4C6D" w:rsidRDefault="0056518F">
          <w:pPr>
            <w:pStyle w:val="12"/>
            <w:tabs>
              <w:tab w:val="left" w:pos="480"/>
              <w:tab w:val="right" w:leader="dot" w:pos="9345"/>
            </w:tabs>
            <w:rPr>
              <w:rFonts w:asciiTheme="minorHAnsi" w:eastAsiaTheme="minorEastAsia" w:hAnsiTheme="minorHAnsi" w:cstheme="minorBidi"/>
              <w:noProof/>
              <w:sz w:val="22"/>
              <w:szCs w:val="22"/>
            </w:rPr>
          </w:pPr>
          <w:r w:rsidRPr="000028C3">
            <w:fldChar w:fldCharType="begin"/>
          </w:r>
          <w:r w:rsidRPr="000028C3">
            <w:instrText xml:space="preserve"> TOC \o "1-3" \h \z \u </w:instrText>
          </w:r>
          <w:r w:rsidRPr="000028C3">
            <w:fldChar w:fldCharType="separate"/>
          </w:r>
          <w:hyperlink w:anchor="_Toc39667601" w:history="1">
            <w:r w:rsidR="00EB4C6D" w:rsidRPr="004C12BD">
              <w:rPr>
                <w:rStyle w:val="a7"/>
                <w:noProof/>
                <w:kern w:val="1"/>
              </w:rPr>
              <w:t>1.</w:t>
            </w:r>
            <w:r w:rsidR="00EB4C6D">
              <w:rPr>
                <w:rFonts w:asciiTheme="minorHAnsi" w:eastAsiaTheme="minorEastAsia" w:hAnsiTheme="minorHAnsi" w:cstheme="minorBidi"/>
                <w:noProof/>
                <w:sz w:val="22"/>
                <w:szCs w:val="22"/>
              </w:rPr>
              <w:tab/>
            </w:r>
            <w:r w:rsidR="00EB4C6D" w:rsidRPr="004C12BD">
              <w:rPr>
                <w:rStyle w:val="a7"/>
                <w:noProof/>
              </w:rPr>
              <w:t>Основные понятия</w:t>
            </w:r>
            <w:r w:rsidR="00EB4C6D">
              <w:rPr>
                <w:noProof/>
                <w:webHidden/>
              </w:rPr>
              <w:tab/>
            </w:r>
            <w:r w:rsidR="00EB4C6D">
              <w:rPr>
                <w:noProof/>
                <w:webHidden/>
              </w:rPr>
              <w:fldChar w:fldCharType="begin"/>
            </w:r>
            <w:r w:rsidR="00EB4C6D">
              <w:rPr>
                <w:noProof/>
                <w:webHidden/>
              </w:rPr>
              <w:instrText xml:space="preserve"> PAGEREF _Toc39667601 \h </w:instrText>
            </w:r>
            <w:r w:rsidR="00EB4C6D">
              <w:rPr>
                <w:noProof/>
                <w:webHidden/>
              </w:rPr>
            </w:r>
            <w:r w:rsidR="00EB4C6D">
              <w:rPr>
                <w:noProof/>
                <w:webHidden/>
              </w:rPr>
              <w:fldChar w:fldCharType="separate"/>
            </w:r>
            <w:r w:rsidR="00EB4C6D">
              <w:rPr>
                <w:noProof/>
                <w:webHidden/>
              </w:rPr>
              <w:t>19</w:t>
            </w:r>
            <w:r w:rsidR="00EB4C6D">
              <w:rPr>
                <w:noProof/>
                <w:webHidden/>
              </w:rPr>
              <w:fldChar w:fldCharType="end"/>
            </w:r>
          </w:hyperlink>
        </w:p>
        <w:p w14:paraId="7C5B72F7" w14:textId="3404CAB7" w:rsidR="00EB4C6D" w:rsidRDefault="00EB4C6D">
          <w:pPr>
            <w:pStyle w:val="12"/>
            <w:tabs>
              <w:tab w:val="left" w:pos="660"/>
              <w:tab w:val="right" w:leader="dot" w:pos="9345"/>
            </w:tabs>
            <w:rPr>
              <w:rFonts w:asciiTheme="minorHAnsi" w:eastAsiaTheme="minorEastAsia" w:hAnsiTheme="minorHAnsi" w:cstheme="minorBidi"/>
              <w:noProof/>
              <w:sz w:val="22"/>
              <w:szCs w:val="22"/>
            </w:rPr>
          </w:pPr>
          <w:hyperlink w:anchor="_Toc39667602" w:history="1">
            <w:r w:rsidRPr="004C12BD">
              <w:rPr>
                <w:rStyle w:val="a7"/>
                <w:noProof/>
                <w:kern w:val="1"/>
                <w:lang w:eastAsia="ar-SA"/>
              </w:rPr>
              <w:t>1.1.</w:t>
            </w:r>
            <w:r>
              <w:rPr>
                <w:rFonts w:asciiTheme="minorHAnsi" w:eastAsiaTheme="minorEastAsia" w:hAnsiTheme="minorHAnsi" w:cstheme="minorBidi"/>
                <w:noProof/>
                <w:sz w:val="22"/>
                <w:szCs w:val="22"/>
              </w:rPr>
              <w:tab/>
            </w:r>
            <w:r w:rsidRPr="004C12BD">
              <w:rPr>
                <w:rStyle w:val="a7"/>
                <w:noProof/>
                <w:kern w:val="1"/>
                <w:lang w:eastAsia="ar-SA"/>
              </w:rPr>
              <w:t>Область применения методологии</w:t>
            </w:r>
            <w:r>
              <w:rPr>
                <w:noProof/>
                <w:webHidden/>
              </w:rPr>
              <w:tab/>
            </w:r>
            <w:r>
              <w:rPr>
                <w:noProof/>
                <w:webHidden/>
              </w:rPr>
              <w:fldChar w:fldCharType="begin"/>
            </w:r>
            <w:r>
              <w:rPr>
                <w:noProof/>
                <w:webHidden/>
              </w:rPr>
              <w:instrText xml:space="preserve"> PAGEREF _Toc39667602 \h </w:instrText>
            </w:r>
            <w:r>
              <w:rPr>
                <w:noProof/>
                <w:webHidden/>
              </w:rPr>
            </w:r>
            <w:r>
              <w:rPr>
                <w:noProof/>
                <w:webHidden/>
              </w:rPr>
              <w:fldChar w:fldCharType="separate"/>
            </w:r>
            <w:r>
              <w:rPr>
                <w:noProof/>
                <w:webHidden/>
              </w:rPr>
              <w:t>19</w:t>
            </w:r>
            <w:r>
              <w:rPr>
                <w:noProof/>
                <w:webHidden/>
              </w:rPr>
              <w:fldChar w:fldCharType="end"/>
            </w:r>
          </w:hyperlink>
        </w:p>
        <w:p w14:paraId="5B566F0E" w14:textId="0A1FE22C" w:rsidR="00EB4C6D" w:rsidRDefault="00EB4C6D">
          <w:pPr>
            <w:pStyle w:val="12"/>
            <w:tabs>
              <w:tab w:val="left" w:pos="660"/>
              <w:tab w:val="right" w:leader="dot" w:pos="9345"/>
            </w:tabs>
            <w:rPr>
              <w:rFonts w:asciiTheme="minorHAnsi" w:eastAsiaTheme="minorEastAsia" w:hAnsiTheme="minorHAnsi" w:cstheme="minorBidi"/>
              <w:noProof/>
              <w:sz w:val="22"/>
              <w:szCs w:val="22"/>
            </w:rPr>
          </w:pPr>
          <w:hyperlink w:anchor="_Toc39667603" w:history="1">
            <w:r w:rsidRPr="004C12BD">
              <w:rPr>
                <w:rStyle w:val="a7"/>
                <w:noProof/>
                <w:kern w:val="1"/>
                <w:lang w:eastAsia="ar-SA"/>
              </w:rPr>
              <w:t>1.2.</w:t>
            </w:r>
            <w:r>
              <w:rPr>
                <w:rFonts w:asciiTheme="minorHAnsi" w:eastAsiaTheme="minorEastAsia" w:hAnsiTheme="minorHAnsi" w:cstheme="minorBidi"/>
                <w:noProof/>
                <w:sz w:val="22"/>
                <w:szCs w:val="22"/>
              </w:rPr>
              <w:tab/>
            </w:r>
            <w:r w:rsidRPr="004C12BD">
              <w:rPr>
                <w:rStyle w:val="a7"/>
                <w:noProof/>
                <w:kern w:val="1"/>
                <w:lang w:eastAsia="ar-SA"/>
              </w:rPr>
              <w:t>Рейтинговая шкала</w:t>
            </w:r>
            <w:r>
              <w:rPr>
                <w:noProof/>
                <w:webHidden/>
              </w:rPr>
              <w:tab/>
            </w:r>
            <w:r>
              <w:rPr>
                <w:noProof/>
                <w:webHidden/>
              </w:rPr>
              <w:fldChar w:fldCharType="begin"/>
            </w:r>
            <w:r>
              <w:rPr>
                <w:noProof/>
                <w:webHidden/>
              </w:rPr>
              <w:instrText xml:space="preserve"> PAGEREF _Toc39667603 \h </w:instrText>
            </w:r>
            <w:r>
              <w:rPr>
                <w:noProof/>
                <w:webHidden/>
              </w:rPr>
            </w:r>
            <w:r>
              <w:rPr>
                <w:noProof/>
                <w:webHidden/>
              </w:rPr>
              <w:fldChar w:fldCharType="separate"/>
            </w:r>
            <w:r>
              <w:rPr>
                <w:noProof/>
                <w:webHidden/>
              </w:rPr>
              <w:t>19</w:t>
            </w:r>
            <w:r>
              <w:rPr>
                <w:noProof/>
                <w:webHidden/>
              </w:rPr>
              <w:fldChar w:fldCharType="end"/>
            </w:r>
          </w:hyperlink>
        </w:p>
        <w:p w14:paraId="1DEF59B5" w14:textId="68A6B73A" w:rsidR="00EB4C6D" w:rsidRDefault="00EB4C6D">
          <w:pPr>
            <w:pStyle w:val="12"/>
            <w:tabs>
              <w:tab w:val="left" w:pos="660"/>
              <w:tab w:val="right" w:leader="dot" w:pos="9345"/>
            </w:tabs>
            <w:rPr>
              <w:rFonts w:asciiTheme="minorHAnsi" w:eastAsiaTheme="minorEastAsia" w:hAnsiTheme="minorHAnsi" w:cstheme="minorBidi"/>
              <w:noProof/>
              <w:sz w:val="22"/>
              <w:szCs w:val="22"/>
            </w:rPr>
          </w:pPr>
          <w:hyperlink w:anchor="_Toc39667604" w:history="1">
            <w:r w:rsidRPr="004C12BD">
              <w:rPr>
                <w:rStyle w:val="a7"/>
                <w:noProof/>
                <w:kern w:val="1"/>
                <w:lang w:eastAsia="ar-SA"/>
              </w:rPr>
              <w:t>1.3.</w:t>
            </w:r>
            <w:r>
              <w:rPr>
                <w:rFonts w:asciiTheme="minorHAnsi" w:eastAsiaTheme="minorEastAsia" w:hAnsiTheme="minorHAnsi" w:cstheme="minorBidi"/>
                <w:noProof/>
                <w:sz w:val="22"/>
                <w:szCs w:val="22"/>
              </w:rPr>
              <w:tab/>
            </w:r>
            <w:r w:rsidRPr="004C12BD">
              <w:rPr>
                <w:rStyle w:val="a7"/>
                <w:noProof/>
                <w:kern w:val="1"/>
                <w:lang w:eastAsia="ar-SA"/>
              </w:rPr>
              <w:t>Определение дефолта</w:t>
            </w:r>
            <w:r>
              <w:rPr>
                <w:noProof/>
                <w:webHidden/>
              </w:rPr>
              <w:tab/>
            </w:r>
            <w:r>
              <w:rPr>
                <w:noProof/>
                <w:webHidden/>
              </w:rPr>
              <w:fldChar w:fldCharType="begin"/>
            </w:r>
            <w:r>
              <w:rPr>
                <w:noProof/>
                <w:webHidden/>
              </w:rPr>
              <w:instrText xml:space="preserve"> PAGEREF _Toc39667604 \h </w:instrText>
            </w:r>
            <w:r>
              <w:rPr>
                <w:noProof/>
                <w:webHidden/>
              </w:rPr>
            </w:r>
            <w:r>
              <w:rPr>
                <w:noProof/>
                <w:webHidden/>
              </w:rPr>
              <w:fldChar w:fldCharType="separate"/>
            </w:r>
            <w:r>
              <w:rPr>
                <w:noProof/>
                <w:webHidden/>
              </w:rPr>
              <w:t>20</w:t>
            </w:r>
            <w:r>
              <w:rPr>
                <w:noProof/>
                <w:webHidden/>
              </w:rPr>
              <w:fldChar w:fldCharType="end"/>
            </w:r>
          </w:hyperlink>
        </w:p>
        <w:p w14:paraId="025144A2" w14:textId="719B9DFB" w:rsidR="00EB4C6D" w:rsidRDefault="00EB4C6D">
          <w:pPr>
            <w:pStyle w:val="12"/>
            <w:tabs>
              <w:tab w:val="left" w:pos="660"/>
              <w:tab w:val="right" w:leader="dot" w:pos="9345"/>
            </w:tabs>
            <w:rPr>
              <w:rFonts w:asciiTheme="minorHAnsi" w:eastAsiaTheme="minorEastAsia" w:hAnsiTheme="minorHAnsi" w:cstheme="minorBidi"/>
              <w:noProof/>
              <w:sz w:val="22"/>
              <w:szCs w:val="22"/>
            </w:rPr>
          </w:pPr>
          <w:hyperlink w:anchor="_Toc39667605" w:history="1">
            <w:r w:rsidRPr="004C12BD">
              <w:rPr>
                <w:rStyle w:val="a7"/>
                <w:noProof/>
                <w:kern w:val="1"/>
                <w:lang w:eastAsia="ar-SA"/>
              </w:rPr>
              <w:t>1.4.</w:t>
            </w:r>
            <w:r>
              <w:rPr>
                <w:rFonts w:asciiTheme="minorHAnsi" w:eastAsiaTheme="minorEastAsia" w:hAnsiTheme="minorHAnsi" w:cstheme="minorBidi"/>
                <w:noProof/>
                <w:sz w:val="22"/>
                <w:szCs w:val="22"/>
              </w:rPr>
              <w:tab/>
            </w:r>
            <w:r w:rsidRPr="004C12BD">
              <w:rPr>
                <w:rStyle w:val="a7"/>
                <w:noProof/>
                <w:kern w:val="1"/>
                <w:lang w:eastAsia="ar-SA"/>
              </w:rPr>
              <w:t>Ключевые рейтинговые предположения, предпосылки и допущения</w:t>
            </w:r>
            <w:r>
              <w:rPr>
                <w:noProof/>
                <w:webHidden/>
              </w:rPr>
              <w:tab/>
            </w:r>
            <w:r>
              <w:rPr>
                <w:noProof/>
                <w:webHidden/>
              </w:rPr>
              <w:fldChar w:fldCharType="begin"/>
            </w:r>
            <w:r>
              <w:rPr>
                <w:noProof/>
                <w:webHidden/>
              </w:rPr>
              <w:instrText xml:space="preserve"> PAGEREF _Toc39667605 \h </w:instrText>
            </w:r>
            <w:r>
              <w:rPr>
                <w:noProof/>
                <w:webHidden/>
              </w:rPr>
            </w:r>
            <w:r>
              <w:rPr>
                <w:noProof/>
                <w:webHidden/>
              </w:rPr>
              <w:fldChar w:fldCharType="separate"/>
            </w:r>
            <w:r>
              <w:rPr>
                <w:noProof/>
                <w:webHidden/>
              </w:rPr>
              <w:t>21</w:t>
            </w:r>
            <w:r>
              <w:rPr>
                <w:noProof/>
                <w:webHidden/>
              </w:rPr>
              <w:fldChar w:fldCharType="end"/>
            </w:r>
          </w:hyperlink>
        </w:p>
        <w:p w14:paraId="02C2A018" w14:textId="37010B70" w:rsidR="00EB4C6D" w:rsidRDefault="00EB4C6D">
          <w:pPr>
            <w:pStyle w:val="12"/>
            <w:tabs>
              <w:tab w:val="left" w:pos="660"/>
              <w:tab w:val="right" w:leader="dot" w:pos="9345"/>
            </w:tabs>
            <w:rPr>
              <w:rFonts w:asciiTheme="minorHAnsi" w:eastAsiaTheme="minorEastAsia" w:hAnsiTheme="minorHAnsi" w:cstheme="minorBidi"/>
              <w:noProof/>
              <w:sz w:val="22"/>
              <w:szCs w:val="22"/>
            </w:rPr>
          </w:pPr>
          <w:hyperlink w:anchor="_Toc39667606" w:history="1">
            <w:r w:rsidRPr="004C12BD">
              <w:rPr>
                <w:rStyle w:val="a7"/>
                <w:noProof/>
                <w:kern w:val="1"/>
                <w:lang w:eastAsia="ar-SA"/>
              </w:rPr>
              <w:t>1.5.</w:t>
            </w:r>
            <w:r>
              <w:rPr>
                <w:rFonts w:asciiTheme="minorHAnsi" w:eastAsiaTheme="minorEastAsia" w:hAnsiTheme="minorHAnsi" w:cstheme="minorBidi"/>
                <w:noProof/>
                <w:sz w:val="22"/>
                <w:szCs w:val="22"/>
              </w:rPr>
              <w:tab/>
            </w:r>
            <w:r w:rsidRPr="004C12BD">
              <w:rPr>
                <w:rStyle w:val="a7"/>
                <w:noProof/>
                <w:kern w:val="1"/>
                <w:lang w:eastAsia="ar-SA"/>
              </w:rPr>
              <w:t>Общие положения</w:t>
            </w:r>
            <w:r>
              <w:rPr>
                <w:noProof/>
                <w:webHidden/>
              </w:rPr>
              <w:tab/>
            </w:r>
            <w:r>
              <w:rPr>
                <w:noProof/>
                <w:webHidden/>
              </w:rPr>
              <w:fldChar w:fldCharType="begin"/>
            </w:r>
            <w:r>
              <w:rPr>
                <w:noProof/>
                <w:webHidden/>
              </w:rPr>
              <w:instrText xml:space="preserve"> PAGEREF _Toc39667606 \h </w:instrText>
            </w:r>
            <w:r>
              <w:rPr>
                <w:noProof/>
                <w:webHidden/>
              </w:rPr>
            </w:r>
            <w:r>
              <w:rPr>
                <w:noProof/>
                <w:webHidden/>
              </w:rPr>
              <w:fldChar w:fldCharType="separate"/>
            </w:r>
            <w:r>
              <w:rPr>
                <w:noProof/>
                <w:webHidden/>
              </w:rPr>
              <w:t>22</w:t>
            </w:r>
            <w:r>
              <w:rPr>
                <w:noProof/>
                <w:webHidden/>
              </w:rPr>
              <w:fldChar w:fldCharType="end"/>
            </w:r>
          </w:hyperlink>
        </w:p>
        <w:p w14:paraId="7F8476C2" w14:textId="06237B3C" w:rsidR="00EB4C6D" w:rsidRDefault="00EB4C6D">
          <w:pPr>
            <w:pStyle w:val="12"/>
            <w:tabs>
              <w:tab w:val="left" w:pos="480"/>
              <w:tab w:val="right" w:leader="dot" w:pos="9345"/>
            </w:tabs>
            <w:rPr>
              <w:rFonts w:asciiTheme="minorHAnsi" w:eastAsiaTheme="minorEastAsia" w:hAnsiTheme="minorHAnsi" w:cstheme="minorBidi"/>
              <w:noProof/>
              <w:sz w:val="22"/>
              <w:szCs w:val="22"/>
            </w:rPr>
          </w:pPr>
          <w:hyperlink w:anchor="_Toc39667607" w:history="1">
            <w:r w:rsidRPr="004C12BD">
              <w:rPr>
                <w:rStyle w:val="a7"/>
                <w:noProof/>
                <w:kern w:val="1"/>
              </w:rPr>
              <w:t>2.</w:t>
            </w:r>
            <w:r>
              <w:rPr>
                <w:rFonts w:asciiTheme="minorHAnsi" w:eastAsiaTheme="minorEastAsia" w:hAnsiTheme="minorHAnsi" w:cstheme="minorBidi"/>
                <w:noProof/>
                <w:sz w:val="22"/>
                <w:szCs w:val="22"/>
              </w:rPr>
              <w:tab/>
            </w:r>
            <w:r w:rsidRPr="004C12BD">
              <w:rPr>
                <w:rStyle w:val="a7"/>
                <w:noProof/>
              </w:rPr>
              <w:t>Источники информации</w:t>
            </w:r>
            <w:r>
              <w:rPr>
                <w:noProof/>
                <w:webHidden/>
              </w:rPr>
              <w:tab/>
            </w:r>
            <w:r>
              <w:rPr>
                <w:noProof/>
                <w:webHidden/>
              </w:rPr>
              <w:fldChar w:fldCharType="begin"/>
            </w:r>
            <w:r>
              <w:rPr>
                <w:noProof/>
                <w:webHidden/>
              </w:rPr>
              <w:instrText xml:space="preserve"> PAGEREF _Toc39667607 \h </w:instrText>
            </w:r>
            <w:r>
              <w:rPr>
                <w:noProof/>
                <w:webHidden/>
              </w:rPr>
            </w:r>
            <w:r>
              <w:rPr>
                <w:noProof/>
                <w:webHidden/>
              </w:rPr>
              <w:fldChar w:fldCharType="separate"/>
            </w:r>
            <w:r>
              <w:rPr>
                <w:noProof/>
                <w:webHidden/>
              </w:rPr>
              <w:t>25</w:t>
            </w:r>
            <w:r>
              <w:rPr>
                <w:noProof/>
                <w:webHidden/>
              </w:rPr>
              <w:fldChar w:fldCharType="end"/>
            </w:r>
          </w:hyperlink>
        </w:p>
        <w:p w14:paraId="17CCF09A" w14:textId="72A9F1F2" w:rsidR="00EB4C6D" w:rsidRDefault="00EB4C6D">
          <w:pPr>
            <w:pStyle w:val="12"/>
            <w:tabs>
              <w:tab w:val="left" w:pos="480"/>
              <w:tab w:val="right" w:leader="dot" w:pos="9345"/>
            </w:tabs>
            <w:rPr>
              <w:rFonts w:asciiTheme="minorHAnsi" w:eastAsiaTheme="minorEastAsia" w:hAnsiTheme="minorHAnsi" w:cstheme="minorBidi"/>
              <w:noProof/>
              <w:sz w:val="22"/>
              <w:szCs w:val="22"/>
            </w:rPr>
          </w:pPr>
          <w:hyperlink w:anchor="_Toc39667608" w:history="1">
            <w:r w:rsidRPr="004C12BD">
              <w:rPr>
                <w:rStyle w:val="a7"/>
                <w:noProof/>
                <w:kern w:val="1"/>
              </w:rPr>
              <w:t>3.</w:t>
            </w:r>
            <w:r>
              <w:rPr>
                <w:rFonts w:asciiTheme="minorHAnsi" w:eastAsiaTheme="minorEastAsia" w:hAnsiTheme="minorHAnsi" w:cstheme="minorBidi"/>
                <w:noProof/>
                <w:sz w:val="22"/>
                <w:szCs w:val="22"/>
              </w:rPr>
              <w:tab/>
            </w:r>
            <w:r w:rsidRPr="004C12BD">
              <w:rPr>
                <w:rStyle w:val="a7"/>
                <w:noProof/>
              </w:rPr>
              <w:t>Структура анализа и метод расчета баллов</w:t>
            </w:r>
            <w:r>
              <w:rPr>
                <w:noProof/>
                <w:webHidden/>
              </w:rPr>
              <w:tab/>
            </w:r>
            <w:r>
              <w:rPr>
                <w:noProof/>
                <w:webHidden/>
              </w:rPr>
              <w:fldChar w:fldCharType="begin"/>
            </w:r>
            <w:r>
              <w:rPr>
                <w:noProof/>
                <w:webHidden/>
              </w:rPr>
              <w:instrText xml:space="preserve"> PAGEREF _Toc39667608 \h </w:instrText>
            </w:r>
            <w:r>
              <w:rPr>
                <w:noProof/>
                <w:webHidden/>
              </w:rPr>
            </w:r>
            <w:r>
              <w:rPr>
                <w:noProof/>
                <w:webHidden/>
              </w:rPr>
              <w:fldChar w:fldCharType="separate"/>
            </w:r>
            <w:r>
              <w:rPr>
                <w:noProof/>
                <w:webHidden/>
              </w:rPr>
              <w:t>28</w:t>
            </w:r>
            <w:r>
              <w:rPr>
                <w:noProof/>
                <w:webHidden/>
              </w:rPr>
              <w:fldChar w:fldCharType="end"/>
            </w:r>
          </w:hyperlink>
        </w:p>
        <w:p w14:paraId="2C370728" w14:textId="15AFE896" w:rsidR="00EB4C6D" w:rsidRDefault="00EB4C6D">
          <w:pPr>
            <w:pStyle w:val="12"/>
            <w:tabs>
              <w:tab w:val="left" w:pos="480"/>
              <w:tab w:val="right" w:leader="dot" w:pos="9345"/>
            </w:tabs>
            <w:rPr>
              <w:rFonts w:asciiTheme="minorHAnsi" w:eastAsiaTheme="minorEastAsia" w:hAnsiTheme="minorHAnsi" w:cstheme="minorBidi"/>
              <w:noProof/>
              <w:sz w:val="22"/>
              <w:szCs w:val="22"/>
            </w:rPr>
          </w:pPr>
          <w:hyperlink w:anchor="_Toc39667609" w:history="1">
            <w:r w:rsidRPr="004C12BD">
              <w:rPr>
                <w:rStyle w:val="a7"/>
                <w:noProof/>
                <w:kern w:val="1"/>
              </w:rPr>
              <w:t>4.</w:t>
            </w:r>
            <w:r>
              <w:rPr>
                <w:rFonts w:asciiTheme="minorHAnsi" w:eastAsiaTheme="minorEastAsia" w:hAnsiTheme="minorHAnsi" w:cstheme="minorBidi"/>
                <w:noProof/>
                <w:sz w:val="22"/>
                <w:szCs w:val="22"/>
              </w:rPr>
              <w:tab/>
            </w:r>
            <w:r w:rsidRPr="004C12BD">
              <w:rPr>
                <w:rStyle w:val="a7"/>
                <w:noProof/>
              </w:rPr>
              <w:t>Логическая схема анализа кредитоспособности</w:t>
            </w:r>
            <w:r>
              <w:rPr>
                <w:noProof/>
                <w:webHidden/>
              </w:rPr>
              <w:tab/>
            </w:r>
            <w:r>
              <w:rPr>
                <w:noProof/>
                <w:webHidden/>
              </w:rPr>
              <w:fldChar w:fldCharType="begin"/>
            </w:r>
            <w:r>
              <w:rPr>
                <w:noProof/>
                <w:webHidden/>
              </w:rPr>
              <w:instrText xml:space="preserve"> PAGEREF _Toc39667609 \h </w:instrText>
            </w:r>
            <w:r>
              <w:rPr>
                <w:noProof/>
                <w:webHidden/>
              </w:rPr>
            </w:r>
            <w:r>
              <w:rPr>
                <w:noProof/>
                <w:webHidden/>
              </w:rPr>
              <w:fldChar w:fldCharType="separate"/>
            </w:r>
            <w:r>
              <w:rPr>
                <w:noProof/>
                <w:webHidden/>
              </w:rPr>
              <w:t>33</w:t>
            </w:r>
            <w:r>
              <w:rPr>
                <w:noProof/>
                <w:webHidden/>
              </w:rPr>
              <w:fldChar w:fldCharType="end"/>
            </w:r>
          </w:hyperlink>
        </w:p>
        <w:p w14:paraId="561A60BF" w14:textId="2C1B07A1" w:rsidR="00EB4C6D" w:rsidRDefault="00EB4C6D">
          <w:pPr>
            <w:pStyle w:val="12"/>
            <w:tabs>
              <w:tab w:val="left" w:pos="480"/>
              <w:tab w:val="right" w:leader="dot" w:pos="9345"/>
            </w:tabs>
            <w:rPr>
              <w:rFonts w:asciiTheme="minorHAnsi" w:eastAsiaTheme="minorEastAsia" w:hAnsiTheme="minorHAnsi" w:cstheme="minorBidi"/>
              <w:noProof/>
              <w:sz w:val="22"/>
              <w:szCs w:val="22"/>
            </w:rPr>
          </w:pPr>
          <w:hyperlink w:anchor="_Toc39667610" w:history="1">
            <w:r w:rsidRPr="004C12BD">
              <w:rPr>
                <w:rStyle w:val="a7"/>
                <w:noProof/>
                <w:kern w:val="1"/>
              </w:rPr>
              <w:t>5.</w:t>
            </w:r>
            <w:r>
              <w:rPr>
                <w:rFonts w:asciiTheme="minorHAnsi" w:eastAsiaTheme="minorEastAsia" w:hAnsiTheme="minorHAnsi" w:cstheme="minorBidi"/>
                <w:noProof/>
                <w:sz w:val="22"/>
                <w:szCs w:val="22"/>
              </w:rPr>
              <w:tab/>
            </w:r>
            <w:r w:rsidRPr="004C12BD">
              <w:rPr>
                <w:rStyle w:val="a7"/>
                <w:noProof/>
              </w:rPr>
              <w:t>Условные рейтинговые классы</w:t>
            </w:r>
            <w:r>
              <w:rPr>
                <w:noProof/>
                <w:webHidden/>
              </w:rPr>
              <w:tab/>
            </w:r>
            <w:r>
              <w:rPr>
                <w:noProof/>
                <w:webHidden/>
              </w:rPr>
              <w:fldChar w:fldCharType="begin"/>
            </w:r>
            <w:r>
              <w:rPr>
                <w:noProof/>
                <w:webHidden/>
              </w:rPr>
              <w:instrText xml:space="preserve"> PAGEREF _Toc39667610 \h </w:instrText>
            </w:r>
            <w:r>
              <w:rPr>
                <w:noProof/>
                <w:webHidden/>
              </w:rPr>
            </w:r>
            <w:r>
              <w:rPr>
                <w:noProof/>
                <w:webHidden/>
              </w:rPr>
              <w:fldChar w:fldCharType="separate"/>
            </w:r>
            <w:r>
              <w:rPr>
                <w:noProof/>
                <w:webHidden/>
              </w:rPr>
              <w:t>34</w:t>
            </w:r>
            <w:r>
              <w:rPr>
                <w:noProof/>
                <w:webHidden/>
              </w:rPr>
              <w:fldChar w:fldCharType="end"/>
            </w:r>
          </w:hyperlink>
        </w:p>
        <w:p w14:paraId="4CFE69B6" w14:textId="4318F869" w:rsidR="00EB4C6D" w:rsidRDefault="00EB4C6D">
          <w:pPr>
            <w:pStyle w:val="12"/>
            <w:tabs>
              <w:tab w:val="left" w:pos="480"/>
              <w:tab w:val="right" w:leader="dot" w:pos="9345"/>
            </w:tabs>
            <w:rPr>
              <w:rFonts w:asciiTheme="minorHAnsi" w:eastAsiaTheme="minorEastAsia" w:hAnsiTheme="minorHAnsi" w:cstheme="minorBidi"/>
              <w:noProof/>
              <w:sz w:val="22"/>
              <w:szCs w:val="22"/>
            </w:rPr>
          </w:pPr>
          <w:hyperlink w:anchor="_Toc39667611" w:history="1">
            <w:r w:rsidRPr="004C12BD">
              <w:rPr>
                <w:rStyle w:val="a7"/>
                <w:noProof/>
                <w:kern w:val="1"/>
              </w:rPr>
              <w:t>6.</w:t>
            </w:r>
            <w:r>
              <w:rPr>
                <w:rFonts w:asciiTheme="minorHAnsi" w:eastAsiaTheme="minorEastAsia" w:hAnsiTheme="minorHAnsi" w:cstheme="minorBidi"/>
                <w:noProof/>
                <w:sz w:val="22"/>
                <w:szCs w:val="22"/>
              </w:rPr>
              <w:tab/>
            </w:r>
            <w:r w:rsidRPr="004C12BD">
              <w:rPr>
                <w:rStyle w:val="a7"/>
                <w:noProof/>
              </w:rPr>
              <w:t>Ключевые количественные и качественные факторы</w:t>
            </w:r>
            <w:r>
              <w:rPr>
                <w:noProof/>
                <w:webHidden/>
              </w:rPr>
              <w:tab/>
            </w:r>
            <w:r>
              <w:rPr>
                <w:noProof/>
                <w:webHidden/>
              </w:rPr>
              <w:fldChar w:fldCharType="begin"/>
            </w:r>
            <w:r>
              <w:rPr>
                <w:noProof/>
                <w:webHidden/>
              </w:rPr>
              <w:instrText xml:space="preserve"> PAGEREF _Toc39667611 \h </w:instrText>
            </w:r>
            <w:r>
              <w:rPr>
                <w:noProof/>
                <w:webHidden/>
              </w:rPr>
            </w:r>
            <w:r>
              <w:rPr>
                <w:noProof/>
                <w:webHidden/>
              </w:rPr>
              <w:fldChar w:fldCharType="separate"/>
            </w:r>
            <w:r>
              <w:rPr>
                <w:noProof/>
                <w:webHidden/>
              </w:rPr>
              <w:t>35</w:t>
            </w:r>
            <w:r>
              <w:rPr>
                <w:noProof/>
                <w:webHidden/>
              </w:rPr>
              <w:fldChar w:fldCharType="end"/>
            </w:r>
          </w:hyperlink>
        </w:p>
        <w:p w14:paraId="572A3B4A" w14:textId="5A5F5775" w:rsidR="00EB4C6D" w:rsidRDefault="00EB4C6D">
          <w:pPr>
            <w:pStyle w:val="20"/>
            <w:rPr>
              <w:rFonts w:asciiTheme="minorHAnsi" w:eastAsiaTheme="minorEastAsia" w:hAnsiTheme="minorHAnsi" w:cstheme="minorBidi"/>
              <w:noProof/>
              <w:sz w:val="22"/>
              <w:szCs w:val="22"/>
            </w:rPr>
          </w:pPr>
          <w:hyperlink w:anchor="_Toc39667612" w:history="1">
            <w:r w:rsidRPr="004C12BD">
              <w:rPr>
                <w:rStyle w:val="a7"/>
                <w:noProof/>
                <w:lang w:eastAsia="ar-SA"/>
              </w:rPr>
              <w:t>РАЗДЕЛ I. РЫНОЧНЫЕ ПОЗИЦИИ</w:t>
            </w:r>
            <w:r>
              <w:rPr>
                <w:noProof/>
                <w:webHidden/>
              </w:rPr>
              <w:tab/>
            </w:r>
            <w:r>
              <w:rPr>
                <w:noProof/>
                <w:webHidden/>
              </w:rPr>
              <w:fldChar w:fldCharType="begin"/>
            </w:r>
            <w:r>
              <w:rPr>
                <w:noProof/>
                <w:webHidden/>
              </w:rPr>
              <w:instrText xml:space="preserve"> PAGEREF _Toc39667612 \h </w:instrText>
            </w:r>
            <w:r>
              <w:rPr>
                <w:noProof/>
                <w:webHidden/>
              </w:rPr>
            </w:r>
            <w:r>
              <w:rPr>
                <w:noProof/>
                <w:webHidden/>
              </w:rPr>
              <w:fldChar w:fldCharType="separate"/>
            </w:r>
            <w:r>
              <w:rPr>
                <w:noProof/>
                <w:webHidden/>
              </w:rPr>
              <w:t>35</w:t>
            </w:r>
            <w:r>
              <w:rPr>
                <w:noProof/>
                <w:webHidden/>
              </w:rPr>
              <w:fldChar w:fldCharType="end"/>
            </w:r>
          </w:hyperlink>
        </w:p>
        <w:p w14:paraId="0A316D5D" w14:textId="393EA536"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13" w:history="1">
            <w:r w:rsidRPr="004C12BD">
              <w:rPr>
                <w:rStyle w:val="a7"/>
                <w:noProof/>
              </w:rPr>
              <w:t>1.1.</w:t>
            </w:r>
            <w:r>
              <w:rPr>
                <w:rFonts w:asciiTheme="minorHAnsi" w:eastAsiaTheme="minorEastAsia" w:hAnsiTheme="minorHAnsi" w:cstheme="minorBidi"/>
                <w:noProof/>
                <w:sz w:val="22"/>
                <w:szCs w:val="22"/>
              </w:rPr>
              <w:tab/>
            </w:r>
            <w:r w:rsidRPr="004C12BD">
              <w:rPr>
                <w:rStyle w:val="a7"/>
                <w:noProof/>
              </w:rPr>
              <w:t>Деловая репутация</w:t>
            </w:r>
            <w:r>
              <w:rPr>
                <w:noProof/>
                <w:webHidden/>
              </w:rPr>
              <w:tab/>
            </w:r>
            <w:r>
              <w:rPr>
                <w:noProof/>
                <w:webHidden/>
              </w:rPr>
              <w:fldChar w:fldCharType="begin"/>
            </w:r>
            <w:r>
              <w:rPr>
                <w:noProof/>
                <w:webHidden/>
              </w:rPr>
              <w:instrText xml:space="preserve"> PAGEREF _Toc39667613 \h </w:instrText>
            </w:r>
            <w:r>
              <w:rPr>
                <w:noProof/>
                <w:webHidden/>
              </w:rPr>
            </w:r>
            <w:r>
              <w:rPr>
                <w:noProof/>
                <w:webHidden/>
              </w:rPr>
              <w:fldChar w:fldCharType="separate"/>
            </w:r>
            <w:r>
              <w:rPr>
                <w:noProof/>
                <w:webHidden/>
              </w:rPr>
              <w:t>35</w:t>
            </w:r>
            <w:r>
              <w:rPr>
                <w:noProof/>
                <w:webHidden/>
              </w:rPr>
              <w:fldChar w:fldCharType="end"/>
            </w:r>
          </w:hyperlink>
        </w:p>
        <w:p w14:paraId="253D3658" w14:textId="577E16D5"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14" w:history="1">
            <w:r w:rsidRPr="004C12BD">
              <w:rPr>
                <w:rStyle w:val="a7"/>
                <w:noProof/>
              </w:rPr>
              <w:t>1.2.</w:t>
            </w:r>
            <w:r>
              <w:rPr>
                <w:rFonts w:asciiTheme="minorHAnsi" w:eastAsiaTheme="minorEastAsia" w:hAnsiTheme="minorHAnsi" w:cstheme="minorBidi"/>
                <w:noProof/>
                <w:sz w:val="22"/>
                <w:szCs w:val="22"/>
              </w:rPr>
              <w:tab/>
            </w:r>
            <w:r w:rsidRPr="004C12BD">
              <w:rPr>
                <w:rStyle w:val="a7"/>
                <w:noProof/>
              </w:rPr>
              <w:t>Конкурентные позиции</w:t>
            </w:r>
            <w:r>
              <w:rPr>
                <w:noProof/>
                <w:webHidden/>
              </w:rPr>
              <w:tab/>
            </w:r>
            <w:r>
              <w:rPr>
                <w:noProof/>
                <w:webHidden/>
              </w:rPr>
              <w:fldChar w:fldCharType="begin"/>
            </w:r>
            <w:r>
              <w:rPr>
                <w:noProof/>
                <w:webHidden/>
              </w:rPr>
              <w:instrText xml:space="preserve"> PAGEREF _Toc39667614 \h </w:instrText>
            </w:r>
            <w:r>
              <w:rPr>
                <w:noProof/>
                <w:webHidden/>
              </w:rPr>
            </w:r>
            <w:r>
              <w:rPr>
                <w:noProof/>
                <w:webHidden/>
              </w:rPr>
              <w:fldChar w:fldCharType="separate"/>
            </w:r>
            <w:r>
              <w:rPr>
                <w:noProof/>
                <w:webHidden/>
              </w:rPr>
              <w:t>39</w:t>
            </w:r>
            <w:r>
              <w:rPr>
                <w:noProof/>
                <w:webHidden/>
              </w:rPr>
              <w:fldChar w:fldCharType="end"/>
            </w:r>
          </w:hyperlink>
        </w:p>
        <w:p w14:paraId="385A923B" w14:textId="564C198B"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15" w:history="1">
            <w:r w:rsidRPr="004C12BD">
              <w:rPr>
                <w:rStyle w:val="a7"/>
                <w:noProof/>
              </w:rPr>
              <w:t>1.3.</w:t>
            </w:r>
            <w:r>
              <w:rPr>
                <w:rFonts w:asciiTheme="minorHAnsi" w:eastAsiaTheme="minorEastAsia" w:hAnsiTheme="minorHAnsi" w:cstheme="minorBidi"/>
                <w:noProof/>
                <w:sz w:val="22"/>
                <w:szCs w:val="22"/>
              </w:rPr>
              <w:tab/>
            </w:r>
            <w:r w:rsidRPr="004C12BD">
              <w:rPr>
                <w:rStyle w:val="a7"/>
                <w:noProof/>
              </w:rPr>
              <w:t>Специализация и кэптивность</w:t>
            </w:r>
            <w:r>
              <w:rPr>
                <w:noProof/>
                <w:webHidden/>
              </w:rPr>
              <w:tab/>
            </w:r>
            <w:r>
              <w:rPr>
                <w:noProof/>
                <w:webHidden/>
              </w:rPr>
              <w:fldChar w:fldCharType="begin"/>
            </w:r>
            <w:r>
              <w:rPr>
                <w:noProof/>
                <w:webHidden/>
              </w:rPr>
              <w:instrText xml:space="preserve"> PAGEREF _Toc39667615 \h </w:instrText>
            </w:r>
            <w:r>
              <w:rPr>
                <w:noProof/>
                <w:webHidden/>
              </w:rPr>
            </w:r>
            <w:r>
              <w:rPr>
                <w:noProof/>
                <w:webHidden/>
              </w:rPr>
              <w:fldChar w:fldCharType="separate"/>
            </w:r>
            <w:r>
              <w:rPr>
                <w:noProof/>
                <w:webHidden/>
              </w:rPr>
              <w:t>40</w:t>
            </w:r>
            <w:r>
              <w:rPr>
                <w:noProof/>
                <w:webHidden/>
              </w:rPr>
              <w:fldChar w:fldCharType="end"/>
            </w:r>
          </w:hyperlink>
        </w:p>
        <w:p w14:paraId="05A8A71F" w14:textId="0EB77C66" w:rsidR="00EB4C6D" w:rsidRDefault="00EB4C6D">
          <w:pPr>
            <w:pStyle w:val="20"/>
            <w:rPr>
              <w:rFonts w:asciiTheme="minorHAnsi" w:eastAsiaTheme="minorEastAsia" w:hAnsiTheme="minorHAnsi" w:cstheme="minorBidi"/>
              <w:noProof/>
              <w:sz w:val="22"/>
              <w:szCs w:val="22"/>
            </w:rPr>
          </w:pPr>
          <w:hyperlink w:anchor="_Toc39667616" w:history="1">
            <w:r w:rsidRPr="004C12BD">
              <w:rPr>
                <w:rStyle w:val="a7"/>
                <w:noProof/>
                <w:lang w:eastAsia="ar-SA"/>
              </w:rPr>
              <w:t>РАЗДЕЛ II. ФИНАНСОВЫЙ АНАЛИЗ</w:t>
            </w:r>
            <w:r>
              <w:rPr>
                <w:noProof/>
                <w:webHidden/>
              </w:rPr>
              <w:tab/>
            </w:r>
            <w:r>
              <w:rPr>
                <w:noProof/>
                <w:webHidden/>
              </w:rPr>
              <w:fldChar w:fldCharType="begin"/>
            </w:r>
            <w:r>
              <w:rPr>
                <w:noProof/>
                <w:webHidden/>
              </w:rPr>
              <w:instrText xml:space="preserve"> PAGEREF _Toc39667616 \h </w:instrText>
            </w:r>
            <w:r>
              <w:rPr>
                <w:noProof/>
                <w:webHidden/>
              </w:rPr>
            </w:r>
            <w:r>
              <w:rPr>
                <w:noProof/>
                <w:webHidden/>
              </w:rPr>
              <w:fldChar w:fldCharType="separate"/>
            </w:r>
            <w:r>
              <w:rPr>
                <w:noProof/>
                <w:webHidden/>
              </w:rPr>
              <w:t>42</w:t>
            </w:r>
            <w:r>
              <w:rPr>
                <w:noProof/>
                <w:webHidden/>
              </w:rPr>
              <w:fldChar w:fldCharType="end"/>
            </w:r>
          </w:hyperlink>
        </w:p>
        <w:p w14:paraId="322000E4" w14:textId="24DFD49D"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17" w:history="1">
            <w:r w:rsidRPr="004C12BD">
              <w:rPr>
                <w:rStyle w:val="a7"/>
                <w:noProof/>
              </w:rPr>
              <w:t>2.1.</w:t>
            </w:r>
            <w:r>
              <w:rPr>
                <w:rFonts w:asciiTheme="minorHAnsi" w:eastAsiaTheme="minorEastAsia" w:hAnsiTheme="minorHAnsi" w:cstheme="minorBidi"/>
                <w:noProof/>
                <w:sz w:val="22"/>
                <w:szCs w:val="22"/>
              </w:rPr>
              <w:tab/>
            </w:r>
            <w:r w:rsidRPr="004C12BD">
              <w:rPr>
                <w:rStyle w:val="a7"/>
                <w:noProof/>
              </w:rPr>
              <w:t>Достаточность капитала и политика резервирования</w:t>
            </w:r>
            <w:r>
              <w:rPr>
                <w:noProof/>
                <w:webHidden/>
              </w:rPr>
              <w:tab/>
            </w:r>
            <w:r>
              <w:rPr>
                <w:noProof/>
                <w:webHidden/>
              </w:rPr>
              <w:fldChar w:fldCharType="begin"/>
            </w:r>
            <w:r>
              <w:rPr>
                <w:noProof/>
                <w:webHidden/>
              </w:rPr>
              <w:instrText xml:space="preserve"> PAGEREF _Toc39667617 \h </w:instrText>
            </w:r>
            <w:r>
              <w:rPr>
                <w:noProof/>
                <w:webHidden/>
              </w:rPr>
            </w:r>
            <w:r>
              <w:rPr>
                <w:noProof/>
                <w:webHidden/>
              </w:rPr>
              <w:fldChar w:fldCharType="separate"/>
            </w:r>
            <w:r>
              <w:rPr>
                <w:noProof/>
                <w:webHidden/>
              </w:rPr>
              <w:t>42</w:t>
            </w:r>
            <w:r>
              <w:rPr>
                <w:noProof/>
                <w:webHidden/>
              </w:rPr>
              <w:fldChar w:fldCharType="end"/>
            </w:r>
          </w:hyperlink>
        </w:p>
        <w:p w14:paraId="10CF0040" w14:textId="3AB35065"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18" w:history="1">
            <w:r w:rsidRPr="004C12BD">
              <w:rPr>
                <w:rStyle w:val="a7"/>
                <w:noProof/>
              </w:rPr>
              <w:t>2.2.</w:t>
            </w:r>
            <w:r>
              <w:rPr>
                <w:rFonts w:asciiTheme="minorHAnsi" w:eastAsiaTheme="minorEastAsia" w:hAnsiTheme="minorHAnsi" w:cstheme="minorBidi"/>
                <w:noProof/>
                <w:sz w:val="22"/>
                <w:szCs w:val="22"/>
              </w:rPr>
              <w:tab/>
            </w:r>
            <w:r w:rsidRPr="004C12BD">
              <w:rPr>
                <w:rStyle w:val="a7"/>
                <w:noProof/>
              </w:rPr>
              <w:t>Концентрация на объектах кредитного риска, включая внебалансовые обязательства</w:t>
            </w:r>
            <w:r>
              <w:rPr>
                <w:noProof/>
                <w:webHidden/>
              </w:rPr>
              <w:tab/>
            </w:r>
            <w:r>
              <w:rPr>
                <w:noProof/>
                <w:webHidden/>
              </w:rPr>
              <w:fldChar w:fldCharType="begin"/>
            </w:r>
            <w:r>
              <w:rPr>
                <w:noProof/>
                <w:webHidden/>
              </w:rPr>
              <w:instrText xml:space="preserve"> PAGEREF _Toc39667618 \h </w:instrText>
            </w:r>
            <w:r>
              <w:rPr>
                <w:noProof/>
                <w:webHidden/>
              </w:rPr>
            </w:r>
            <w:r>
              <w:rPr>
                <w:noProof/>
                <w:webHidden/>
              </w:rPr>
              <w:fldChar w:fldCharType="separate"/>
            </w:r>
            <w:r>
              <w:rPr>
                <w:noProof/>
                <w:webHidden/>
              </w:rPr>
              <w:t>43</w:t>
            </w:r>
            <w:r>
              <w:rPr>
                <w:noProof/>
                <w:webHidden/>
              </w:rPr>
              <w:fldChar w:fldCharType="end"/>
            </w:r>
          </w:hyperlink>
        </w:p>
        <w:p w14:paraId="70494D6C" w14:textId="44CCCC3C"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19" w:history="1">
            <w:r w:rsidRPr="004C12BD">
              <w:rPr>
                <w:rStyle w:val="a7"/>
                <w:noProof/>
              </w:rPr>
              <w:t>2.3.</w:t>
            </w:r>
            <w:r>
              <w:rPr>
                <w:rFonts w:asciiTheme="minorHAnsi" w:eastAsiaTheme="minorEastAsia" w:hAnsiTheme="minorHAnsi" w:cstheme="minorBidi"/>
                <w:noProof/>
                <w:sz w:val="22"/>
                <w:szCs w:val="22"/>
              </w:rPr>
              <w:tab/>
            </w:r>
            <w:r w:rsidRPr="004C12BD">
              <w:rPr>
                <w:rStyle w:val="a7"/>
                <w:noProof/>
              </w:rPr>
              <w:t>Качество факторингового портфеля</w:t>
            </w:r>
            <w:r>
              <w:rPr>
                <w:noProof/>
                <w:webHidden/>
              </w:rPr>
              <w:tab/>
            </w:r>
            <w:r>
              <w:rPr>
                <w:noProof/>
                <w:webHidden/>
              </w:rPr>
              <w:fldChar w:fldCharType="begin"/>
            </w:r>
            <w:r>
              <w:rPr>
                <w:noProof/>
                <w:webHidden/>
              </w:rPr>
              <w:instrText xml:space="preserve"> PAGEREF _Toc39667619 \h </w:instrText>
            </w:r>
            <w:r>
              <w:rPr>
                <w:noProof/>
                <w:webHidden/>
              </w:rPr>
            </w:r>
            <w:r>
              <w:rPr>
                <w:noProof/>
                <w:webHidden/>
              </w:rPr>
              <w:fldChar w:fldCharType="separate"/>
            </w:r>
            <w:r>
              <w:rPr>
                <w:noProof/>
                <w:webHidden/>
              </w:rPr>
              <w:t>43</w:t>
            </w:r>
            <w:r>
              <w:rPr>
                <w:noProof/>
                <w:webHidden/>
              </w:rPr>
              <w:fldChar w:fldCharType="end"/>
            </w:r>
          </w:hyperlink>
        </w:p>
        <w:p w14:paraId="472C0E96" w14:textId="193E9EB8" w:rsidR="00EB4C6D" w:rsidRDefault="00EB4C6D">
          <w:pPr>
            <w:pStyle w:val="31"/>
            <w:tabs>
              <w:tab w:val="right" w:leader="dot" w:pos="9345"/>
            </w:tabs>
            <w:rPr>
              <w:rFonts w:asciiTheme="minorHAnsi" w:eastAsiaTheme="minorEastAsia" w:hAnsiTheme="minorHAnsi" w:cstheme="minorBidi"/>
              <w:noProof/>
              <w:sz w:val="22"/>
              <w:szCs w:val="22"/>
            </w:rPr>
          </w:pPr>
          <w:hyperlink w:anchor="_Toc39667620" w:history="1">
            <w:r w:rsidRPr="004C12BD">
              <w:rPr>
                <w:rStyle w:val="a7"/>
                <w:noProof/>
              </w:rPr>
              <w:t>2.3.1. Диверсификация факторингового портфеля по отраслям</w:t>
            </w:r>
            <w:r>
              <w:rPr>
                <w:noProof/>
                <w:webHidden/>
              </w:rPr>
              <w:tab/>
            </w:r>
            <w:r>
              <w:rPr>
                <w:noProof/>
                <w:webHidden/>
              </w:rPr>
              <w:fldChar w:fldCharType="begin"/>
            </w:r>
            <w:r>
              <w:rPr>
                <w:noProof/>
                <w:webHidden/>
              </w:rPr>
              <w:instrText xml:space="preserve"> PAGEREF _Toc39667620 \h </w:instrText>
            </w:r>
            <w:r>
              <w:rPr>
                <w:noProof/>
                <w:webHidden/>
              </w:rPr>
            </w:r>
            <w:r>
              <w:rPr>
                <w:noProof/>
                <w:webHidden/>
              </w:rPr>
              <w:fldChar w:fldCharType="separate"/>
            </w:r>
            <w:r>
              <w:rPr>
                <w:noProof/>
                <w:webHidden/>
              </w:rPr>
              <w:t>44</w:t>
            </w:r>
            <w:r>
              <w:rPr>
                <w:noProof/>
                <w:webHidden/>
              </w:rPr>
              <w:fldChar w:fldCharType="end"/>
            </w:r>
          </w:hyperlink>
        </w:p>
        <w:p w14:paraId="00386F21" w14:textId="657AEE98" w:rsidR="00EB4C6D" w:rsidRDefault="00EB4C6D">
          <w:pPr>
            <w:pStyle w:val="31"/>
            <w:tabs>
              <w:tab w:val="right" w:leader="dot" w:pos="9345"/>
            </w:tabs>
            <w:rPr>
              <w:rFonts w:asciiTheme="minorHAnsi" w:eastAsiaTheme="minorEastAsia" w:hAnsiTheme="minorHAnsi" w:cstheme="minorBidi"/>
              <w:noProof/>
              <w:sz w:val="22"/>
              <w:szCs w:val="22"/>
            </w:rPr>
          </w:pPr>
          <w:hyperlink w:anchor="_Toc39667621" w:history="1">
            <w:r w:rsidRPr="004C12BD">
              <w:rPr>
                <w:rStyle w:val="a7"/>
                <w:noProof/>
              </w:rPr>
              <w:t>2.3.2. Диверсификация факторингового портфеля по клиентам</w:t>
            </w:r>
            <w:r>
              <w:rPr>
                <w:noProof/>
                <w:webHidden/>
              </w:rPr>
              <w:tab/>
            </w:r>
            <w:r>
              <w:rPr>
                <w:noProof/>
                <w:webHidden/>
              </w:rPr>
              <w:fldChar w:fldCharType="begin"/>
            </w:r>
            <w:r>
              <w:rPr>
                <w:noProof/>
                <w:webHidden/>
              </w:rPr>
              <w:instrText xml:space="preserve"> PAGEREF _Toc39667621 \h </w:instrText>
            </w:r>
            <w:r>
              <w:rPr>
                <w:noProof/>
                <w:webHidden/>
              </w:rPr>
            </w:r>
            <w:r>
              <w:rPr>
                <w:noProof/>
                <w:webHidden/>
              </w:rPr>
              <w:fldChar w:fldCharType="separate"/>
            </w:r>
            <w:r>
              <w:rPr>
                <w:noProof/>
                <w:webHidden/>
              </w:rPr>
              <w:t>44</w:t>
            </w:r>
            <w:r>
              <w:rPr>
                <w:noProof/>
                <w:webHidden/>
              </w:rPr>
              <w:fldChar w:fldCharType="end"/>
            </w:r>
          </w:hyperlink>
        </w:p>
        <w:p w14:paraId="100C0847" w14:textId="4260A947" w:rsidR="00EB4C6D" w:rsidRDefault="00EB4C6D">
          <w:pPr>
            <w:pStyle w:val="31"/>
            <w:tabs>
              <w:tab w:val="right" w:leader="dot" w:pos="9345"/>
            </w:tabs>
            <w:rPr>
              <w:rFonts w:asciiTheme="minorHAnsi" w:eastAsiaTheme="minorEastAsia" w:hAnsiTheme="minorHAnsi" w:cstheme="minorBidi"/>
              <w:noProof/>
              <w:sz w:val="22"/>
              <w:szCs w:val="22"/>
            </w:rPr>
          </w:pPr>
          <w:hyperlink w:anchor="_Toc39667622" w:history="1">
            <w:r w:rsidRPr="004C12BD">
              <w:rPr>
                <w:rStyle w:val="a7"/>
                <w:noProof/>
              </w:rPr>
              <w:t>2.3.3. Уровень просроченной задолженности</w:t>
            </w:r>
            <w:r>
              <w:rPr>
                <w:noProof/>
                <w:webHidden/>
              </w:rPr>
              <w:tab/>
            </w:r>
            <w:r>
              <w:rPr>
                <w:noProof/>
                <w:webHidden/>
              </w:rPr>
              <w:fldChar w:fldCharType="begin"/>
            </w:r>
            <w:r>
              <w:rPr>
                <w:noProof/>
                <w:webHidden/>
              </w:rPr>
              <w:instrText xml:space="preserve"> PAGEREF _Toc39667622 \h </w:instrText>
            </w:r>
            <w:r>
              <w:rPr>
                <w:noProof/>
                <w:webHidden/>
              </w:rPr>
            </w:r>
            <w:r>
              <w:rPr>
                <w:noProof/>
                <w:webHidden/>
              </w:rPr>
              <w:fldChar w:fldCharType="separate"/>
            </w:r>
            <w:r>
              <w:rPr>
                <w:noProof/>
                <w:webHidden/>
              </w:rPr>
              <w:t>44</w:t>
            </w:r>
            <w:r>
              <w:rPr>
                <w:noProof/>
                <w:webHidden/>
              </w:rPr>
              <w:fldChar w:fldCharType="end"/>
            </w:r>
          </w:hyperlink>
        </w:p>
        <w:p w14:paraId="38A6439E" w14:textId="7EBD4B5A"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23" w:history="1">
            <w:r w:rsidRPr="004C12BD">
              <w:rPr>
                <w:rStyle w:val="a7"/>
                <w:noProof/>
              </w:rPr>
              <w:t>2.4.</w:t>
            </w:r>
            <w:r>
              <w:rPr>
                <w:rFonts w:asciiTheme="minorHAnsi" w:eastAsiaTheme="minorEastAsia" w:hAnsiTheme="minorHAnsi" w:cstheme="minorBidi"/>
                <w:noProof/>
                <w:sz w:val="22"/>
                <w:szCs w:val="22"/>
              </w:rPr>
              <w:tab/>
            </w:r>
            <w:r w:rsidRPr="004C12BD">
              <w:rPr>
                <w:rStyle w:val="a7"/>
                <w:noProof/>
              </w:rPr>
              <w:t>Качество прочих активов и внебалансовых обязательств</w:t>
            </w:r>
            <w:r>
              <w:rPr>
                <w:noProof/>
                <w:webHidden/>
              </w:rPr>
              <w:tab/>
            </w:r>
            <w:r>
              <w:rPr>
                <w:noProof/>
                <w:webHidden/>
              </w:rPr>
              <w:fldChar w:fldCharType="begin"/>
            </w:r>
            <w:r>
              <w:rPr>
                <w:noProof/>
                <w:webHidden/>
              </w:rPr>
              <w:instrText xml:space="preserve"> PAGEREF _Toc39667623 \h </w:instrText>
            </w:r>
            <w:r>
              <w:rPr>
                <w:noProof/>
                <w:webHidden/>
              </w:rPr>
            </w:r>
            <w:r>
              <w:rPr>
                <w:noProof/>
                <w:webHidden/>
              </w:rPr>
              <w:fldChar w:fldCharType="separate"/>
            </w:r>
            <w:r>
              <w:rPr>
                <w:noProof/>
                <w:webHidden/>
              </w:rPr>
              <w:t>45</w:t>
            </w:r>
            <w:r>
              <w:rPr>
                <w:noProof/>
                <w:webHidden/>
              </w:rPr>
              <w:fldChar w:fldCharType="end"/>
            </w:r>
          </w:hyperlink>
        </w:p>
        <w:p w14:paraId="5D7CD29A" w14:textId="17FC11E9"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24" w:history="1">
            <w:r w:rsidRPr="004C12BD">
              <w:rPr>
                <w:rStyle w:val="a7"/>
                <w:noProof/>
              </w:rPr>
              <w:t>2.5.</w:t>
            </w:r>
            <w:r>
              <w:rPr>
                <w:rFonts w:asciiTheme="minorHAnsi" w:eastAsiaTheme="minorEastAsia" w:hAnsiTheme="minorHAnsi" w:cstheme="minorBidi"/>
                <w:noProof/>
                <w:sz w:val="22"/>
                <w:szCs w:val="22"/>
              </w:rPr>
              <w:tab/>
            </w:r>
            <w:r w:rsidRPr="004C12BD">
              <w:rPr>
                <w:rStyle w:val="a7"/>
                <w:noProof/>
              </w:rPr>
              <w:t>Рентабельность</w:t>
            </w:r>
            <w:r>
              <w:rPr>
                <w:noProof/>
                <w:webHidden/>
              </w:rPr>
              <w:tab/>
            </w:r>
            <w:r>
              <w:rPr>
                <w:noProof/>
                <w:webHidden/>
              </w:rPr>
              <w:fldChar w:fldCharType="begin"/>
            </w:r>
            <w:r>
              <w:rPr>
                <w:noProof/>
                <w:webHidden/>
              </w:rPr>
              <w:instrText xml:space="preserve"> PAGEREF _Toc39667624 \h </w:instrText>
            </w:r>
            <w:r>
              <w:rPr>
                <w:noProof/>
                <w:webHidden/>
              </w:rPr>
            </w:r>
            <w:r>
              <w:rPr>
                <w:noProof/>
                <w:webHidden/>
              </w:rPr>
              <w:fldChar w:fldCharType="separate"/>
            </w:r>
            <w:r>
              <w:rPr>
                <w:noProof/>
                <w:webHidden/>
              </w:rPr>
              <w:t>48</w:t>
            </w:r>
            <w:r>
              <w:rPr>
                <w:noProof/>
                <w:webHidden/>
              </w:rPr>
              <w:fldChar w:fldCharType="end"/>
            </w:r>
          </w:hyperlink>
        </w:p>
        <w:p w14:paraId="18A857EE" w14:textId="2BCEF8D6"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25" w:history="1">
            <w:r w:rsidRPr="004C12BD">
              <w:rPr>
                <w:rStyle w:val="a7"/>
                <w:noProof/>
              </w:rPr>
              <w:t>2.6.</w:t>
            </w:r>
            <w:r>
              <w:rPr>
                <w:rFonts w:asciiTheme="minorHAnsi" w:eastAsiaTheme="minorEastAsia" w:hAnsiTheme="minorHAnsi" w:cstheme="minorBidi"/>
                <w:noProof/>
                <w:sz w:val="22"/>
                <w:szCs w:val="22"/>
              </w:rPr>
              <w:tab/>
            </w:r>
            <w:r w:rsidRPr="004C12BD">
              <w:rPr>
                <w:rStyle w:val="a7"/>
                <w:noProof/>
              </w:rPr>
              <w:t>Ресурсная база</w:t>
            </w:r>
            <w:r>
              <w:rPr>
                <w:noProof/>
                <w:webHidden/>
              </w:rPr>
              <w:tab/>
            </w:r>
            <w:r>
              <w:rPr>
                <w:noProof/>
                <w:webHidden/>
              </w:rPr>
              <w:fldChar w:fldCharType="begin"/>
            </w:r>
            <w:r>
              <w:rPr>
                <w:noProof/>
                <w:webHidden/>
              </w:rPr>
              <w:instrText xml:space="preserve"> PAGEREF _Toc39667625 \h </w:instrText>
            </w:r>
            <w:r>
              <w:rPr>
                <w:noProof/>
                <w:webHidden/>
              </w:rPr>
            </w:r>
            <w:r>
              <w:rPr>
                <w:noProof/>
                <w:webHidden/>
              </w:rPr>
              <w:fldChar w:fldCharType="separate"/>
            </w:r>
            <w:r>
              <w:rPr>
                <w:noProof/>
                <w:webHidden/>
              </w:rPr>
              <w:t>49</w:t>
            </w:r>
            <w:r>
              <w:rPr>
                <w:noProof/>
                <w:webHidden/>
              </w:rPr>
              <w:fldChar w:fldCharType="end"/>
            </w:r>
          </w:hyperlink>
        </w:p>
        <w:p w14:paraId="0D421437" w14:textId="5EE3E8D4" w:rsidR="00EB4C6D" w:rsidRDefault="00EB4C6D">
          <w:pPr>
            <w:pStyle w:val="31"/>
            <w:tabs>
              <w:tab w:val="left" w:pos="1320"/>
              <w:tab w:val="right" w:leader="dot" w:pos="9345"/>
            </w:tabs>
            <w:rPr>
              <w:rFonts w:asciiTheme="minorHAnsi" w:eastAsiaTheme="minorEastAsia" w:hAnsiTheme="minorHAnsi" w:cstheme="minorBidi"/>
              <w:noProof/>
              <w:sz w:val="22"/>
              <w:szCs w:val="22"/>
            </w:rPr>
          </w:pPr>
          <w:hyperlink w:anchor="_Toc39667626" w:history="1">
            <w:r w:rsidRPr="004C12BD">
              <w:rPr>
                <w:rStyle w:val="a7"/>
                <w:noProof/>
              </w:rPr>
              <w:t>2.6.1.</w:t>
            </w:r>
            <w:r>
              <w:rPr>
                <w:rFonts w:asciiTheme="minorHAnsi" w:eastAsiaTheme="minorEastAsia" w:hAnsiTheme="minorHAnsi" w:cstheme="minorBidi"/>
                <w:noProof/>
                <w:sz w:val="22"/>
                <w:szCs w:val="22"/>
              </w:rPr>
              <w:tab/>
            </w:r>
            <w:r w:rsidRPr="004C12BD">
              <w:rPr>
                <w:rStyle w:val="a7"/>
                <w:noProof/>
              </w:rPr>
              <w:t>Диверсификация ресурсной базы по кредиторам</w:t>
            </w:r>
            <w:r>
              <w:rPr>
                <w:noProof/>
                <w:webHidden/>
              </w:rPr>
              <w:tab/>
            </w:r>
            <w:r>
              <w:rPr>
                <w:noProof/>
                <w:webHidden/>
              </w:rPr>
              <w:fldChar w:fldCharType="begin"/>
            </w:r>
            <w:r>
              <w:rPr>
                <w:noProof/>
                <w:webHidden/>
              </w:rPr>
              <w:instrText xml:space="preserve"> PAGEREF _Toc39667626 \h </w:instrText>
            </w:r>
            <w:r>
              <w:rPr>
                <w:noProof/>
                <w:webHidden/>
              </w:rPr>
            </w:r>
            <w:r>
              <w:rPr>
                <w:noProof/>
                <w:webHidden/>
              </w:rPr>
              <w:fldChar w:fldCharType="separate"/>
            </w:r>
            <w:r>
              <w:rPr>
                <w:noProof/>
                <w:webHidden/>
              </w:rPr>
              <w:t>49</w:t>
            </w:r>
            <w:r>
              <w:rPr>
                <w:noProof/>
                <w:webHidden/>
              </w:rPr>
              <w:fldChar w:fldCharType="end"/>
            </w:r>
          </w:hyperlink>
        </w:p>
        <w:p w14:paraId="3B0E31C9" w14:textId="74F092A6" w:rsidR="00EB4C6D" w:rsidRDefault="00EB4C6D">
          <w:pPr>
            <w:pStyle w:val="31"/>
            <w:tabs>
              <w:tab w:val="left" w:pos="1320"/>
              <w:tab w:val="right" w:leader="dot" w:pos="9345"/>
            </w:tabs>
            <w:rPr>
              <w:rFonts w:asciiTheme="minorHAnsi" w:eastAsiaTheme="minorEastAsia" w:hAnsiTheme="minorHAnsi" w:cstheme="minorBidi"/>
              <w:noProof/>
              <w:sz w:val="22"/>
              <w:szCs w:val="22"/>
            </w:rPr>
          </w:pPr>
          <w:hyperlink w:anchor="_Toc39667627" w:history="1">
            <w:r w:rsidRPr="004C12BD">
              <w:rPr>
                <w:rStyle w:val="a7"/>
                <w:noProof/>
              </w:rPr>
              <w:t>2.6.2.</w:t>
            </w:r>
            <w:r>
              <w:rPr>
                <w:rFonts w:asciiTheme="minorHAnsi" w:eastAsiaTheme="minorEastAsia" w:hAnsiTheme="minorHAnsi" w:cstheme="minorBidi"/>
                <w:noProof/>
                <w:sz w:val="22"/>
                <w:szCs w:val="22"/>
              </w:rPr>
              <w:tab/>
            </w:r>
            <w:r w:rsidRPr="004C12BD">
              <w:rPr>
                <w:rStyle w:val="a7"/>
                <w:noProof/>
              </w:rPr>
              <w:t>Влияние крупных выплат</w:t>
            </w:r>
            <w:r>
              <w:rPr>
                <w:noProof/>
                <w:webHidden/>
              </w:rPr>
              <w:tab/>
            </w:r>
            <w:r>
              <w:rPr>
                <w:noProof/>
                <w:webHidden/>
              </w:rPr>
              <w:fldChar w:fldCharType="begin"/>
            </w:r>
            <w:r>
              <w:rPr>
                <w:noProof/>
                <w:webHidden/>
              </w:rPr>
              <w:instrText xml:space="preserve"> PAGEREF _Toc39667627 \h </w:instrText>
            </w:r>
            <w:r>
              <w:rPr>
                <w:noProof/>
                <w:webHidden/>
              </w:rPr>
            </w:r>
            <w:r>
              <w:rPr>
                <w:noProof/>
                <w:webHidden/>
              </w:rPr>
              <w:fldChar w:fldCharType="separate"/>
            </w:r>
            <w:r>
              <w:rPr>
                <w:noProof/>
                <w:webHidden/>
              </w:rPr>
              <w:t>50</w:t>
            </w:r>
            <w:r>
              <w:rPr>
                <w:noProof/>
                <w:webHidden/>
              </w:rPr>
              <w:fldChar w:fldCharType="end"/>
            </w:r>
          </w:hyperlink>
        </w:p>
        <w:p w14:paraId="2A98C184" w14:textId="72C963CB" w:rsidR="00EB4C6D" w:rsidRDefault="00EB4C6D">
          <w:pPr>
            <w:pStyle w:val="31"/>
            <w:tabs>
              <w:tab w:val="left" w:pos="1320"/>
              <w:tab w:val="right" w:leader="dot" w:pos="9345"/>
            </w:tabs>
            <w:rPr>
              <w:rFonts w:asciiTheme="minorHAnsi" w:eastAsiaTheme="minorEastAsia" w:hAnsiTheme="minorHAnsi" w:cstheme="minorBidi"/>
              <w:noProof/>
              <w:sz w:val="22"/>
              <w:szCs w:val="22"/>
            </w:rPr>
          </w:pPr>
          <w:hyperlink w:anchor="_Toc39667628" w:history="1">
            <w:r w:rsidRPr="004C12BD">
              <w:rPr>
                <w:rStyle w:val="a7"/>
                <w:noProof/>
              </w:rPr>
              <w:t>2.6.3.</w:t>
            </w:r>
            <w:r>
              <w:rPr>
                <w:rFonts w:asciiTheme="minorHAnsi" w:eastAsiaTheme="minorEastAsia" w:hAnsiTheme="minorHAnsi" w:cstheme="minorBidi"/>
                <w:noProof/>
                <w:sz w:val="22"/>
                <w:szCs w:val="22"/>
              </w:rPr>
              <w:tab/>
            </w:r>
            <w:r w:rsidRPr="004C12BD">
              <w:rPr>
                <w:rStyle w:val="a7"/>
                <w:noProof/>
              </w:rPr>
              <w:t>Доступность источников дополнительной ликвидности</w:t>
            </w:r>
            <w:r>
              <w:rPr>
                <w:noProof/>
                <w:webHidden/>
              </w:rPr>
              <w:tab/>
            </w:r>
            <w:r>
              <w:rPr>
                <w:noProof/>
                <w:webHidden/>
              </w:rPr>
              <w:fldChar w:fldCharType="begin"/>
            </w:r>
            <w:r>
              <w:rPr>
                <w:noProof/>
                <w:webHidden/>
              </w:rPr>
              <w:instrText xml:space="preserve"> PAGEREF _Toc39667628 \h </w:instrText>
            </w:r>
            <w:r>
              <w:rPr>
                <w:noProof/>
                <w:webHidden/>
              </w:rPr>
            </w:r>
            <w:r>
              <w:rPr>
                <w:noProof/>
                <w:webHidden/>
              </w:rPr>
              <w:fldChar w:fldCharType="separate"/>
            </w:r>
            <w:r>
              <w:rPr>
                <w:noProof/>
                <w:webHidden/>
              </w:rPr>
              <w:t>50</w:t>
            </w:r>
            <w:r>
              <w:rPr>
                <w:noProof/>
                <w:webHidden/>
              </w:rPr>
              <w:fldChar w:fldCharType="end"/>
            </w:r>
          </w:hyperlink>
        </w:p>
        <w:p w14:paraId="4144A218" w14:textId="171775B7"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29" w:history="1">
            <w:r w:rsidRPr="004C12BD">
              <w:rPr>
                <w:rStyle w:val="a7"/>
                <w:noProof/>
              </w:rPr>
              <w:t>2.7.</w:t>
            </w:r>
            <w:r>
              <w:rPr>
                <w:rFonts w:asciiTheme="minorHAnsi" w:eastAsiaTheme="minorEastAsia" w:hAnsiTheme="minorHAnsi" w:cstheme="minorBidi"/>
                <w:noProof/>
                <w:sz w:val="22"/>
                <w:szCs w:val="22"/>
              </w:rPr>
              <w:tab/>
            </w:r>
            <w:r w:rsidRPr="004C12BD">
              <w:rPr>
                <w:rStyle w:val="a7"/>
                <w:noProof/>
              </w:rPr>
              <w:t>Ликвидность</w:t>
            </w:r>
            <w:r>
              <w:rPr>
                <w:noProof/>
                <w:webHidden/>
              </w:rPr>
              <w:tab/>
            </w:r>
            <w:r>
              <w:rPr>
                <w:noProof/>
                <w:webHidden/>
              </w:rPr>
              <w:fldChar w:fldCharType="begin"/>
            </w:r>
            <w:r>
              <w:rPr>
                <w:noProof/>
                <w:webHidden/>
              </w:rPr>
              <w:instrText xml:space="preserve"> PAGEREF _Toc39667629 \h </w:instrText>
            </w:r>
            <w:r>
              <w:rPr>
                <w:noProof/>
                <w:webHidden/>
              </w:rPr>
            </w:r>
            <w:r>
              <w:rPr>
                <w:noProof/>
                <w:webHidden/>
              </w:rPr>
              <w:fldChar w:fldCharType="separate"/>
            </w:r>
            <w:r>
              <w:rPr>
                <w:noProof/>
                <w:webHidden/>
              </w:rPr>
              <w:t>51</w:t>
            </w:r>
            <w:r>
              <w:rPr>
                <w:noProof/>
                <w:webHidden/>
              </w:rPr>
              <w:fldChar w:fldCharType="end"/>
            </w:r>
          </w:hyperlink>
        </w:p>
        <w:p w14:paraId="010B54F4" w14:textId="2B55C6BD" w:rsidR="00EB4C6D" w:rsidRDefault="00EB4C6D">
          <w:pPr>
            <w:pStyle w:val="31"/>
            <w:tabs>
              <w:tab w:val="left" w:pos="1320"/>
              <w:tab w:val="right" w:leader="dot" w:pos="9345"/>
            </w:tabs>
            <w:rPr>
              <w:rFonts w:asciiTheme="minorHAnsi" w:eastAsiaTheme="minorEastAsia" w:hAnsiTheme="minorHAnsi" w:cstheme="minorBidi"/>
              <w:noProof/>
              <w:sz w:val="22"/>
              <w:szCs w:val="22"/>
            </w:rPr>
          </w:pPr>
          <w:hyperlink w:anchor="_Toc39667630" w:history="1">
            <w:r w:rsidRPr="004C12BD">
              <w:rPr>
                <w:rStyle w:val="a7"/>
                <w:noProof/>
              </w:rPr>
              <w:t>2.7.1.</w:t>
            </w:r>
            <w:r>
              <w:rPr>
                <w:rFonts w:asciiTheme="minorHAnsi" w:eastAsiaTheme="minorEastAsia" w:hAnsiTheme="minorHAnsi" w:cstheme="minorBidi"/>
                <w:noProof/>
                <w:sz w:val="22"/>
                <w:szCs w:val="22"/>
              </w:rPr>
              <w:tab/>
            </w:r>
            <w:r w:rsidRPr="004C12BD">
              <w:rPr>
                <w:rStyle w:val="a7"/>
                <w:noProof/>
              </w:rPr>
              <w:t>Коэффициент текущей ликвидности</w:t>
            </w:r>
            <w:r>
              <w:rPr>
                <w:noProof/>
                <w:webHidden/>
              </w:rPr>
              <w:tab/>
            </w:r>
            <w:r>
              <w:rPr>
                <w:noProof/>
                <w:webHidden/>
              </w:rPr>
              <w:fldChar w:fldCharType="begin"/>
            </w:r>
            <w:r>
              <w:rPr>
                <w:noProof/>
                <w:webHidden/>
              </w:rPr>
              <w:instrText xml:space="preserve"> PAGEREF _Toc39667630 \h </w:instrText>
            </w:r>
            <w:r>
              <w:rPr>
                <w:noProof/>
                <w:webHidden/>
              </w:rPr>
            </w:r>
            <w:r>
              <w:rPr>
                <w:noProof/>
                <w:webHidden/>
              </w:rPr>
              <w:fldChar w:fldCharType="separate"/>
            </w:r>
            <w:r>
              <w:rPr>
                <w:noProof/>
                <w:webHidden/>
              </w:rPr>
              <w:t>51</w:t>
            </w:r>
            <w:r>
              <w:rPr>
                <w:noProof/>
                <w:webHidden/>
              </w:rPr>
              <w:fldChar w:fldCharType="end"/>
            </w:r>
          </w:hyperlink>
        </w:p>
        <w:p w14:paraId="2AC6CD23" w14:textId="25915B4D" w:rsidR="00EB4C6D" w:rsidRDefault="00EB4C6D">
          <w:pPr>
            <w:pStyle w:val="31"/>
            <w:tabs>
              <w:tab w:val="left" w:pos="1320"/>
              <w:tab w:val="right" w:leader="dot" w:pos="9345"/>
            </w:tabs>
            <w:rPr>
              <w:rFonts w:asciiTheme="minorHAnsi" w:eastAsiaTheme="minorEastAsia" w:hAnsiTheme="minorHAnsi" w:cstheme="minorBidi"/>
              <w:noProof/>
              <w:sz w:val="22"/>
              <w:szCs w:val="22"/>
            </w:rPr>
          </w:pPr>
          <w:hyperlink w:anchor="_Toc39667631" w:history="1">
            <w:r w:rsidRPr="004C12BD">
              <w:rPr>
                <w:rStyle w:val="a7"/>
                <w:noProof/>
              </w:rPr>
              <w:t>2.7.2.</w:t>
            </w:r>
            <w:r>
              <w:rPr>
                <w:rFonts w:asciiTheme="minorHAnsi" w:eastAsiaTheme="minorEastAsia" w:hAnsiTheme="minorHAnsi" w:cstheme="minorBidi"/>
                <w:noProof/>
                <w:sz w:val="22"/>
                <w:szCs w:val="22"/>
              </w:rPr>
              <w:tab/>
            </w:r>
            <w:r w:rsidRPr="004C12BD">
              <w:rPr>
                <w:rStyle w:val="a7"/>
                <w:noProof/>
              </w:rPr>
              <w:t>Коэффициент абсолютной ликвидности</w:t>
            </w:r>
            <w:r>
              <w:rPr>
                <w:noProof/>
                <w:webHidden/>
              </w:rPr>
              <w:tab/>
            </w:r>
            <w:r>
              <w:rPr>
                <w:noProof/>
                <w:webHidden/>
              </w:rPr>
              <w:fldChar w:fldCharType="begin"/>
            </w:r>
            <w:r>
              <w:rPr>
                <w:noProof/>
                <w:webHidden/>
              </w:rPr>
              <w:instrText xml:space="preserve"> PAGEREF _Toc39667631 \h </w:instrText>
            </w:r>
            <w:r>
              <w:rPr>
                <w:noProof/>
                <w:webHidden/>
              </w:rPr>
            </w:r>
            <w:r>
              <w:rPr>
                <w:noProof/>
                <w:webHidden/>
              </w:rPr>
              <w:fldChar w:fldCharType="separate"/>
            </w:r>
            <w:r>
              <w:rPr>
                <w:noProof/>
                <w:webHidden/>
              </w:rPr>
              <w:t>51</w:t>
            </w:r>
            <w:r>
              <w:rPr>
                <w:noProof/>
                <w:webHidden/>
              </w:rPr>
              <w:fldChar w:fldCharType="end"/>
            </w:r>
          </w:hyperlink>
        </w:p>
        <w:p w14:paraId="27B88FE9" w14:textId="41241F9F" w:rsidR="00EB4C6D" w:rsidRDefault="00EB4C6D">
          <w:pPr>
            <w:pStyle w:val="31"/>
            <w:tabs>
              <w:tab w:val="left" w:pos="1320"/>
              <w:tab w:val="right" w:leader="dot" w:pos="9345"/>
            </w:tabs>
            <w:rPr>
              <w:rFonts w:asciiTheme="minorHAnsi" w:eastAsiaTheme="minorEastAsia" w:hAnsiTheme="minorHAnsi" w:cstheme="minorBidi"/>
              <w:noProof/>
              <w:sz w:val="22"/>
              <w:szCs w:val="22"/>
            </w:rPr>
          </w:pPr>
          <w:hyperlink w:anchor="_Toc39667632" w:history="1">
            <w:r w:rsidRPr="004C12BD">
              <w:rPr>
                <w:rStyle w:val="a7"/>
                <w:noProof/>
              </w:rPr>
              <w:t>2.7.3.</w:t>
            </w:r>
            <w:r>
              <w:rPr>
                <w:rFonts w:asciiTheme="minorHAnsi" w:eastAsiaTheme="minorEastAsia" w:hAnsiTheme="minorHAnsi" w:cstheme="minorBidi"/>
                <w:noProof/>
                <w:sz w:val="22"/>
                <w:szCs w:val="22"/>
              </w:rPr>
              <w:tab/>
            </w:r>
            <w:r w:rsidRPr="004C12BD">
              <w:rPr>
                <w:rStyle w:val="a7"/>
                <w:noProof/>
              </w:rPr>
              <w:t>Прогнозная ликвидность</w:t>
            </w:r>
            <w:r>
              <w:rPr>
                <w:noProof/>
                <w:webHidden/>
              </w:rPr>
              <w:tab/>
            </w:r>
            <w:r>
              <w:rPr>
                <w:noProof/>
                <w:webHidden/>
              </w:rPr>
              <w:fldChar w:fldCharType="begin"/>
            </w:r>
            <w:r>
              <w:rPr>
                <w:noProof/>
                <w:webHidden/>
              </w:rPr>
              <w:instrText xml:space="preserve"> PAGEREF _Toc39667632 \h </w:instrText>
            </w:r>
            <w:r>
              <w:rPr>
                <w:noProof/>
                <w:webHidden/>
              </w:rPr>
            </w:r>
            <w:r>
              <w:rPr>
                <w:noProof/>
                <w:webHidden/>
              </w:rPr>
              <w:fldChar w:fldCharType="separate"/>
            </w:r>
            <w:r>
              <w:rPr>
                <w:noProof/>
                <w:webHidden/>
              </w:rPr>
              <w:t>52</w:t>
            </w:r>
            <w:r>
              <w:rPr>
                <w:noProof/>
                <w:webHidden/>
              </w:rPr>
              <w:fldChar w:fldCharType="end"/>
            </w:r>
          </w:hyperlink>
        </w:p>
        <w:p w14:paraId="6E75949A" w14:textId="59616141"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33" w:history="1">
            <w:r w:rsidRPr="004C12BD">
              <w:rPr>
                <w:rStyle w:val="a7"/>
                <w:noProof/>
              </w:rPr>
              <w:t>2.8.</w:t>
            </w:r>
            <w:r>
              <w:rPr>
                <w:rFonts w:asciiTheme="minorHAnsi" w:eastAsiaTheme="minorEastAsia" w:hAnsiTheme="minorHAnsi" w:cstheme="minorBidi"/>
                <w:noProof/>
                <w:sz w:val="22"/>
                <w:szCs w:val="22"/>
              </w:rPr>
              <w:tab/>
            </w:r>
            <w:r w:rsidRPr="004C12BD">
              <w:rPr>
                <w:rStyle w:val="a7"/>
                <w:noProof/>
              </w:rPr>
              <w:t>Валютные риски</w:t>
            </w:r>
            <w:r>
              <w:rPr>
                <w:noProof/>
                <w:webHidden/>
              </w:rPr>
              <w:tab/>
            </w:r>
            <w:r>
              <w:rPr>
                <w:noProof/>
                <w:webHidden/>
              </w:rPr>
              <w:fldChar w:fldCharType="begin"/>
            </w:r>
            <w:r>
              <w:rPr>
                <w:noProof/>
                <w:webHidden/>
              </w:rPr>
              <w:instrText xml:space="preserve"> PAGEREF _Toc39667633 \h </w:instrText>
            </w:r>
            <w:r>
              <w:rPr>
                <w:noProof/>
                <w:webHidden/>
              </w:rPr>
            </w:r>
            <w:r>
              <w:rPr>
                <w:noProof/>
                <w:webHidden/>
              </w:rPr>
              <w:fldChar w:fldCharType="separate"/>
            </w:r>
            <w:r>
              <w:rPr>
                <w:noProof/>
                <w:webHidden/>
              </w:rPr>
              <w:t>53</w:t>
            </w:r>
            <w:r>
              <w:rPr>
                <w:noProof/>
                <w:webHidden/>
              </w:rPr>
              <w:fldChar w:fldCharType="end"/>
            </w:r>
          </w:hyperlink>
        </w:p>
        <w:p w14:paraId="2FD2CDEC" w14:textId="41950C5C" w:rsidR="00EB4C6D" w:rsidRDefault="00EB4C6D">
          <w:pPr>
            <w:pStyle w:val="20"/>
            <w:rPr>
              <w:rFonts w:asciiTheme="minorHAnsi" w:eastAsiaTheme="minorEastAsia" w:hAnsiTheme="minorHAnsi" w:cstheme="minorBidi"/>
              <w:noProof/>
              <w:sz w:val="22"/>
              <w:szCs w:val="22"/>
            </w:rPr>
          </w:pPr>
          <w:hyperlink w:anchor="_Toc39667634" w:history="1">
            <w:r w:rsidRPr="004C12BD">
              <w:rPr>
                <w:rStyle w:val="a7"/>
                <w:noProof/>
                <w:lang w:eastAsia="ar-SA"/>
              </w:rPr>
              <w:t>РАЗДЕЛ III. УПРАВЛЕНИЕ РИСКАМИ И КОРПОРАТИВНОЕ УПРАВЛЕНИЕ</w:t>
            </w:r>
            <w:r>
              <w:rPr>
                <w:noProof/>
                <w:webHidden/>
              </w:rPr>
              <w:tab/>
            </w:r>
            <w:r>
              <w:rPr>
                <w:noProof/>
                <w:webHidden/>
              </w:rPr>
              <w:fldChar w:fldCharType="begin"/>
            </w:r>
            <w:r>
              <w:rPr>
                <w:noProof/>
                <w:webHidden/>
              </w:rPr>
              <w:instrText xml:space="preserve"> PAGEREF _Toc39667634 \h </w:instrText>
            </w:r>
            <w:r>
              <w:rPr>
                <w:noProof/>
                <w:webHidden/>
              </w:rPr>
            </w:r>
            <w:r>
              <w:rPr>
                <w:noProof/>
                <w:webHidden/>
              </w:rPr>
              <w:fldChar w:fldCharType="separate"/>
            </w:r>
            <w:r>
              <w:rPr>
                <w:noProof/>
                <w:webHidden/>
              </w:rPr>
              <w:t>54</w:t>
            </w:r>
            <w:r>
              <w:rPr>
                <w:noProof/>
                <w:webHidden/>
              </w:rPr>
              <w:fldChar w:fldCharType="end"/>
            </w:r>
          </w:hyperlink>
        </w:p>
        <w:p w14:paraId="45329D3E" w14:textId="633D45FE"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35" w:history="1">
            <w:r w:rsidRPr="004C12BD">
              <w:rPr>
                <w:rStyle w:val="a7"/>
                <w:noProof/>
              </w:rPr>
              <w:t>3.1.</w:t>
            </w:r>
            <w:r>
              <w:rPr>
                <w:rFonts w:asciiTheme="minorHAnsi" w:eastAsiaTheme="minorEastAsia" w:hAnsiTheme="minorHAnsi" w:cstheme="minorBidi"/>
                <w:noProof/>
                <w:sz w:val="22"/>
                <w:szCs w:val="22"/>
              </w:rPr>
              <w:tab/>
            </w:r>
            <w:r w:rsidRPr="004C12BD">
              <w:rPr>
                <w:rStyle w:val="a7"/>
                <w:noProof/>
              </w:rPr>
              <w:t>Корпоративное управление, ИТ-обеспечение и информационная прозрачность</w:t>
            </w:r>
            <w:r>
              <w:rPr>
                <w:noProof/>
                <w:webHidden/>
              </w:rPr>
              <w:tab/>
            </w:r>
            <w:r>
              <w:rPr>
                <w:noProof/>
                <w:webHidden/>
              </w:rPr>
              <w:fldChar w:fldCharType="begin"/>
            </w:r>
            <w:r>
              <w:rPr>
                <w:noProof/>
                <w:webHidden/>
              </w:rPr>
              <w:instrText xml:space="preserve"> PAGEREF _Toc39667635 \h </w:instrText>
            </w:r>
            <w:r>
              <w:rPr>
                <w:noProof/>
                <w:webHidden/>
              </w:rPr>
            </w:r>
            <w:r>
              <w:rPr>
                <w:noProof/>
                <w:webHidden/>
              </w:rPr>
              <w:fldChar w:fldCharType="separate"/>
            </w:r>
            <w:r>
              <w:rPr>
                <w:noProof/>
                <w:webHidden/>
              </w:rPr>
              <w:t>54</w:t>
            </w:r>
            <w:r>
              <w:rPr>
                <w:noProof/>
                <w:webHidden/>
              </w:rPr>
              <w:fldChar w:fldCharType="end"/>
            </w:r>
          </w:hyperlink>
        </w:p>
        <w:p w14:paraId="41C72A71" w14:textId="31E1A4F6"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36" w:history="1">
            <w:r w:rsidRPr="004C12BD">
              <w:rPr>
                <w:rStyle w:val="a7"/>
                <w:noProof/>
              </w:rPr>
              <w:t>3.2.</w:t>
            </w:r>
            <w:r>
              <w:rPr>
                <w:rFonts w:asciiTheme="minorHAnsi" w:eastAsiaTheme="minorEastAsia" w:hAnsiTheme="minorHAnsi" w:cstheme="minorBidi"/>
                <w:noProof/>
                <w:sz w:val="22"/>
                <w:szCs w:val="22"/>
              </w:rPr>
              <w:tab/>
            </w:r>
            <w:r w:rsidRPr="004C12BD">
              <w:rPr>
                <w:rStyle w:val="a7"/>
                <w:noProof/>
              </w:rPr>
              <w:t>Стратегическое обеспечение</w:t>
            </w:r>
            <w:r>
              <w:rPr>
                <w:noProof/>
                <w:webHidden/>
              </w:rPr>
              <w:tab/>
            </w:r>
            <w:r>
              <w:rPr>
                <w:noProof/>
                <w:webHidden/>
              </w:rPr>
              <w:fldChar w:fldCharType="begin"/>
            </w:r>
            <w:r>
              <w:rPr>
                <w:noProof/>
                <w:webHidden/>
              </w:rPr>
              <w:instrText xml:space="preserve"> PAGEREF _Toc39667636 \h </w:instrText>
            </w:r>
            <w:r>
              <w:rPr>
                <w:noProof/>
                <w:webHidden/>
              </w:rPr>
            </w:r>
            <w:r>
              <w:rPr>
                <w:noProof/>
                <w:webHidden/>
              </w:rPr>
              <w:fldChar w:fldCharType="separate"/>
            </w:r>
            <w:r>
              <w:rPr>
                <w:noProof/>
                <w:webHidden/>
              </w:rPr>
              <w:t>57</w:t>
            </w:r>
            <w:r>
              <w:rPr>
                <w:noProof/>
                <w:webHidden/>
              </w:rPr>
              <w:fldChar w:fldCharType="end"/>
            </w:r>
          </w:hyperlink>
        </w:p>
        <w:p w14:paraId="10B3FF81" w14:textId="77305D15"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37" w:history="1">
            <w:r w:rsidRPr="004C12BD">
              <w:rPr>
                <w:rStyle w:val="a7"/>
                <w:noProof/>
              </w:rPr>
              <w:t>3.3.</w:t>
            </w:r>
            <w:r>
              <w:rPr>
                <w:rFonts w:asciiTheme="minorHAnsi" w:eastAsiaTheme="minorEastAsia" w:hAnsiTheme="minorHAnsi" w:cstheme="minorBidi"/>
                <w:noProof/>
                <w:sz w:val="22"/>
                <w:szCs w:val="22"/>
              </w:rPr>
              <w:tab/>
            </w:r>
            <w:r w:rsidRPr="004C12BD">
              <w:rPr>
                <w:rStyle w:val="a7"/>
                <w:noProof/>
              </w:rPr>
              <w:t>Структура собственности</w:t>
            </w:r>
            <w:r>
              <w:rPr>
                <w:noProof/>
                <w:webHidden/>
              </w:rPr>
              <w:tab/>
            </w:r>
            <w:r>
              <w:rPr>
                <w:noProof/>
                <w:webHidden/>
              </w:rPr>
              <w:fldChar w:fldCharType="begin"/>
            </w:r>
            <w:r>
              <w:rPr>
                <w:noProof/>
                <w:webHidden/>
              </w:rPr>
              <w:instrText xml:space="preserve"> PAGEREF _Toc39667637 \h </w:instrText>
            </w:r>
            <w:r>
              <w:rPr>
                <w:noProof/>
                <w:webHidden/>
              </w:rPr>
            </w:r>
            <w:r>
              <w:rPr>
                <w:noProof/>
                <w:webHidden/>
              </w:rPr>
              <w:fldChar w:fldCharType="separate"/>
            </w:r>
            <w:r>
              <w:rPr>
                <w:noProof/>
                <w:webHidden/>
              </w:rPr>
              <w:t>58</w:t>
            </w:r>
            <w:r>
              <w:rPr>
                <w:noProof/>
                <w:webHidden/>
              </w:rPr>
              <w:fldChar w:fldCharType="end"/>
            </w:r>
          </w:hyperlink>
        </w:p>
        <w:p w14:paraId="645DB228" w14:textId="7F8F5120" w:rsidR="00EB4C6D" w:rsidRDefault="00EB4C6D">
          <w:pPr>
            <w:pStyle w:val="31"/>
            <w:tabs>
              <w:tab w:val="left" w:pos="1100"/>
              <w:tab w:val="right" w:leader="dot" w:pos="9345"/>
            </w:tabs>
            <w:rPr>
              <w:rFonts w:asciiTheme="minorHAnsi" w:eastAsiaTheme="minorEastAsia" w:hAnsiTheme="minorHAnsi" w:cstheme="minorBidi"/>
              <w:noProof/>
              <w:sz w:val="22"/>
              <w:szCs w:val="22"/>
            </w:rPr>
          </w:pPr>
          <w:hyperlink w:anchor="_Toc39667638" w:history="1">
            <w:r w:rsidRPr="004C12BD">
              <w:rPr>
                <w:rStyle w:val="a7"/>
                <w:noProof/>
              </w:rPr>
              <w:t>3.4.</w:t>
            </w:r>
            <w:r>
              <w:rPr>
                <w:rFonts w:asciiTheme="minorHAnsi" w:eastAsiaTheme="minorEastAsia" w:hAnsiTheme="minorHAnsi" w:cstheme="minorBidi"/>
                <w:noProof/>
                <w:sz w:val="22"/>
                <w:szCs w:val="22"/>
              </w:rPr>
              <w:tab/>
            </w:r>
            <w:r w:rsidRPr="004C12BD">
              <w:rPr>
                <w:rStyle w:val="a7"/>
                <w:noProof/>
              </w:rPr>
              <w:t>Управление рисками</w:t>
            </w:r>
            <w:r>
              <w:rPr>
                <w:noProof/>
                <w:webHidden/>
              </w:rPr>
              <w:tab/>
            </w:r>
            <w:r>
              <w:rPr>
                <w:noProof/>
                <w:webHidden/>
              </w:rPr>
              <w:fldChar w:fldCharType="begin"/>
            </w:r>
            <w:r>
              <w:rPr>
                <w:noProof/>
                <w:webHidden/>
              </w:rPr>
              <w:instrText xml:space="preserve"> PAGEREF _Toc39667638 \h </w:instrText>
            </w:r>
            <w:r>
              <w:rPr>
                <w:noProof/>
                <w:webHidden/>
              </w:rPr>
            </w:r>
            <w:r>
              <w:rPr>
                <w:noProof/>
                <w:webHidden/>
              </w:rPr>
              <w:fldChar w:fldCharType="separate"/>
            </w:r>
            <w:r>
              <w:rPr>
                <w:noProof/>
                <w:webHidden/>
              </w:rPr>
              <w:t>59</w:t>
            </w:r>
            <w:r>
              <w:rPr>
                <w:noProof/>
                <w:webHidden/>
              </w:rPr>
              <w:fldChar w:fldCharType="end"/>
            </w:r>
          </w:hyperlink>
        </w:p>
        <w:p w14:paraId="79888E81" w14:textId="7AA008C1" w:rsidR="00EB4C6D" w:rsidRDefault="00EB4C6D">
          <w:pPr>
            <w:pStyle w:val="20"/>
            <w:rPr>
              <w:rFonts w:asciiTheme="minorHAnsi" w:eastAsiaTheme="minorEastAsia" w:hAnsiTheme="minorHAnsi" w:cstheme="minorBidi"/>
              <w:noProof/>
              <w:sz w:val="22"/>
              <w:szCs w:val="22"/>
            </w:rPr>
          </w:pPr>
          <w:hyperlink w:anchor="_Toc39667639" w:history="1">
            <w:r w:rsidRPr="004C12BD">
              <w:rPr>
                <w:rStyle w:val="a7"/>
                <w:noProof/>
                <w:lang w:eastAsia="ar-SA"/>
              </w:rPr>
              <w:t>РАЗДЕЛ IV. ВНУТРЕННИЕ СТРЕСС-ФАКТОРЫ И ФАКТОРЫ ПОДДЕРЖКИ</w:t>
            </w:r>
            <w:r>
              <w:rPr>
                <w:noProof/>
                <w:webHidden/>
              </w:rPr>
              <w:tab/>
            </w:r>
            <w:r>
              <w:rPr>
                <w:noProof/>
                <w:webHidden/>
              </w:rPr>
              <w:fldChar w:fldCharType="begin"/>
            </w:r>
            <w:r>
              <w:rPr>
                <w:noProof/>
                <w:webHidden/>
              </w:rPr>
              <w:instrText xml:space="preserve"> PAGEREF _Toc39667639 \h </w:instrText>
            </w:r>
            <w:r>
              <w:rPr>
                <w:noProof/>
                <w:webHidden/>
              </w:rPr>
            </w:r>
            <w:r>
              <w:rPr>
                <w:noProof/>
                <w:webHidden/>
              </w:rPr>
              <w:fldChar w:fldCharType="separate"/>
            </w:r>
            <w:r>
              <w:rPr>
                <w:noProof/>
                <w:webHidden/>
              </w:rPr>
              <w:t>62</w:t>
            </w:r>
            <w:r>
              <w:rPr>
                <w:noProof/>
                <w:webHidden/>
              </w:rPr>
              <w:fldChar w:fldCharType="end"/>
            </w:r>
          </w:hyperlink>
        </w:p>
        <w:p w14:paraId="06CFF33D" w14:textId="19A78534" w:rsidR="00EB4C6D" w:rsidRDefault="00EB4C6D">
          <w:pPr>
            <w:pStyle w:val="20"/>
            <w:rPr>
              <w:rFonts w:asciiTheme="minorHAnsi" w:eastAsiaTheme="minorEastAsia" w:hAnsiTheme="minorHAnsi" w:cstheme="minorBidi"/>
              <w:noProof/>
              <w:sz w:val="22"/>
              <w:szCs w:val="22"/>
            </w:rPr>
          </w:pPr>
          <w:hyperlink w:anchor="_Toc39667640" w:history="1">
            <w:r w:rsidRPr="004C12BD">
              <w:rPr>
                <w:rStyle w:val="a7"/>
                <w:noProof/>
                <w:lang w:eastAsia="ar-SA"/>
              </w:rPr>
              <w:t>РАЗДЕЛ V. ВНЕШНИЕ СТРЕСС-ФАКТОРЫ И ФАКТОРЫ ПОДДЕРЖКИ</w:t>
            </w:r>
            <w:r>
              <w:rPr>
                <w:noProof/>
                <w:webHidden/>
              </w:rPr>
              <w:tab/>
            </w:r>
            <w:r>
              <w:rPr>
                <w:noProof/>
                <w:webHidden/>
              </w:rPr>
              <w:fldChar w:fldCharType="begin"/>
            </w:r>
            <w:r>
              <w:rPr>
                <w:noProof/>
                <w:webHidden/>
              </w:rPr>
              <w:instrText xml:space="preserve"> PAGEREF _Toc39667640 \h </w:instrText>
            </w:r>
            <w:r>
              <w:rPr>
                <w:noProof/>
                <w:webHidden/>
              </w:rPr>
            </w:r>
            <w:r>
              <w:rPr>
                <w:noProof/>
                <w:webHidden/>
              </w:rPr>
              <w:fldChar w:fldCharType="separate"/>
            </w:r>
            <w:r>
              <w:rPr>
                <w:noProof/>
                <w:webHidden/>
              </w:rPr>
              <w:t>65</w:t>
            </w:r>
            <w:r>
              <w:rPr>
                <w:noProof/>
                <w:webHidden/>
              </w:rPr>
              <w:fldChar w:fldCharType="end"/>
            </w:r>
          </w:hyperlink>
        </w:p>
        <w:p w14:paraId="72B30EC0" w14:textId="0D010C65" w:rsidR="00EB4C6D" w:rsidRDefault="00EB4C6D">
          <w:pPr>
            <w:pStyle w:val="12"/>
            <w:tabs>
              <w:tab w:val="left" w:pos="480"/>
              <w:tab w:val="right" w:leader="dot" w:pos="9345"/>
            </w:tabs>
            <w:rPr>
              <w:rFonts w:asciiTheme="minorHAnsi" w:eastAsiaTheme="minorEastAsia" w:hAnsiTheme="minorHAnsi" w:cstheme="minorBidi"/>
              <w:noProof/>
              <w:sz w:val="22"/>
              <w:szCs w:val="22"/>
            </w:rPr>
          </w:pPr>
          <w:hyperlink w:anchor="_Toc39667641" w:history="1">
            <w:r w:rsidRPr="004C12BD">
              <w:rPr>
                <w:rStyle w:val="a7"/>
                <w:noProof/>
                <w:kern w:val="1"/>
              </w:rPr>
              <w:t>7.</w:t>
            </w:r>
            <w:r>
              <w:rPr>
                <w:rFonts w:asciiTheme="minorHAnsi" w:eastAsiaTheme="minorEastAsia" w:hAnsiTheme="minorHAnsi" w:cstheme="minorBidi"/>
                <w:noProof/>
                <w:sz w:val="22"/>
                <w:szCs w:val="22"/>
              </w:rPr>
              <w:tab/>
            </w:r>
            <w:r w:rsidRPr="004C12BD">
              <w:rPr>
                <w:rStyle w:val="a7"/>
                <w:noProof/>
              </w:rPr>
              <w:t>Определение прогноза по рейтингу кредитоспособности</w:t>
            </w:r>
            <w:r>
              <w:rPr>
                <w:noProof/>
                <w:webHidden/>
              </w:rPr>
              <w:tab/>
            </w:r>
            <w:r>
              <w:rPr>
                <w:noProof/>
                <w:webHidden/>
              </w:rPr>
              <w:fldChar w:fldCharType="begin"/>
            </w:r>
            <w:r>
              <w:rPr>
                <w:noProof/>
                <w:webHidden/>
              </w:rPr>
              <w:instrText xml:space="preserve"> PAGEREF _Toc39667641 \h </w:instrText>
            </w:r>
            <w:r>
              <w:rPr>
                <w:noProof/>
                <w:webHidden/>
              </w:rPr>
            </w:r>
            <w:r>
              <w:rPr>
                <w:noProof/>
                <w:webHidden/>
              </w:rPr>
              <w:fldChar w:fldCharType="separate"/>
            </w:r>
            <w:r>
              <w:rPr>
                <w:noProof/>
                <w:webHidden/>
              </w:rPr>
              <w:t>68</w:t>
            </w:r>
            <w:r>
              <w:rPr>
                <w:noProof/>
                <w:webHidden/>
              </w:rPr>
              <w:fldChar w:fldCharType="end"/>
            </w:r>
          </w:hyperlink>
        </w:p>
        <w:p w14:paraId="2E056C8B" w14:textId="4A6CD1DC" w:rsidR="0056518F" w:rsidRPr="000028C3" w:rsidRDefault="0056518F" w:rsidP="0039664F">
          <w:r w:rsidRPr="000028C3">
            <w:rPr>
              <w:b/>
              <w:bCs/>
            </w:rPr>
            <w:fldChar w:fldCharType="end"/>
          </w:r>
        </w:p>
      </w:sdtContent>
    </w:sdt>
    <w:p w14:paraId="2121ECCF" w14:textId="77777777" w:rsidR="0079661C" w:rsidRPr="000028C3" w:rsidRDefault="0079661C" w:rsidP="0039664F"/>
    <w:p w14:paraId="2D8692A6" w14:textId="16BB88E1" w:rsidR="00677F5A" w:rsidRPr="000028C3" w:rsidRDefault="00677F5A">
      <w:pPr>
        <w:rPr>
          <w:b/>
          <w:bCs/>
          <w:kern w:val="32"/>
          <w:sz w:val="28"/>
          <w:szCs w:val="28"/>
        </w:rPr>
      </w:pPr>
      <w:bookmarkStart w:id="1" w:name="_Toc470863354"/>
      <w:r w:rsidRPr="000028C3">
        <w:rPr>
          <w:b/>
          <w:bCs/>
          <w:kern w:val="32"/>
          <w:sz w:val="28"/>
          <w:szCs w:val="28"/>
        </w:rPr>
        <w:br w:type="page"/>
      </w:r>
    </w:p>
    <w:p w14:paraId="1EB4AECB" w14:textId="77777777" w:rsidR="00B528CF" w:rsidRPr="000028C3" w:rsidRDefault="0079661C" w:rsidP="0098669D">
      <w:pPr>
        <w:pStyle w:val="1"/>
        <w:numPr>
          <w:ilvl w:val="0"/>
          <w:numId w:val="8"/>
        </w:numPr>
        <w:suppressAutoHyphens/>
        <w:spacing w:before="0" w:after="0"/>
        <w:ind w:left="426" w:hanging="426"/>
        <w:rPr>
          <w:rFonts w:ascii="Times New Roman" w:hAnsi="Times New Roman" w:cs="Times New Roman"/>
          <w:sz w:val="28"/>
          <w:szCs w:val="28"/>
        </w:rPr>
      </w:pPr>
      <w:bookmarkStart w:id="2" w:name="_Toc39667601"/>
      <w:r w:rsidRPr="000028C3">
        <w:rPr>
          <w:rFonts w:ascii="Times New Roman" w:hAnsi="Times New Roman" w:cs="Times New Roman"/>
          <w:sz w:val="28"/>
          <w:szCs w:val="28"/>
        </w:rPr>
        <w:lastRenderedPageBreak/>
        <w:t>Основные понятия</w:t>
      </w:r>
      <w:bookmarkEnd w:id="1"/>
      <w:bookmarkEnd w:id="2"/>
    </w:p>
    <w:p w14:paraId="14A255F9" w14:textId="77777777" w:rsidR="0079661C" w:rsidRPr="000028C3" w:rsidRDefault="0079661C" w:rsidP="0039664F"/>
    <w:p w14:paraId="32C8FC16" w14:textId="77777777" w:rsidR="0079661C" w:rsidRPr="000028C3" w:rsidRDefault="0079661C" w:rsidP="0098669D">
      <w:pPr>
        <w:pStyle w:val="1"/>
        <w:numPr>
          <w:ilvl w:val="1"/>
          <w:numId w:val="8"/>
        </w:numPr>
        <w:tabs>
          <w:tab w:val="clear" w:pos="0"/>
        </w:tabs>
        <w:suppressAutoHyphens/>
        <w:spacing w:before="0" w:after="0"/>
        <w:ind w:left="567" w:hanging="567"/>
        <w:rPr>
          <w:rFonts w:ascii="Times New Roman" w:hAnsi="Times New Roman" w:cs="Times New Roman"/>
          <w:kern w:val="1"/>
          <w:sz w:val="28"/>
          <w:szCs w:val="28"/>
          <w:lang w:eastAsia="ar-SA"/>
        </w:rPr>
      </w:pPr>
      <w:bookmarkStart w:id="3" w:name="_Toc39667602"/>
      <w:r w:rsidRPr="000028C3">
        <w:rPr>
          <w:rFonts w:ascii="Times New Roman" w:hAnsi="Times New Roman" w:cs="Times New Roman"/>
          <w:kern w:val="1"/>
          <w:sz w:val="28"/>
          <w:szCs w:val="28"/>
          <w:lang w:eastAsia="ar-SA"/>
        </w:rPr>
        <w:t>Область применения методологии</w:t>
      </w:r>
      <w:bookmarkEnd w:id="3"/>
    </w:p>
    <w:p w14:paraId="637BAE88" w14:textId="77777777" w:rsidR="0079661C" w:rsidRPr="000028C3" w:rsidRDefault="0079661C" w:rsidP="0039664F">
      <w:pPr>
        <w:ind w:firstLine="567"/>
        <w:jc w:val="both"/>
        <w:rPr>
          <w:highlight w:val="yellow"/>
        </w:rPr>
      </w:pPr>
    </w:p>
    <w:p w14:paraId="1AE38FBE" w14:textId="77777777" w:rsidR="0079661C" w:rsidRPr="000028C3" w:rsidRDefault="0079661C" w:rsidP="0039664F">
      <w:pPr>
        <w:ind w:firstLine="709"/>
        <w:jc w:val="both"/>
        <w:rPr>
          <w:highlight w:val="yellow"/>
        </w:rPr>
      </w:pPr>
      <w:r w:rsidRPr="000028C3">
        <w:t xml:space="preserve">В соответствии с настоящей методологией кредитное рейтинговое агентство АО «Эксперт РА» (далее – Агентство или кредитное рейтинговое агентство или «Эксперт РА») присваивает рейтинги кредитоспособности (далее – кредитный рейтинг или рейтинг) </w:t>
      </w:r>
      <w:r w:rsidR="0084032B" w:rsidRPr="000028C3">
        <w:t>факторинговым компаниям</w:t>
      </w:r>
      <w:r w:rsidRPr="000028C3">
        <w:t xml:space="preserve"> (далее – компания или </w:t>
      </w:r>
      <w:proofErr w:type="gramStart"/>
      <w:r w:rsidR="00515A0A" w:rsidRPr="000028C3">
        <w:t>Фактор</w:t>
      </w:r>
      <w:proofErr w:type="gramEnd"/>
      <w:r w:rsidR="00515A0A" w:rsidRPr="000028C3">
        <w:t xml:space="preserve"> </w:t>
      </w:r>
      <w:r w:rsidRPr="000028C3">
        <w:t>или объект рейтинга).</w:t>
      </w:r>
      <w:r w:rsidR="00041F64" w:rsidRPr="000028C3">
        <w:t xml:space="preserve"> Методология не предназначена для оценки Факторов, имеющих лицензию на осуществление банковских операций.</w:t>
      </w:r>
    </w:p>
    <w:p w14:paraId="270E3AED" w14:textId="77777777" w:rsidR="0079661C" w:rsidRPr="000028C3" w:rsidRDefault="0079661C" w:rsidP="0039664F">
      <w:pPr>
        <w:jc w:val="both"/>
        <w:rPr>
          <w:highlight w:val="yellow"/>
        </w:rPr>
      </w:pPr>
    </w:p>
    <w:p w14:paraId="67F753D6" w14:textId="77777777" w:rsidR="006C6086" w:rsidRPr="000028C3" w:rsidRDefault="006C6086" w:rsidP="0039664F">
      <w:pPr>
        <w:pStyle w:val="ad"/>
        <w:spacing w:before="0" w:beforeAutospacing="0" w:after="0" w:afterAutospacing="0"/>
        <w:ind w:firstLine="708"/>
        <w:jc w:val="both"/>
        <w:rPr>
          <w:b/>
        </w:rPr>
      </w:pPr>
      <w:r w:rsidRPr="000028C3">
        <w:rPr>
          <w:b/>
        </w:rPr>
        <w:t>Факторинговая компания</w:t>
      </w:r>
      <w:r w:rsidRPr="000028C3">
        <w:t xml:space="preserve"> – компания, основной деятельностью которой является предоставление клиентам финансирования или иных услуг под уступку денежных требований.</w:t>
      </w:r>
    </w:p>
    <w:p w14:paraId="4FC4C643" w14:textId="77777777" w:rsidR="0079661C" w:rsidRPr="000028C3" w:rsidRDefault="0079661C" w:rsidP="0039664F">
      <w:pPr>
        <w:pStyle w:val="ad"/>
        <w:spacing w:before="0" w:beforeAutospacing="0" w:after="0" w:afterAutospacing="0"/>
        <w:ind w:firstLine="708"/>
        <w:jc w:val="both"/>
        <w:rPr>
          <w:b/>
        </w:rPr>
      </w:pPr>
      <w:r w:rsidRPr="000028C3">
        <w:rPr>
          <w:b/>
        </w:rPr>
        <w:t xml:space="preserve">Рейтинг кредитоспособности </w:t>
      </w:r>
      <w:r w:rsidR="0084032B" w:rsidRPr="000028C3">
        <w:rPr>
          <w:b/>
        </w:rPr>
        <w:t xml:space="preserve">факторинговой </w:t>
      </w:r>
      <w:r w:rsidRPr="000028C3">
        <w:rPr>
          <w:b/>
        </w:rPr>
        <w:t>компании</w:t>
      </w:r>
      <w:r w:rsidRPr="000028C3">
        <w:t xml:space="preserve"> – мнение кредитного рейтингового агентства «Эксперт РА» о способности компании своевременно и в полном объеме выполнять свои финансовые </w:t>
      </w:r>
      <w:r w:rsidR="0084032B" w:rsidRPr="000028C3">
        <w:t>обязательства перед кредиторами.</w:t>
      </w:r>
    </w:p>
    <w:p w14:paraId="4AF6D447" w14:textId="77777777" w:rsidR="0079661C" w:rsidRPr="000028C3" w:rsidRDefault="0079661C" w:rsidP="0039664F">
      <w:pPr>
        <w:pStyle w:val="ad"/>
        <w:spacing w:before="0" w:beforeAutospacing="0" w:after="0" w:afterAutospacing="0"/>
        <w:jc w:val="both"/>
        <w:rPr>
          <w:b/>
        </w:rPr>
      </w:pPr>
    </w:p>
    <w:p w14:paraId="7A3A7CC2" w14:textId="73D13EEC" w:rsidR="00041F64" w:rsidRPr="000028C3" w:rsidRDefault="0079661C" w:rsidP="0039664F">
      <w:pPr>
        <w:pStyle w:val="ad"/>
        <w:spacing w:before="0" w:beforeAutospacing="0" w:after="0" w:afterAutospacing="0"/>
        <w:ind w:firstLine="708"/>
        <w:jc w:val="both"/>
        <w:rPr>
          <w:highlight w:val="yellow"/>
        </w:rPr>
      </w:pPr>
      <w:r w:rsidRPr="000028C3">
        <w:rPr>
          <w:b/>
        </w:rPr>
        <w:t xml:space="preserve">Рейтинг самостоятельной кредитоспособности </w:t>
      </w:r>
      <w:r w:rsidR="0084032B" w:rsidRPr="000028C3">
        <w:rPr>
          <w:b/>
        </w:rPr>
        <w:t>факторинговой</w:t>
      </w:r>
      <w:r w:rsidRPr="000028C3">
        <w:rPr>
          <w:b/>
        </w:rPr>
        <w:t xml:space="preserve"> компании</w:t>
      </w:r>
      <w:r w:rsidRPr="000028C3">
        <w:t xml:space="preserve"> – мнение кредитного рейтингового агентства «Эксперт РА» о способности компании своевременно и в полном объеме выполнять свои финансовые обязательства </w:t>
      </w:r>
      <w:r w:rsidR="0084032B" w:rsidRPr="000028C3">
        <w:t xml:space="preserve">перед кредиторами </w:t>
      </w:r>
      <w:r w:rsidRPr="000028C3">
        <w:t>без учета внешних по отношению к компании факторов (поддержка со стороны собственников</w:t>
      </w:r>
      <w:r w:rsidR="002F3146" w:rsidRPr="000028C3">
        <w:t xml:space="preserve"> и др.</w:t>
      </w:r>
      <w:r w:rsidRPr="000028C3">
        <w:t>).</w:t>
      </w:r>
    </w:p>
    <w:p w14:paraId="30D11DEE" w14:textId="77777777" w:rsidR="0079661C" w:rsidRPr="000028C3" w:rsidRDefault="0079661C" w:rsidP="0039664F">
      <w:pPr>
        <w:pStyle w:val="ad"/>
        <w:spacing w:before="0" w:beforeAutospacing="0" w:after="0" w:afterAutospacing="0"/>
        <w:jc w:val="both"/>
        <w:rPr>
          <w:highlight w:val="yellow"/>
        </w:rPr>
      </w:pPr>
    </w:p>
    <w:p w14:paraId="61760C40" w14:textId="77777777" w:rsidR="0079661C" w:rsidRPr="000028C3" w:rsidRDefault="0079661C" w:rsidP="0098669D">
      <w:pPr>
        <w:pStyle w:val="1"/>
        <w:numPr>
          <w:ilvl w:val="1"/>
          <w:numId w:val="8"/>
        </w:numPr>
        <w:tabs>
          <w:tab w:val="clear" w:pos="0"/>
        </w:tabs>
        <w:suppressAutoHyphens/>
        <w:spacing w:before="0" w:after="0"/>
        <w:ind w:left="567" w:hanging="567"/>
        <w:rPr>
          <w:rFonts w:ascii="Times New Roman" w:hAnsi="Times New Roman" w:cs="Times New Roman"/>
          <w:kern w:val="1"/>
          <w:sz w:val="28"/>
          <w:szCs w:val="28"/>
          <w:lang w:eastAsia="ar-SA"/>
        </w:rPr>
      </w:pPr>
      <w:bookmarkStart w:id="4" w:name="_Toc470863356"/>
      <w:bookmarkStart w:id="5" w:name="_Toc39667603"/>
      <w:r w:rsidRPr="000028C3">
        <w:rPr>
          <w:rFonts w:ascii="Times New Roman" w:hAnsi="Times New Roman" w:cs="Times New Roman"/>
          <w:kern w:val="1"/>
          <w:sz w:val="28"/>
          <w:szCs w:val="28"/>
          <w:lang w:eastAsia="ar-SA"/>
        </w:rPr>
        <w:t>Рейтинговая шкала</w:t>
      </w:r>
      <w:bookmarkEnd w:id="4"/>
      <w:bookmarkEnd w:id="5"/>
    </w:p>
    <w:p w14:paraId="08C0D675" w14:textId="77777777" w:rsidR="0079661C" w:rsidRPr="000028C3" w:rsidRDefault="0079661C" w:rsidP="0039664F"/>
    <w:p w14:paraId="68F00CDC" w14:textId="77777777" w:rsidR="00EE5585" w:rsidRPr="000028C3" w:rsidRDefault="00F31544" w:rsidP="0039664F">
      <w:pPr>
        <w:ind w:firstLine="709"/>
        <w:jc w:val="both"/>
      </w:pPr>
      <w:r w:rsidRPr="000028C3">
        <w:t>В соответствии с настоящей методологией присваиваются рейтинги по национальной шкале Российской Федерации.</w:t>
      </w:r>
    </w:p>
    <w:p w14:paraId="5C2A4344" w14:textId="77777777" w:rsidR="00EE5585" w:rsidRPr="000028C3" w:rsidRDefault="00EE5585" w:rsidP="0039664F">
      <w:pPr>
        <w:jc w:val="both"/>
      </w:pPr>
    </w:p>
    <w:p w14:paraId="5C635E65" w14:textId="77777777" w:rsidR="00EE5585" w:rsidRPr="000028C3" w:rsidRDefault="00EE5585" w:rsidP="0039664F">
      <w:r w:rsidRPr="000028C3">
        <w:rPr>
          <w:bCs/>
        </w:rPr>
        <w:t>Национальная рейтинговая шкала «Эксперт РА» для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1"/>
        <w:gridCol w:w="1247"/>
        <w:gridCol w:w="6747"/>
      </w:tblGrid>
      <w:tr w:rsidR="00734D82" w:rsidRPr="000028C3" w14:paraId="7235688C" w14:textId="77777777" w:rsidTr="00462181">
        <w:tc>
          <w:tcPr>
            <w:tcW w:w="723" w:type="pct"/>
            <w:tcMar>
              <w:top w:w="0" w:type="dxa"/>
              <w:left w:w="108" w:type="dxa"/>
              <w:bottom w:w="0" w:type="dxa"/>
              <w:right w:w="108" w:type="dxa"/>
            </w:tcMar>
            <w:vAlign w:val="center"/>
            <w:hideMark/>
          </w:tcPr>
          <w:p w14:paraId="6B292899" w14:textId="77777777" w:rsidR="00734D82" w:rsidRPr="000028C3" w:rsidRDefault="00734D82" w:rsidP="0039664F">
            <w:pPr>
              <w:pStyle w:val="RAEXdefault"/>
              <w:rPr>
                <w:rFonts w:cs="Times New Roman"/>
                <w:color w:val="000000"/>
                <w:lang w:val="ru-RU"/>
              </w:rPr>
            </w:pPr>
            <w:r w:rsidRPr="000028C3">
              <w:rPr>
                <w:rFonts w:cs="Times New Roman"/>
                <w:color w:val="000000"/>
                <w:lang w:val="ru-RU"/>
              </w:rPr>
              <w:t>Категория</w:t>
            </w:r>
          </w:p>
        </w:tc>
        <w:tc>
          <w:tcPr>
            <w:tcW w:w="667" w:type="pct"/>
            <w:tcMar>
              <w:top w:w="0" w:type="dxa"/>
              <w:left w:w="108" w:type="dxa"/>
              <w:bottom w:w="0" w:type="dxa"/>
              <w:right w:w="108" w:type="dxa"/>
            </w:tcMar>
            <w:vAlign w:val="center"/>
            <w:hideMark/>
          </w:tcPr>
          <w:p w14:paraId="2507629B" w14:textId="77777777" w:rsidR="00734D82" w:rsidRPr="000028C3" w:rsidRDefault="00734D82" w:rsidP="0039664F">
            <w:pPr>
              <w:rPr>
                <w:color w:val="000000"/>
              </w:rPr>
            </w:pPr>
            <w:r w:rsidRPr="000028C3">
              <w:rPr>
                <w:color w:val="000000"/>
              </w:rPr>
              <w:t>Уровень</w:t>
            </w:r>
          </w:p>
        </w:tc>
        <w:tc>
          <w:tcPr>
            <w:tcW w:w="3610" w:type="pct"/>
            <w:tcMar>
              <w:top w:w="0" w:type="dxa"/>
              <w:left w:w="108" w:type="dxa"/>
              <w:bottom w:w="0" w:type="dxa"/>
              <w:right w:w="108" w:type="dxa"/>
            </w:tcMar>
            <w:vAlign w:val="center"/>
            <w:hideMark/>
          </w:tcPr>
          <w:p w14:paraId="275E92E0" w14:textId="77777777" w:rsidR="00734D82" w:rsidRPr="000028C3" w:rsidRDefault="00734D82" w:rsidP="0039664F">
            <w:pPr>
              <w:pStyle w:val="RAEXdefault"/>
              <w:rPr>
                <w:rFonts w:cs="Times New Roman"/>
                <w:lang w:val="ru-RU"/>
              </w:rPr>
            </w:pPr>
            <w:r w:rsidRPr="000028C3">
              <w:rPr>
                <w:rFonts w:cs="Times New Roman"/>
                <w:lang w:val="ru-RU"/>
              </w:rPr>
              <w:t>Определение</w:t>
            </w:r>
          </w:p>
        </w:tc>
      </w:tr>
      <w:tr w:rsidR="00734D82" w:rsidRPr="000028C3" w14:paraId="589A5E21" w14:textId="77777777" w:rsidTr="00462181">
        <w:tc>
          <w:tcPr>
            <w:tcW w:w="723" w:type="pct"/>
            <w:tcMar>
              <w:top w:w="0" w:type="dxa"/>
              <w:left w:w="108" w:type="dxa"/>
              <w:bottom w:w="0" w:type="dxa"/>
              <w:right w:w="108" w:type="dxa"/>
            </w:tcMar>
            <w:vAlign w:val="center"/>
            <w:hideMark/>
          </w:tcPr>
          <w:p w14:paraId="05F8C683" w14:textId="77777777" w:rsidR="00734D82" w:rsidRPr="000028C3" w:rsidRDefault="00734D82" w:rsidP="0039664F">
            <w:pPr>
              <w:pStyle w:val="RAEXdefault"/>
              <w:rPr>
                <w:rFonts w:cs="Times New Roman"/>
              </w:rPr>
            </w:pPr>
            <w:r w:rsidRPr="000028C3">
              <w:rPr>
                <w:rFonts w:cs="Times New Roman"/>
                <w:color w:val="000000"/>
              </w:rPr>
              <w:t>AAA</w:t>
            </w:r>
          </w:p>
        </w:tc>
        <w:tc>
          <w:tcPr>
            <w:tcW w:w="667" w:type="pct"/>
            <w:tcMar>
              <w:top w:w="0" w:type="dxa"/>
              <w:left w:w="108" w:type="dxa"/>
              <w:bottom w:w="0" w:type="dxa"/>
              <w:right w:w="108" w:type="dxa"/>
            </w:tcMar>
            <w:vAlign w:val="center"/>
            <w:hideMark/>
          </w:tcPr>
          <w:p w14:paraId="33E4489D"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AAA</w:t>
            </w:r>
          </w:p>
        </w:tc>
        <w:tc>
          <w:tcPr>
            <w:tcW w:w="3610" w:type="pct"/>
            <w:tcMar>
              <w:top w:w="0" w:type="dxa"/>
              <w:left w:w="108" w:type="dxa"/>
              <w:bottom w:w="0" w:type="dxa"/>
              <w:right w:w="108" w:type="dxa"/>
            </w:tcMar>
            <w:vAlign w:val="center"/>
            <w:hideMark/>
          </w:tcPr>
          <w:p w14:paraId="57C26B47" w14:textId="77777777" w:rsidR="00734D82" w:rsidRPr="000028C3" w:rsidRDefault="00734D82" w:rsidP="0039664F">
            <w:pPr>
              <w:pStyle w:val="RAEXdefault"/>
              <w:rPr>
                <w:rFonts w:cs="Times New Roman"/>
              </w:rPr>
            </w:pPr>
            <w:r w:rsidRPr="000028C3">
              <w:rPr>
                <w:rFonts w:cs="Times New Roman"/>
                <w:lang w:val="ru-RU"/>
              </w:rPr>
              <w:t>Объект рейтинга характеризуется максимальным уровнем кредитоспособности/финансовой надежности/финансовой устойчивости. Наивысший уровень кредитоспособности/финансовой надежности/финансовой устойчивости по национальной шкале для Российской Федерации, по мнению Агентства</w:t>
            </w:r>
            <w:r w:rsidRPr="000028C3">
              <w:rPr>
                <w:rFonts w:cs="Times New Roman"/>
              </w:rPr>
              <w:t xml:space="preserve">. </w:t>
            </w:r>
          </w:p>
        </w:tc>
      </w:tr>
      <w:tr w:rsidR="00734D82" w:rsidRPr="000028C3" w14:paraId="2B6FF056" w14:textId="77777777" w:rsidTr="00462181">
        <w:trPr>
          <w:trHeight w:val="367"/>
        </w:trPr>
        <w:tc>
          <w:tcPr>
            <w:tcW w:w="723" w:type="pct"/>
            <w:vMerge w:val="restart"/>
            <w:tcMar>
              <w:top w:w="0" w:type="dxa"/>
              <w:left w:w="108" w:type="dxa"/>
              <w:bottom w:w="0" w:type="dxa"/>
              <w:right w:w="108" w:type="dxa"/>
            </w:tcMar>
            <w:vAlign w:val="center"/>
            <w:hideMark/>
          </w:tcPr>
          <w:p w14:paraId="351A01F0" w14:textId="77777777" w:rsidR="00734D82" w:rsidRPr="000028C3" w:rsidRDefault="00734D82" w:rsidP="0039664F">
            <w:pPr>
              <w:pStyle w:val="RAEXdefault"/>
              <w:rPr>
                <w:rFonts w:cs="Times New Roman"/>
              </w:rPr>
            </w:pPr>
            <w:r w:rsidRPr="000028C3">
              <w:rPr>
                <w:rFonts w:cs="Times New Roman"/>
                <w:color w:val="000000"/>
              </w:rPr>
              <w:t>AA</w:t>
            </w:r>
          </w:p>
        </w:tc>
        <w:tc>
          <w:tcPr>
            <w:tcW w:w="667" w:type="pct"/>
            <w:tcMar>
              <w:top w:w="0" w:type="dxa"/>
              <w:left w:w="108" w:type="dxa"/>
              <w:bottom w:w="0" w:type="dxa"/>
              <w:right w:w="108" w:type="dxa"/>
            </w:tcMar>
            <w:vAlign w:val="center"/>
            <w:hideMark/>
          </w:tcPr>
          <w:p w14:paraId="41C927E2"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AA+</w:t>
            </w:r>
          </w:p>
        </w:tc>
        <w:tc>
          <w:tcPr>
            <w:tcW w:w="3610" w:type="pct"/>
            <w:vMerge w:val="restart"/>
            <w:tcMar>
              <w:top w:w="0" w:type="dxa"/>
              <w:left w:w="108" w:type="dxa"/>
              <w:bottom w:w="0" w:type="dxa"/>
              <w:right w:w="108" w:type="dxa"/>
            </w:tcMar>
            <w:vAlign w:val="center"/>
            <w:hideMark/>
          </w:tcPr>
          <w:p w14:paraId="5D0BDED1" w14:textId="77777777" w:rsidR="00734D82" w:rsidRPr="000028C3" w:rsidRDefault="00734D82" w:rsidP="0039664F">
            <w:pPr>
              <w:pStyle w:val="RAEXdefault"/>
              <w:rPr>
                <w:rFonts w:cs="Times New Roman"/>
                <w:lang w:val="ru-RU"/>
              </w:rPr>
            </w:pPr>
            <w:r w:rsidRPr="000028C3">
              <w:rPr>
                <w:rFonts w:cs="Times New Roman"/>
                <w:lang w:val="ru-RU"/>
              </w:rPr>
              <w:t xml:space="preserve">Высокий уровень кредитоспособности/финансовой надежности/финансовой устойчивости по сравнению с другими объектами рейтинга в Российской Федерации, который лишь незначительно ниже, чем у объектов рейтинга в рейтинговой категории </w:t>
            </w:r>
            <w:r w:rsidRPr="000028C3">
              <w:rPr>
                <w:rFonts w:cs="Times New Roman"/>
              </w:rPr>
              <w:t>ruAAA</w:t>
            </w:r>
            <w:r w:rsidRPr="000028C3">
              <w:rPr>
                <w:rFonts w:cs="Times New Roman"/>
                <w:lang w:val="ru-RU"/>
              </w:rPr>
              <w:t>.</w:t>
            </w:r>
          </w:p>
        </w:tc>
      </w:tr>
      <w:tr w:rsidR="00734D82" w:rsidRPr="000028C3" w14:paraId="1EDBB8A2" w14:textId="77777777" w:rsidTr="00462181">
        <w:trPr>
          <w:trHeight w:val="543"/>
        </w:trPr>
        <w:tc>
          <w:tcPr>
            <w:tcW w:w="723" w:type="pct"/>
            <w:vMerge/>
            <w:vAlign w:val="center"/>
            <w:hideMark/>
          </w:tcPr>
          <w:p w14:paraId="0063E91D" w14:textId="77777777" w:rsidR="00734D82" w:rsidRPr="000028C3" w:rsidRDefault="00734D82" w:rsidP="0039664F"/>
        </w:tc>
        <w:tc>
          <w:tcPr>
            <w:tcW w:w="667" w:type="pct"/>
            <w:tcMar>
              <w:top w:w="0" w:type="dxa"/>
              <w:left w:w="108" w:type="dxa"/>
              <w:bottom w:w="0" w:type="dxa"/>
              <w:right w:w="108" w:type="dxa"/>
            </w:tcMar>
            <w:vAlign w:val="center"/>
            <w:hideMark/>
          </w:tcPr>
          <w:p w14:paraId="13F2B728"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AA</w:t>
            </w:r>
          </w:p>
        </w:tc>
        <w:tc>
          <w:tcPr>
            <w:tcW w:w="3610" w:type="pct"/>
            <w:vMerge/>
            <w:vAlign w:val="center"/>
            <w:hideMark/>
          </w:tcPr>
          <w:p w14:paraId="61694728" w14:textId="77777777" w:rsidR="00734D82" w:rsidRPr="000028C3" w:rsidRDefault="00734D82" w:rsidP="0039664F"/>
        </w:tc>
      </w:tr>
      <w:tr w:rsidR="00734D82" w:rsidRPr="000028C3" w14:paraId="6D5F7300" w14:textId="77777777" w:rsidTr="00462181">
        <w:tc>
          <w:tcPr>
            <w:tcW w:w="723" w:type="pct"/>
            <w:vMerge/>
            <w:vAlign w:val="center"/>
            <w:hideMark/>
          </w:tcPr>
          <w:p w14:paraId="6E46E881" w14:textId="77777777" w:rsidR="00734D82" w:rsidRPr="000028C3" w:rsidRDefault="00734D82" w:rsidP="0039664F">
            <w:pPr>
              <w:rPr>
                <w:lang w:val="en-US"/>
              </w:rPr>
            </w:pPr>
          </w:p>
        </w:tc>
        <w:tc>
          <w:tcPr>
            <w:tcW w:w="667" w:type="pct"/>
            <w:tcMar>
              <w:top w:w="0" w:type="dxa"/>
              <w:left w:w="108" w:type="dxa"/>
              <w:bottom w:w="0" w:type="dxa"/>
              <w:right w:w="108" w:type="dxa"/>
            </w:tcMar>
            <w:vAlign w:val="center"/>
            <w:hideMark/>
          </w:tcPr>
          <w:p w14:paraId="31528BE9"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AA-</w:t>
            </w:r>
          </w:p>
        </w:tc>
        <w:tc>
          <w:tcPr>
            <w:tcW w:w="3610" w:type="pct"/>
            <w:vMerge/>
            <w:vAlign w:val="center"/>
            <w:hideMark/>
          </w:tcPr>
          <w:p w14:paraId="46CE249D" w14:textId="77777777" w:rsidR="00734D82" w:rsidRPr="000028C3" w:rsidRDefault="00734D82" w:rsidP="0039664F"/>
        </w:tc>
      </w:tr>
      <w:tr w:rsidR="00734D82" w:rsidRPr="000028C3" w14:paraId="27DA5251" w14:textId="77777777" w:rsidTr="00462181">
        <w:trPr>
          <w:trHeight w:val="399"/>
        </w:trPr>
        <w:tc>
          <w:tcPr>
            <w:tcW w:w="723" w:type="pct"/>
            <w:vMerge w:val="restart"/>
            <w:tcMar>
              <w:top w:w="0" w:type="dxa"/>
              <w:left w:w="108" w:type="dxa"/>
              <w:bottom w:w="0" w:type="dxa"/>
              <w:right w:w="108" w:type="dxa"/>
            </w:tcMar>
            <w:vAlign w:val="center"/>
            <w:hideMark/>
          </w:tcPr>
          <w:p w14:paraId="01CBAA49" w14:textId="77777777" w:rsidR="00734D82" w:rsidRPr="000028C3" w:rsidRDefault="00734D82" w:rsidP="0039664F">
            <w:pPr>
              <w:pStyle w:val="RAEXdefault"/>
              <w:rPr>
                <w:rFonts w:cs="Times New Roman"/>
              </w:rPr>
            </w:pPr>
            <w:r w:rsidRPr="000028C3">
              <w:rPr>
                <w:rFonts w:cs="Times New Roman"/>
                <w:color w:val="000000"/>
              </w:rPr>
              <w:t>A</w:t>
            </w:r>
          </w:p>
        </w:tc>
        <w:tc>
          <w:tcPr>
            <w:tcW w:w="667" w:type="pct"/>
            <w:tcMar>
              <w:top w:w="0" w:type="dxa"/>
              <w:left w:w="108" w:type="dxa"/>
              <w:bottom w:w="0" w:type="dxa"/>
              <w:right w:w="108" w:type="dxa"/>
            </w:tcMar>
            <w:vAlign w:val="center"/>
            <w:hideMark/>
          </w:tcPr>
          <w:p w14:paraId="7D50598E"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w:t>
            </w:r>
          </w:p>
        </w:tc>
        <w:tc>
          <w:tcPr>
            <w:tcW w:w="3610" w:type="pct"/>
            <w:vMerge w:val="restart"/>
            <w:tcMar>
              <w:top w:w="0" w:type="dxa"/>
              <w:left w:w="108" w:type="dxa"/>
              <w:bottom w:w="0" w:type="dxa"/>
              <w:right w:w="108" w:type="dxa"/>
            </w:tcMar>
            <w:vAlign w:val="center"/>
            <w:hideMark/>
          </w:tcPr>
          <w:p w14:paraId="0E888EC8" w14:textId="77777777" w:rsidR="00734D82" w:rsidRPr="000028C3" w:rsidRDefault="00734D82" w:rsidP="0039664F">
            <w:pPr>
              <w:pStyle w:val="RAEXdefault"/>
              <w:rPr>
                <w:rFonts w:cs="Times New Roman"/>
                <w:lang w:val="ru-RU"/>
              </w:rPr>
            </w:pPr>
            <w:r w:rsidRPr="000028C3">
              <w:rPr>
                <w:rFonts w:cs="Times New Roman"/>
                <w:lang w:val="ru-RU"/>
              </w:rPr>
              <w:t>Умеренно высокий уровень кредитоспособности/финансовой надежности/финансовой устойчивости по сравнению с другими объектами рейтинга в Российской Федерации, однако присутствует некоторая чувствительность к воздействию негативных изменений экономической конъюнктуры.</w:t>
            </w:r>
          </w:p>
        </w:tc>
      </w:tr>
      <w:tr w:rsidR="00734D82" w:rsidRPr="000028C3" w14:paraId="17189208" w14:textId="77777777" w:rsidTr="00462181">
        <w:trPr>
          <w:trHeight w:val="547"/>
        </w:trPr>
        <w:tc>
          <w:tcPr>
            <w:tcW w:w="723" w:type="pct"/>
            <w:vMerge/>
            <w:vAlign w:val="center"/>
            <w:hideMark/>
          </w:tcPr>
          <w:p w14:paraId="7D94C816" w14:textId="77777777" w:rsidR="00734D82" w:rsidRPr="000028C3" w:rsidRDefault="00734D82" w:rsidP="0039664F"/>
        </w:tc>
        <w:tc>
          <w:tcPr>
            <w:tcW w:w="667" w:type="pct"/>
            <w:tcMar>
              <w:top w:w="0" w:type="dxa"/>
              <w:left w:w="108" w:type="dxa"/>
              <w:bottom w:w="0" w:type="dxa"/>
              <w:right w:w="108" w:type="dxa"/>
            </w:tcMar>
            <w:vAlign w:val="center"/>
            <w:hideMark/>
          </w:tcPr>
          <w:p w14:paraId="4FCCEBF4"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w:t>
            </w:r>
          </w:p>
        </w:tc>
        <w:tc>
          <w:tcPr>
            <w:tcW w:w="3610" w:type="pct"/>
            <w:vMerge/>
            <w:vAlign w:val="center"/>
            <w:hideMark/>
          </w:tcPr>
          <w:p w14:paraId="0384C224" w14:textId="77777777" w:rsidR="00734D82" w:rsidRPr="000028C3" w:rsidRDefault="00734D82" w:rsidP="0039664F"/>
        </w:tc>
      </w:tr>
      <w:tr w:rsidR="00734D82" w:rsidRPr="000028C3" w14:paraId="18B5330C" w14:textId="77777777" w:rsidTr="00462181">
        <w:tc>
          <w:tcPr>
            <w:tcW w:w="723" w:type="pct"/>
            <w:vMerge/>
            <w:vAlign w:val="center"/>
            <w:hideMark/>
          </w:tcPr>
          <w:p w14:paraId="24A7042A" w14:textId="77777777" w:rsidR="00734D82" w:rsidRPr="000028C3" w:rsidRDefault="00734D82" w:rsidP="0039664F">
            <w:pPr>
              <w:rPr>
                <w:lang w:val="en-US"/>
              </w:rPr>
            </w:pPr>
          </w:p>
        </w:tc>
        <w:tc>
          <w:tcPr>
            <w:tcW w:w="667" w:type="pct"/>
            <w:tcMar>
              <w:top w:w="0" w:type="dxa"/>
              <w:left w:w="108" w:type="dxa"/>
              <w:bottom w:w="0" w:type="dxa"/>
              <w:right w:w="108" w:type="dxa"/>
            </w:tcMar>
            <w:vAlign w:val="center"/>
            <w:hideMark/>
          </w:tcPr>
          <w:p w14:paraId="36578F22"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A-</w:t>
            </w:r>
          </w:p>
        </w:tc>
        <w:tc>
          <w:tcPr>
            <w:tcW w:w="3610" w:type="pct"/>
            <w:vMerge/>
            <w:vAlign w:val="center"/>
            <w:hideMark/>
          </w:tcPr>
          <w:p w14:paraId="581AD6F4" w14:textId="77777777" w:rsidR="00734D82" w:rsidRPr="000028C3" w:rsidRDefault="00734D82" w:rsidP="0039664F"/>
        </w:tc>
      </w:tr>
      <w:tr w:rsidR="00734D82" w:rsidRPr="000028C3" w14:paraId="2B0036E3" w14:textId="77777777" w:rsidTr="00462181">
        <w:trPr>
          <w:trHeight w:val="521"/>
        </w:trPr>
        <w:tc>
          <w:tcPr>
            <w:tcW w:w="723" w:type="pct"/>
            <w:vMerge w:val="restart"/>
            <w:tcMar>
              <w:top w:w="0" w:type="dxa"/>
              <w:left w:w="108" w:type="dxa"/>
              <w:bottom w:w="0" w:type="dxa"/>
              <w:right w:w="108" w:type="dxa"/>
            </w:tcMar>
            <w:vAlign w:val="center"/>
            <w:hideMark/>
          </w:tcPr>
          <w:p w14:paraId="7A74161E" w14:textId="77777777" w:rsidR="00734D82" w:rsidRPr="000028C3" w:rsidRDefault="00734D82" w:rsidP="0039664F">
            <w:pPr>
              <w:pStyle w:val="RAEXdefault"/>
              <w:rPr>
                <w:rFonts w:cs="Times New Roman"/>
              </w:rPr>
            </w:pPr>
            <w:r w:rsidRPr="000028C3">
              <w:rPr>
                <w:rFonts w:cs="Times New Roman"/>
                <w:color w:val="000000"/>
              </w:rPr>
              <w:t>BBB</w:t>
            </w:r>
          </w:p>
        </w:tc>
        <w:tc>
          <w:tcPr>
            <w:tcW w:w="667" w:type="pct"/>
            <w:tcMar>
              <w:top w:w="0" w:type="dxa"/>
              <w:left w:w="108" w:type="dxa"/>
              <w:bottom w:w="0" w:type="dxa"/>
              <w:right w:w="108" w:type="dxa"/>
            </w:tcMar>
            <w:vAlign w:val="center"/>
            <w:hideMark/>
          </w:tcPr>
          <w:p w14:paraId="52817708" w14:textId="77777777" w:rsidR="00734D82" w:rsidRPr="000028C3" w:rsidRDefault="00734D82" w:rsidP="0039664F">
            <w:pPr>
              <w:rPr>
                <w:color w:val="000000"/>
                <w:lang w:val="en-US"/>
              </w:rPr>
            </w:pPr>
            <w:r w:rsidRPr="000028C3">
              <w:rPr>
                <w:color w:val="000000"/>
                <w:lang w:val="en-US"/>
              </w:rPr>
              <w:t>ruBBB+</w:t>
            </w:r>
          </w:p>
        </w:tc>
        <w:tc>
          <w:tcPr>
            <w:tcW w:w="3610" w:type="pct"/>
            <w:vMerge w:val="restart"/>
            <w:tcMar>
              <w:top w:w="0" w:type="dxa"/>
              <w:left w:w="108" w:type="dxa"/>
              <w:bottom w:w="0" w:type="dxa"/>
              <w:right w:w="108" w:type="dxa"/>
            </w:tcMar>
            <w:vAlign w:val="center"/>
            <w:hideMark/>
          </w:tcPr>
          <w:p w14:paraId="4BC04ABE" w14:textId="77777777" w:rsidR="00734D82" w:rsidRPr="000028C3" w:rsidRDefault="00734D82" w:rsidP="0039664F">
            <w:pPr>
              <w:pStyle w:val="RAEXdefault"/>
              <w:rPr>
                <w:rFonts w:eastAsia="Times New Roman" w:cs="Times New Roman"/>
                <w:color w:val="000000"/>
                <w:szCs w:val="24"/>
                <w:lang w:val="ru-RU" w:eastAsia="ru-RU"/>
              </w:rPr>
            </w:pPr>
            <w:r w:rsidRPr="000028C3">
              <w:rPr>
                <w:rFonts w:eastAsia="Times New Roman" w:cs="Times New Roman"/>
                <w:color w:val="000000"/>
                <w:szCs w:val="24"/>
                <w:lang w:val="ru-RU" w:eastAsia="ru-RU"/>
              </w:rPr>
              <w:t xml:space="preserve">Умеренный уровень кредитоспособности/финансовой надежности/финансовой устойчивости по сравнению с другими объектами рейтинга в Российской Федерации, при этом присутствует более высокая чувствительность к воздействию негативных изменений экономической конъюнктуры, чем у объектов рейтинга в рейтинговой категории </w:t>
            </w:r>
            <w:r w:rsidRPr="000028C3">
              <w:rPr>
                <w:rFonts w:eastAsia="Times New Roman" w:cs="Times New Roman"/>
                <w:color w:val="000000"/>
                <w:szCs w:val="24"/>
                <w:lang w:eastAsia="ru-RU"/>
              </w:rPr>
              <w:t>ruA</w:t>
            </w:r>
            <w:r w:rsidRPr="000028C3">
              <w:rPr>
                <w:rFonts w:eastAsia="Times New Roman" w:cs="Times New Roman"/>
                <w:color w:val="000000"/>
                <w:szCs w:val="24"/>
                <w:lang w:val="ru-RU" w:eastAsia="ru-RU"/>
              </w:rPr>
              <w:t>.</w:t>
            </w:r>
          </w:p>
        </w:tc>
      </w:tr>
      <w:tr w:rsidR="00734D82" w:rsidRPr="000028C3" w14:paraId="45DB1916" w14:textId="77777777" w:rsidTr="00462181">
        <w:trPr>
          <w:trHeight w:val="511"/>
        </w:trPr>
        <w:tc>
          <w:tcPr>
            <w:tcW w:w="723" w:type="pct"/>
            <w:vMerge/>
            <w:vAlign w:val="center"/>
            <w:hideMark/>
          </w:tcPr>
          <w:p w14:paraId="42467077" w14:textId="77777777" w:rsidR="00734D82" w:rsidRPr="000028C3" w:rsidRDefault="00734D82" w:rsidP="0039664F"/>
        </w:tc>
        <w:tc>
          <w:tcPr>
            <w:tcW w:w="667" w:type="pct"/>
            <w:tcMar>
              <w:top w:w="0" w:type="dxa"/>
              <w:left w:w="108" w:type="dxa"/>
              <w:bottom w:w="0" w:type="dxa"/>
              <w:right w:w="108" w:type="dxa"/>
            </w:tcMar>
            <w:vAlign w:val="center"/>
            <w:hideMark/>
          </w:tcPr>
          <w:p w14:paraId="23556271"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BBB</w:t>
            </w:r>
          </w:p>
        </w:tc>
        <w:tc>
          <w:tcPr>
            <w:tcW w:w="3610" w:type="pct"/>
            <w:vMerge/>
            <w:vAlign w:val="center"/>
            <w:hideMark/>
          </w:tcPr>
          <w:p w14:paraId="1DAE6165" w14:textId="77777777" w:rsidR="00734D82" w:rsidRPr="000028C3" w:rsidRDefault="00734D82" w:rsidP="0039664F"/>
        </w:tc>
      </w:tr>
      <w:tr w:rsidR="00734D82" w:rsidRPr="000028C3" w14:paraId="5B67C374" w14:textId="77777777" w:rsidTr="00462181">
        <w:trPr>
          <w:trHeight w:val="126"/>
        </w:trPr>
        <w:tc>
          <w:tcPr>
            <w:tcW w:w="723" w:type="pct"/>
            <w:vMerge/>
            <w:vAlign w:val="center"/>
            <w:hideMark/>
          </w:tcPr>
          <w:p w14:paraId="015E4015" w14:textId="77777777" w:rsidR="00734D82" w:rsidRPr="000028C3" w:rsidRDefault="00734D82" w:rsidP="0039664F"/>
        </w:tc>
        <w:tc>
          <w:tcPr>
            <w:tcW w:w="667" w:type="pct"/>
            <w:tcMar>
              <w:top w:w="0" w:type="dxa"/>
              <w:left w:w="108" w:type="dxa"/>
              <w:bottom w:w="0" w:type="dxa"/>
              <w:right w:w="108" w:type="dxa"/>
            </w:tcMar>
            <w:vAlign w:val="center"/>
            <w:hideMark/>
          </w:tcPr>
          <w:p w14:paraId="17CD0600"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BBB-</w:t>
            </w:r>
          </w:p>
        </w:tc>
        <w:tc>
          <w:tcPr>
            <w:tcW w:w="3610" w:type="pct"/>
            <w:vMerge/>
            <w:vAlign w:val="center"/>
            <w:hideMark/>
          </w:tcPr>
          <w:p w14:paraId="2F6BF376" w14:textId="77777777" w:rsidR="00734D82" w:rsidRPr="000028C3" w:rsidRDefault="00734D82" w:rsidP="0039664F"/>
        </w:tc>
      </w:tr>
      <w:tr w:rsidR="00734D82" w:rsidRPr="000028C3" w14:paraId="49305C95" w14:textId="77777777" w:rsidTr="00462181">
        <w:trPr>
          <w:trHeight w:val="403"/>
        </w:trPr>
        <w:tc>
          <w:tcPr>
            <w:tcW w:w="723" w:type="pct"/>
            <w:vMerge w:val="restart"/>
            <w:tcMar>
              <w:top w:w="0" w:type="dxa"/>
              <w:left w:w="108" w:type="dxa"/>
              <w:bottom w:w="0" w:type="dxa"/>
              <w:right w:w="108" w:type="dxa"/>
            </w:tcMar>
            <w:vAlign w:val="center"/>
            <w:hideMark/>
          </w:tcPr>
          <w:p w14:paraId="36C22992" w14:textId="77777777" w:rsidR="00734D82" w:rsidRPr="000028C3" w:rsidRDefault="00734D82" w:rsidP="0039664F">
            <w:pPr>
              <w:pStyle w:val="RAEXdefault"/>
              <w:rPr>
                <w:rFonts w:cs="Times New Roman"/>
              </w:rPr>
            </w:pPr>
            <w:r w:rsidRPr="000028C3">
              <w:rPr>
                <w:rFonts w:cs="Times New Roman"/>
                <w:color w:val="000000"/>
              </w:rPr>
              <w:t>BB</w:t>
            </w:r>
          </w:p>
        </w:tc>
        <w:tc>
          <w:tcPr>
            <w:tcW w:w="667" w:type="pct"/>
            <w:tcMar>
              <w:top w:w="0" w:type="dxa"/>
              <w:left w:w="108" w:type="dxa"/>
              <w:bottom w:w="0" w:type="dxa"/>
              <w:right w:w="108" w:type="dxa"/>
            </w:tcMar>
            <w:vAlign w:val="center"/>
            <w:hideMark/>
          </w:tcPr>
          <w:p w14:paraId="51C1A1E6"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BB+</w:t>
            </w:r>
          </w:p>
        </w:tc>
        <w:tc>
          <w:tcPr>
            <w:tcW w:w="3610" w:type="pct"/>
            <w:vMerge w:val="restart"/>
            <w:tcMar>
              <w:top w:w="0" w:type="dxa"/>
              <w:left w:w="108" w:type="dxa"/>
              <w:bottom w:w="0" w:type="dxa"/>
              <w:right w:w="108" w:type="dxa"/>
            </w:tcMar>
            <w:vAlign w:val="center"/>
            <w:hideMark/>
          </w:tcPr>
          <w:p w14:paraId="0C6CE8EC" w14:textId="77777777" w:rsidR="00734D82" w:rsidRPr="000028C3" w:rsidRDefault="00734D82" w:rsidP="0039664F">
            <w:pPr>
              <w:pStyle w:val="RAEXdefault"/>
              <w:rPr>
                <w:rFonts w:cs="Times New Roman"/>
              </w:rPr>
            </w:pPr>
            <w:r w:rsidRPr="000028C3">
              <w:rPr>
                <w:rFonts w:cs="Times New Roman"/>
                <w:lang w:val="ru-RU"/>
              </w:rPr>
              <w:t>Умеренно низкий уровень кредитоспособности/финансовой надежности/финансовой устойчивости по сравнению с другими объектами рейтинга в Российской Федерации. Присутствует высокая чувствительность к воздействию негативных изменений экономической конъюнктуры.</w:t>
            </w:r>
          </w:p>
        </w:tc>
      </w:tr>
      <w:tr w:rsidR="00734D82" w:rsidRPr="000028C3" w14:paraId="50B7B976" w14:textId="77777777" w:rsidTr="00462181">
        <w:trPr>
          <w:trHeight w:val="535"/>
        </w:trPr>
        <w:tc>
          <w:tcPr>
            <w:tcW w:w="723" w:type="pct"/>
            <w:vMerge/>
            <w:vAlign w:val="center"/>
            <w:hideMark/>
          </w:tcPr>
          <w:p w14:paraId="5F5C9878" w14:textId="77777777" w:rsidR="00734D82" w:rsidRPr="000028C3" w:rsidRDefault="00734D82" w:rsidP="0039664F">
            <w:pPr>
              <w:rPr>
                <w:lang w:val="en-US"/>
              </w:rPr>
            </w:pPr>
          </w:p>
        </w:tc>
        <w:tc>
          <w:tcPr>
            <w:tcW w:w="667" w:type="pct"/>
            <w:tcMar>
              <w:top w:w="0" w:type="dxa"/>
              <w:left w:w="108" w:type="dxa"/>
              <w:bottom w:w="0" w:type="dxa"/>
              <w:right w:w="108" w:type="dxa"/>
            </w:tcMar>
            <w:vAlign w:val="center"/>
            <w:hideMark/>
          </w:tcPr>
          <w:p w14:paraId="7E521359"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BB</w:t>
            </w:r>
          </w:p>
        </w:tc>
        <w:tc>
          <w:tcPr>
            <w:tcW w:w="3610" w:type="pct"/>
            <w:vMerge/>
            <w:vAlign w:val="center"/>
            <w:hideMark/>
          </w:tcPr>
          <w:p w14:paraId="2DBD42C8" w14:textId="77777777" w:rsidR="00734D82" w:rsidRPr="000028C3" w:rsidRDefault="00734D82" w:rsidP="0039664F"/>
        </w:tc>
      </w:tr>
      <w:tr w:rsidR="00734D82" w:rsidRPr="000028C3" w14:paraId="1D73ABA9" w14:textId="77777777" w:rsidTr="00462181">
        <w:tc>
          <w:tcPr>
            <w:tcW w:w="723" w:type="pct"/>
            <w:vMerge/>
            <w:vAlign w:val="center"/>
            <w:hideMark/>
          </w:tcPr>
          <w:p w14:paraId="3352D6A9" w14:textId="77777777" w:rsidR="00734D82" w:rsidRPr="000028C3" w:rsidRDefault="00734D82" w:rsidP="0039664F">
            <w:pPr>
              <w:rPr>
                <w:lang w:val="en-US"/>
              </w:rPr>
            </w:pPr>
          </w:p>
        </w:tc>
        <w:tc>
          <w:tcPr>
            <w:tcW w:w="667" w:type="pct"/>
            <w:tcMar>
              <w:top w:w="0" w:type="dxa"/>
              <w:left w:w="108" w:type="dxa"/>
              <w:bottom w:w="0" w:type="dxa"/>
              <w:right w:w="108" w:type="dxa"/>
            </w:tcMar>
            <w:vAlign w:val="center"/>
            <w:hideMark/>
          </w:tcPr>
          <w:p w14:paraId="0C01CF5D"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BB-</w:t>
            </w:r>
          </w:p>
        </w:tc>
        <w:tc>
          <w:tcPr>
            <w:tcW w:w="3610" w:type="pct"/>
            <w:vMerge/>
            <w:vAlign w:val="center"/>
            <w:hideMark/>
          </w:tcPr>
          <w:p w14:paraId="3C7CDE94" w14:textId="77777777" w:rsidR="00734D82" w:rsidRPr="000028C3" w:rsidRDefault="00734D82" w:rsidP="0039664F"/>
        </w:tc>
      </w:tr>
      <w:tr w:rsidR="00734D82" w:rsidRPr="000028C3" w14:paraId="132B6785" w14:textId="77777777" w:rsidTr="00462181">
        <w:trPr>
          <w:trHeight w:val="565"/>
        </w:trPr>
        <w:tc>
          <w:tcPr>
            <w:tcW w:w="723" w:type="pct"/>
            <w:vMerge w:val="restart"/>
            <w:tcMar>
              <w:top w:w="0" w:type="dxa"/>
              <w:left w:w="108" w:type="dxa"/>
              <w:bottom w:w="0" w:type="dxa"/>
              <w:right w:w="108" w:type="dxa"/>
            </w:tcMar>
            <w:vAlign w:val="center"/>
            <w:hideMark/>
          </w:tcPr>
          <w:p w14:paraId="798D2857" w14:textId="77777777" w:rsidR="00734D82" w:rsidRPr="000028C3" w:rsidRDefault="00734D82" w:rsidP="0039664F">
            <w:pPr>
              <w:pStyle w:val="RAEXdefault"/>
              <w:rPr>
                <w:rFonts w:cs="Times New Roman"/>
              </w:rPr>
            </w:pPr>
            <w:r w:rsidRPr="000028C3">
              <w:rPr>
                <w:rFonts w:cs="Times New Roman"/>
                <w:color w:val="000000"/>
              </w:rPr>
              <w:t>B</w:t>
            </w:r>
          </w:p>
        </w:tc>
        <w:tc>
          <w:tcPr>
            <w:tcW w:w="667" w:type="pct"/>
            <w:tcMar>
              <w:top w:w="0" w:type="dxa"/>
              <w:left w:w="108" w:type="dxa"/>
              <w:bottom w:w="0" w:type="dxa"/>
              <w:right w:w="108" w:type="dxa"/>
            </w:tcMar>
            <w:vAlign w:val="center"/>
            <w:hideMark/>
          </w:tcPr>
          <w:p w14:paraId="3751896B"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w:t>
            </w:r>
          </w:p>
        </w:tc>
        <w:tc>
          <w:tcPr>
            <w:tcW w:w="3610" w:type="pct"/>
            <w:vMerge w:val="restart"/>
            <w:tcMar>
              <w:top w:w="0" w:type="dxa"/>
              <w:left w:w="108" w:type="dxa"/>
              <w:bottom w:w="0" w:type="dxa"/>
              <w:right w:w="108" w:type="dxa"/>
            </w:tcMar>
            <w:vAlign w:val="center"/>
            <w:hideMark/>
          </w:tcPr>
          <w:p w14:paraId="4E11926E" w14:textId="77777777" w:rsidR="00734D82" w:rsidRPr="000028C3" w:rsidRDefault="00734D82" w:rsidP="0039664F">
            <w:pPr>
              <w:pStyle w:val="Default"/>
              <w:jc w:val="both"/>
              <w:rPr>
                <w:rFonts w:ascii="Times New Roman" w:hAnsi="Times New Roman" w:cs="Times New Roman"/>
              </w:rPr>
            </w:pPr>
            <w:r w:rsidRPr="000028C3">
              <w:rPr>
                <w:rFonts w:ascii="Times New Roman" w:hAnsi="Times New Roman" w:cs="Times New Roman"/>
              </w:rPr>
              <w:t>Низкий уровень кредитоспособности/финансовой надежности/финансовой устойчивости по сравнению с другими объектами рейтинга в Российской Федерации. В настоящее время сохраняется возможность исполнения финансовых обязательств в срок и в полном объеме, однако при этом запас прочности ограничен. Способность выполнять обязательства является уязвимой в случае ухудшения экономической конъюнктуры.</w:t>
            </w:r>
          </w:p>
        </w:tc>
      </w:tr>
      <w:tr w:rsidR="00734D82" w:rsidRPr="000028C3" w14:paraId="7D1FBE11" w14:textId="77777777" w:rsidTr="00462181">
        <w:trPr>
          <w:trHeight w:val="697"/>
        </w:trPr>
        <w:tc>
          <w:tcPr>
            <w:tcW w:w="723" w:type="pct"/>
            <w:vMerge/>
            <w:vAlign w:val="center"/>
            <w:hideMark/>
          </w:tcPr>
          <w:p w14:paraId="032F1FD4" w14:textId="77777777" w:rsidR="00734D82" w:rsidRPr="000028C3" w:rsidRDefault="00734D82" w:rsidP="0039664F"/>
        </w:tc>
        <w:tc>
          <w:tcPr>
            <w:tcW w:w="667" w:type="pct"/>
            <w:tcMar>
              <w:top w:w="0" w:type="dxa"/>
              <w:left w:w="108" w:type="dxa"/>
              <w:bottom w:w="0" w:type="dxa"/>
              <w:right w:w="108" w:type="dxa"/>
            </w:tcMar>
            <w:vAlign w:val="center"/>
            <w:hideMark/>
          </w:tcPr>
          <w:p w14:paraId="41E4B892"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w:t>
            </w:r>
          </w:p>
        </w:tc>
        <w:tc>
          <w:tcPr>
            <w:tcW w:w="3610" w:type="pct"/>
            <w:vMerge/>
            <w:vAlign w:val="center"/>
            <w:hideMark/>
          </w:tcPr>
          <w:p w14:paraId="7E89877D" w14:textId="77777777" w:rsidR="00734D82" w:rsidRPr="000028C3" w:rsidRDefault="00734D82" w:rsidP="0039664F">
            <w:pPr>
              <w:rPr>
                <w:color w:val="000000"/>
              </w:rPr>
            </w:pPr>
          </w:p>
        </w:tc>
      </w:tr>
      <w:tr w:rsidR="00734D82" w:rsidRPr="000028C3" w14:paraId="684171E6" w14:textId="77777777" w:rsidTr="00462181">
        <w:tc>
          <w:tcPr>
            <w:tcW w:w="723" w:type="pct"/>
            <w:vMerge/>
            <w:vAlign w:val="center"/>
            <w:hideMark/>
          </w:tcPr>
          <w:p w14:paraId="45CB9586" w14:textId="77777777" w:rsidR="00734D82" w:rsidRPr="000028C3" w:rsidRDefault="00734D82" w:rsidP="0039664F">
            <w:pPr>
              <w:rPr>
                <w:lang w:val="en-US"/>
              </w:rPr>
            </w:pPr>
          </w:p>
        </w:tc>
        <w:tc>
          <w:tcPr>
            <w:tcW w:w="667" w:type="pct"/>
            <w:tcMar>
              <w:top w:w="0" w:type="dxa"/>
              <w:left w:w="108" w:type="dxa"/>
              <w:bottom w:w="0" w:type="dxa"/>
              <w:right w:w="108" w:type="dxa"/>
            </w:tcMar>
            <w:vAlign w:val="center"/>
            <w:hideMark/>
          </w:tcPr>
          <w:p w14:paraId="2E341F8E"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B-</w:t>
            </w:r>
          </w:p>
        </w:tc>
        <w:tc>
          <w:tcPr>
            <w:tcW w:w="3610" w:type="pct"/>
            <w:vMerge/>
            <w:vAlign w:val="center"/>
            <w:hideMark/>
          </w:tcPr>
          <w:p w14:paraId="20AB5751" w14:textId="77777777" w:rsidR="00734D82" w:rsidRPr="000028C3" w:rsidRDefault="00734D82" w:rsidP="0039664F">
            <w:pPr>
              <w:rPr>
                <w:color w:val="000000"/>
              </w:rPr>
            </w:pPr>
          </w:p>
        </w:tc>
      </w:tr>
      <w:tr w:rsidR="00734D82" w:rsidRPr="000028C3" w14:paraId="6AF63D49" w14:textId="77777777" w:rsidTr="00462181">
        <w:tc>
          <w:tcPr>
            <w:tcW w:w="723" w:type="pct"/>
            <w:tcMar>
              <w:top w:w="0" w:type="dxa"/>
              <w:left w:w="108" w:type="dxa"/>
              <w:bottom w:w="0" w:type="dxa"/>
              <w:right w:w="108" w:type="dxa"/>
            </w:tcMar>
            <w:vAlign w:val="center"/>
            <w:hideMark/>
          </w:tcPr>
          <w:p w14:paraId="31BB7C97" w14:textId="77777777" w:rsidR="00734D82" w:rsidRPr="000028C3" w:rsidRDefault="00734D82" w:rsidP="0039664F">
            <w:pPr>
              <w:pStyle w:val="RAEXdefault"/>
              <w:rPr>
                <w:rFonts w:cs="Times New Roman"/>
              </w:rPr>
            </w:pPr>
            <w:r w:rsidRPr="000028C3">
              <w:rPr>
                <w:rFonts w:cs="Times New Roman"/>
                <w:color w:val="000000"/>
              </w:rPr>
              <w:t>CCC</w:t>
            </w:r>
          </w:p>
        </w:tc>
        <w:tc>
          <w:tcPr>
            <w:tcW w:w="667" w:type="pct"/>
            <w:tcMar>
              <w:top w:w="0" w:type="dxa"/>
              <w:left w:w="108" w:type="dxa"/>
              <w:bottom w:w="0" w:type="dxa"/>
              <w:right w:w="108" w:type="dxa"/>
            </w:tcMar>
            <w:vAlign w:val="center"/>
            <w:hideMark/>
          </w:tcPr>
          <w:p w14:paraId="00A78640"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CCC</w:t>
            </w:r>
          </w:p>
        </w:tc>
        <w:tc>
          <w:tcPr>
            <w:tcW w:w="3610" w:type="pct"/>
            <w:tcMar>
              <w:top w:w="0" w:type="dxa"/>
              <w:left w:w="108" w:type="dxa"/>
              <w:bottom w:w="0" w:type="dxa"/>
              <w:right w:w="108" w:type="dxa"/>
            </w:tcMar>
            <w:vAlign w:val="center"/>
            <w:hideMark/>
          </w:tcPr>
          <w:p w14:paraId="35D5ED1D" w14:textId="77777777" w:rsidR="00734D82" w:rsidRPr="000028C3" w:rsidRDefault="00734D82" w:rsidP="0039664F">
            <w:pPr>
              <w:pStyle w:val="Default"/>
              <w:jc w:val="both"/>
              <w:rPr>
                <w:rFonts w:ascii="Times New Roman" w:hAnsi="Times New Roman" w:cs="Times New Roman"/>
              </w:rPr>
            </w:pPr>
            <w:r w:rsidRPr="000028C3">
              <w:rPr>
                <w:rFonts w:ascii="Times New Roman" w:hAnsi="Times New Roman" w:cs="Times New Roman"/>
              </w:rPr>
              <w:t xml:space="preserve">Очень низкий уровень кредитоспособности/финансовой надежности/финансовой устойчивости по сравнению с другими объектами рейтинга в Российской Федерации. Существует значительная вероятность невыполнения объектом рейтинга своих финансовых обязательств уже в краткосрочной перспективе. </w:t>
            </w:r>
          </w:p>
        </w:tc>
      </w:tr>
      <w:tr w:rsidR="00734D82" w:rsidRPr="000028C3" w14:paraId="307FA79E" w14:textId="77777777" w:rsidTr="00462181">
        <w:tc>
          <w:tcPr>
            <w:tcW w:w="723" w:type="pct"/>
            <w:tcMar>
              <w:top w:w="0" w:type="dxa"/>
              <w:left w:w="108" w:type="dxa"/>
              <w:bottom w:w="0" w:type="dxa"/>
              <w:right w:w="108" w:type="dxa"/>
            </w:tcMar>
            <w:vAlign w:val="center"/>
            <w:hideMark/>
          </w:tcPr>
          <w:p w14:paraId="039A1754" w14:textId="77777777" w:rsidR="00734D82" w:rsidRPr="000028C3" w:rsidRDefault="00734D82" w:rsidP="0039664F">
            <w:pPr>
              <w:pStyle w:val="RAEXdefault"/>
              <w:rPr>
                <w:rFonts w:cs="Times New Roman"/>
              </w:rPr>
            </w:pPr>
            <w:r w:rsidRPr="000028C3">
              <w:rPr>
                <w:rFonts w:cs="Times New Roman"/>
                <w:color w:val="000000"/>
              </w:rPr>
              <w:t>CC</w:t>
            </w:r>
          </w:p>
        </w:tc>
        <w:tc>
          <w:tcPr>
            <w:tcW w:w="667" w:type="pct"/>
            <w:tcMar>
              <w:top w:w="0" w:type="dxa"/>
              <w:left w:w="108" w:type="dxa"/>
              <w:bottom w:w="0" w:type="dxa"/>
              <w:right w:w="108" w:type="dxa"/>
            </w:tcMar>
            <w:vAlign w:val="center"/>
            <w:hideMark/>
          </w:tcPr>
          <w:p w14:paraId="497DA418"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CC</w:t>
            </w:r>
          </w:p>
        </w:tc>
        <w:tc>
          <w:tcPr>
            <w:tcW w:w="3610" w:type="pct"/>
            <w:tcMar>
              <w:top w:w="0" w:type="dxa"/>
              <w:left w:w="108" w:type="dxa"/>
              <w:bottom w:w="0" w:type="dxa"/>
              <w:right w:w="108" w:type="dxa"/>
            </w:tcMar>
            <w:vAlign w:val="center"/>
            <w:hideMark/>
          </w:tcPr>
          <w:p w14:paraId="740CF77F" w14:textId="77777777" w:rsidR="00734D82" w:rsidRPr="000028C3" w:rsidRDefault="00734D82" w:rsidP="0039664F">
            <w:pPr>
              <w:pStyle w:val="Default"/>
              <w:jc w:val="both"/>
              <w:rPr>
                <w:rFonts w:ascii="Times New Roman" w:hAnsi="Times New Roman" w:cs="Times New Roman"/>
              </w:rPr>
            </w:pPr>
            <w:r w:rsidRPr="000028C3">
              <w:rPr>
                <w:rFonts w:ascii="Times New Roman" w:hAnsi="Times New Roman" w:cs="Times New Roman"/>
              </w:rPr>
              <w:t xml:space="preserve">Очень низкий уровень кредитоспособности/финансовой надежности/финансовой устойчивости по сравнению с другими объектами рейтинга в Российской Федерации. Существует повышенная вероятность невыполнения объектом рейтинга своих финансовых обязательств уже в краткосрочной перспективе. </w:t>
            </w:r>
          </w:p>
        </w:tc>
      </w:tr>
      <w:tr w:rsidR="00734D82" w:rsidRPr="000028C3" w14:paraId="4D6FD366" w14:textId="77777777" w:rsidTr="00462181">
        <w:tc>
          <w:tcPr>
            <w:tcW w:w="723" w:type="pct"/>
            <w:tcMar>
              <w:top w:w="0" w:type="dxa"/>
              <w:left w:w="108" w:type="dxa"/>
              <w:bottom w:w="0" w:type="dxa"/>
              <w:right w:w="108" w:type="dxa"/>
            </w:tcMar>
            <w:vAlign w:val="center"/>
            <w:hideMark/>
          </w:tcPr>
          <w:p w14:paraId="2C4E2234" w14:textId="77777777" w:rsidR="00734D82" w:rsidRPr="000028C3" w:rsidRDefault="00734D82" w:rsidP="0039664F">
            <w:pPr>
              <w:pStyle w:val="RAEXdefault"/>
              <w:rPr>
                <w:rFonts w:cs="Times New Roman"/>
              </w:rPr>
            </w:pPr>
            <w:r w:rsidRPr="000028C3">
              <w:rPr>
                <w:rFonts w:cs="Times New Roman"/>
                <w:color w:val="000000"/>
              </w:rPr>
              <w:t>C</w:t>
            </w:r>
          </w:p>
        </w:tc>
        <w:tc>
          <w:tcPr>
            <w:tcW w:w="667" w:type="pct"/>
            <w:tcMar>
              <w:top w:w="0" w:type="dxa"/>
              <w:left w:w="108" w:type="dxa"/>
              <w:bottom w:w="0" w:type="dxa"/>
              <w:right w:w="108" w:type="dxa"/>
            </w:tcMar>
            <w:vAlign w:val="center"/>
            <w:hideMark/>
          </w:tcPr>
          <w:p w14:paraId="4C82FB82"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C</w:t>
            </w:r>
          </w:p>
        </w:tc>
        <w:tc>
          <w:tcPr>
            <w:tcW w:w="3610" w:type="pct"/>
            <w:tcMar>
              <w:top w:w="0" w:type="dxa"/>
              <w:left w:w="108" w:type="dxa"/>
              <w:bottom w:w="0" w:type="dxa"/>
              <w:right w:w="108" w:type="dxa"/>
            </w:tcMar>
            <w:vAlign w:val="center"/>
            <w:hideMark/>
          </w:tcPr>
          <w:p w14:paraId="57F7832A" w14:textId="77777777" w:rsidR="00734D82" w:rsidRPr="000028C3" w:rsidRDefault="00734D82" w:rsidP="0039664F">
            <w:pPr>
              <w:pStyle w:val="Default"/>
              <w:jc w:val="both"/>
              <w:rPr>
                <w:rFonts w:ascii="Times New Roman" w:hAnsi="Times New Roman" w:cs="Times New Roman"/>
              </w:rPr>
            </w:pPr>
            <w:r w:rsidRPr="000028C3">
              <w:rPr>
                <w:rFonts w:ascii="Times New Roman" w:hAnsi="Times New Roman" w:cs="Times New Roman"/>
              </w:rPr>
              <w:t xml:space="preserve">Очень низкий уровень кредитоспособности/финансовой надежности/финансовой устойчивости по сравнению с другими объектами рейтинга в Российской Федерации. Существует очень высокая вероятность невыполнения объектом рейтинга своих финансовых обязательств уже в краткосрочной перспективе. Своевременное выполнение финансовых обязательств крайне маловероятно. </w:t>
            </w:r>
          </w:p>
        </w:tc>
      </w:tr>
      <w:tr w:rsidR="00734D82" w:rsidRPr="000028C3" w14:paraId="424091F1" w14:textId="77777777" w:rsidTr="00462181">
        <w:tc>
          <w:tcPr>
            <w:tcW w:w="723" w:type="pct"/>
            <w:tcMar>
              <w:top w:w="0" w:type="dxa"/>
              <w:left w:w="108" w:type="dxa"/>
              <w:bottom w:w="0" w:type="dxa"/>
              <w:right w:w="108" w:type="dxa"/>
            </w:tcMar>
            <w:vAlign w:val="center"/>
            <w:hideMark/>
          </w:tcPr>
          <w:p w14:paraId="560DD488" w14:textId="77777777" w:rsidR="00734D82" w:rsidRPr="000028C3" w:rsidRDefault="00734D82" w:rsidP="0039664F">
            <w:pPr>
              <w:pStyle w:val="RAEXdefault"/>
              <w:rPr>
                <w:rFonts w:cs="Times New Roman"/>
              </w:rPr>
            </w:pPr>
            <w:r w:rsidRPr="000028C3">
              <w:rPr>
                <w:rFonts w:cs="Times New Roman"/>
                <w:color w:val="000000"/>
              </w:rPr>
              <w:t>RD</w:t>
            </w:r>
            <w:r w:rsidR="0044172D" w:rsidRPr="000028C3">
              <w:rPr>
                <w:rStyle w:val="a6"/>
                <w:rFonts w:cs="Times New Roman"/>
                <w:color w:val="000000"/>
              </w:rPr>
              <w:footnoteReference w:id="1"/>
            </w:r>
          </w:p>
        </w:tc>
        <w:tc>
          <w:tcPr>
            <w:tcW w:w="667" w:type="pct"/>
            <w:tcMar>
              <w:top w:w="0" w:type="dxa"/>
              <w:left w:w="108" w:type="dxa"/>
              <w:bottom w:w="0" w:type="dxa"/>
              <w:right w:w="108" w:type="dxa"/>
            </w:tcMar>
            <w:vAlign w:val="center"/>
            <w:hideMark/>
          </w:tcPr>
          <w:p w14:paraId="6B9F557F"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RD</w:t>
            </w:r>
          </w:p>
        </w:tc>
        <w:tc>
          <w:tcPr>
            <w:tcW w:w="3610" w:type="pct"/>
            <w:tcMar>
              <w:top w:w="0" w:type="dxa"/>
              <w:left w:w="108" w:type="dxa"/>
              <w:bottom w:w="0" w:type="dxa"/>
              <w:right w:w="108" w:type="dxa"/>
            </w:tcMar>
            <w:vAlign w:val="center"/>
            <w:hideMark/>
          </w:tcPr>
          <w:p w14:paraId="5A9FDF26" w14:textId="77777777" w:rsidR="00734D82" w:rsidRPr="000028C3" w:rsidRDefault="00734D82" w:rsidP="0039664F">
            <w:pPr>
              <w:pStyle w:val="Default"/>
              <w:jc w:val="both"/>
              <w:rPr>
                <w:rFonts w:ascii="Times New Roman" w:hAnsi="Times New Roman" w:cs="Times New Roman"/>
              </w:rPr>
            </w:pPr>
            <w:r w:rsidRPr="000028C3">
              <w:rPr>
                <w:rFonts w:ascii="Times New Roman" w:hAnsi="Times New Roman" w:cs="Times New Roman"/>
              </w:rPr>
              <w:t>Объект рейтинга находится под надзором органов государственного регулирования, которые могут определять приоритетность одних обязательств перед другими. При этом дефолт Агентством не зафиксирован.</w:t>
            </w:r>
          </w:p>
        </w:tc>
      </w:tr>
      <w:tr w:rsidR="00734D82" w:rsidRPr="000028C3" w14:paraId="73322AA3" w14:textId="77777777" w:rsidTr="00462181">
        <w:tc>
          <w:tcPr>
            <w:tcW w:w="723" w:type="pct"/>
            <w:tcMar>
              <w:top w:w="0" w:type="dxa"/>
              <w:left w:w="108" w:type="dxa"/>
              <w:bottom w:w="0" w:type="dxa"/>
              <w:right w:w="108" w:type="dxa"/>
            </w:tcMar>
            <w:vAlign w:val="center"/>
            <w:hideMark/>
          </w:tcPr>
          <w:p w14:paraId="422B9BEC" w14:textId="77777777" w:rsidR="00734D82" w:rsidRPr="000028C3" w:rsidRDefault="00734D82" w:rsidP="0039664F">
            <w:pPr>
              <w:pStyle w:val="RAEXdefault"/>
              <w:rPr>
                <w:rFonts w:cs="Times New Roman"/>
              </w:rPr>
            </w:pPr>
            <w:r w:rsidRPr="000028C3">
              <w:rPr>
                <w:rFonts w:cs="Times New Roman"/>
                <w:color w:val="000000"/>
              </w:rPr>
              <w:t>D</w:t>
            </w:r>
          </w:p>
        </w:tc>
        <w:tc>
          <w:tcPr>
            <w:tcW w:w="667" w:type="pct"/>
            <w:tcMar>
              <w:top w:w="0" w:type="dxa"/>
              <w:left w:w="108" w:type="dxa"/>
              <w:bottom w:w="0" w:type="dxa"/>
              <w:right w:w="108" w:type="dxa"/>
            </w:tcMar>
            <w:vAlign w:val="center"/>
            <w:hideMark/>
          </w:tcPr>
          <w:p w14:paraId="1E09909E" w14:textId="77777777" w:rsidR="00734D82" w:rsidRPr="000028C3" w:rsidRDefault="00734D82" w:rsidP="0039664F">
            <w:pPr>
              <w:rPr>
                <w:color w:val="000000"/>
              </w:rPr>
            </w:pPr>
            <w:proofErr w:type="spellStart"/>
            <w:r w:rsidRPr="000028C3">
              <w:rPr>
                <w:color w:val="000000"/>
                <w:lang w:val="en-US"/>
              </w:rPr>
              <w:t>ru</w:t>
            </w:r>
            <w:proofErr w:type="spellEnd"/>
            <w:r w:rsidRPr="000028C3">
              <w:rPr>
                <w:color w:val="000000"/>
              </w:rPr>
              <w:t>D</w:t>
            </w:r>
          </w:p>
        </w:tc>
        <w:tc>
          <w:tcPr>
            <w:tcW w:w="3610" w:type="pct"/>
            <w:tcMar>
              <w:top w:w="0" w:type="dxa"/>
              <w:left w:w="108" w:type="dxa"/>
              <w:bottom w:w="0" w:type="dxa"/>
              <w:right w:w="108" w:type="dxa"/>
            </w:tcMar>
            <w:vAlign w:val="center"/>
            <w:hideMark/>
          </w:tcPr>
          <w:p w14:paraId="6FFDB5BE" w14:textId="77777777" w:rsidR="00734D82" w:rsidRPr="000028C3" w:rsidRDefault="00734D82" w:rsidP="0039664F">
            <w:pPr>
              <w:pStyle w:val="Default"/>
              <w:jc w:val="both"/>
              <w:rPr>
                <w:rFonts w:ascii="Times New Roman" w:hAnsi="Times New Roman" w:cs="Times New Roman"/>
              </w:rPr>
            </w:pPr>
            <w:r w:rsidRPr="000028C3">
              <w:rPr>
                <w:rFonts w:ascii="Times New Roman" w:hAnsi="Times New Roman" w:cs="Times New Roman"/>
              </w:rPr>
              <w:t xml:space="preserve">Объект рейтинга находится в состоянии дефолта. </w:t>
            </w:r>
          </w:p>
        </w:tc>
      </w:tr>
    </w:tbl>
    <w:p w14:paraId="669AAFB7" w14:textId="77777777" w:rsidR="00734D82" w:rsidRPr="000028C3" w:rsidRDefault="00734D82" w:rsidP="0039664F">
      <w:pPr>
        <w:jc w:val="both"/>
      </w:pPr>
    </w:p>
    <w:p w14:paraId="49BBCE52" w14:textId="77777777" w:rsidR="0079661C" w:rsidRPr="000028C3" w:rsidRDefault="0079661C" w:rsidP="0098669D">
      <w:pPr>
        <w:pStyle w:val="1"/>
        <w:numPr>
          <w:ilvl w:val="1"/>
          <w:numId w:val="8"/>
        </w:numPr>
        <w:tabs>
          <w:tab w:val="clear" w:pos="0"/>
        </w:tabs>
        <w:suppressAutoHyphens/>
        <w:spacing w:before="0" w:after="0"/>
        <w:ind w:left="567" w:hanging="567"/>
        <w:rPr>
          <w:rFonts w:ascii="Times New Roman" w:hAnsi="Times New Roman" w:cs="Times New Roman"/>
          <w:kern w:val="1"/>
          <w:sz w:val="28"/>
          <w:szCs w:val="28"/>
          <w:lang w:eastAsia="ar-SA"/>
        </w:rPr>
      </w:pPr>
      <w:bookmarkStart w:id="6" w:name="_Toc470863357"/>
      <w:bookmarkStart w:id="7" w:name="_Toc39667604"/>
      <w:r w:rsidRPr="000028C3">
        <w:rPr>
          <w:rFonts w:ascii="Times New Roman" w:hAnsi="Times New Roman" w:cs="Times New Roman"/>
          <w:kern w:val="1"/>
          <w:sz w:val="28"/>
          <w:szCs w:val="28"/>
          <w:lang w:eastAsia="ar-SA"/>
        </w:rPr>
        <w:t>Определение дефолта</w:t>
      </w:r>
      <w:bookmarkEnd w:id="6"/>
      <w:bookmarkEnd w:id="7"/>
    </w:p>
    <w:p w14:paraId="44E6EB64" w14:textId="77777777" w:rsidR="0079661C" w:rsidRPr="000028C3" w:rsidRDefault="0079661C" w:rsidP="0039664F"/>
    <w:p w14:paraId="69E13FBB" w14:textId="77777777" w:rsidR="0079661C" w:rsidRPr="000028C3" w:rsidRDefault="0079661C" w:rsidP="0039664F">
      <w:pPr>
        <w:pStyle w:val="ad"/>
        <w:spacing w:before="0" w:beforeAutospacing="0" w:after="0" w:afterAutospacing="0"/>
        <w:ind w:firstLine="567"/>
        <w:jc w:val="both"/>
      </w:pPr>
      <w:r w:rsidRPr="000028C3">
        <w:t>Агентство трактует как наступление дефолта любое из следующих событий:</w:t>
      </w:r>
    </w:p>
    <w:p w14:paraId="0156D210" w14:textId="075415D5" w:rsidR="0079661C" w:rsidRPr="000028C3" w:rsidRDefault="0079661C" w:rsidP="0098669D">
      <w:pPr>
        <w:pStyle w:val="ad"/>
        <w:numPr>
          <w:ilvl w:val="0"/>
          <w:numId w:val="36"/>
        </w:numPr>
        <w:suppressAutoHyphens/>
        <w:spacing w:before="0" w:beforeAutospacing="0" w:after="0" w:afterAutospacing="0"/>
        <w:jc w:val="both"/>
      </w:pPr>
      <w:r w:rsidRPr="000028C3">
        <w:lastRenderedPageBreak/>
        <w:t>неисполнение обязательств по облигациям по истечении технического дефолта (более 10 рабочих дней / более короткого срока, если он определен условиями выпуска облигаций), включая невыплату очередного процентного дохода (купона) по облигациям, непогашение номинальной стоимости облигации, неисполнение обязательства по приобретению облигаций, если такое обязательство предусмотрено условиями выпуска (выкуп по оферте);</w:t>
      </w:r>
    </w:p>
    <w:p w14:paraId="7AC55D37" w14:textId="2FC0196A" w:rsidR="0079661C" w:rsidRPr="000028C3" w:rsidRDefault="0079661C" w:rsidP="0098669D">
      <w:pPr>
        <w:pStyle w:val="ad"/>
        <w:numPr>
          <w:ilvl w:val="0"/>
          <w:numId w:val="36"/>
        </w:numPr>
        <w:suppressAutoHyphens/>
        <w:spacing w:before="0" w:beforeAutospacing="0" w:after="0" w:afterAutospacing="0"/>
        <w:jc w:val="both"/>
      </w:pPr>
      <w:r w:rsidRPr="000028C3">
        <w:t>неисполнение иных финансовых обязательств, имеющих возвратную и платную природу (более 30 рабочих дней);</w:t>
      </w:r>
    </w:p>
    <w:p w14:paraId="00960A09" w14:textId="77777777" w:rsidR="0079661C" w:rsidRPr="000028C3" w:rsidRDefault="0079661C" w:rsidP="0098669D">
      <w:pPr>
        <w:pStyle w:val="ad"/>
        <w:numPr>
          <w:ilvl w:val="0"/>
          <w:numId w:val="36"/>
        </w:numPr>
        <w:suppressAutoHyphens/>
        <w:spacing w:before="0" w:beforeAutospacing="0" w:after="0" w:afterAutospacing="0"/>
        <w:jc w:val="both"/>
      </w:pPr>
      <w:r w:rsidRPr="000028C3">
        <w:t>неисполнение финансовых обязательств, платный характер которых формально не определен, по прошествии 10 рабочих дней с момента вступления в силу соответствующего решения суда;</w:t>
      </w:r>
    </w:p>
    <w:p w14:paraId="170BAE73" w14:textId="77777777" w:rsidR="0079661C" w:rsidRPr="000028C3" w:rsidRDefault="0079661C" w:rsidP="0098669D">
      <w:pPr>
        <w:pStyle w:val="ad"/>
        <w:numPr>
          <w:ilvl w:val="0"/>
          <w:numId w:val="36"/>
        </w:numPr>
        <w:suppressAutoHyphens/>
        <w:spacing w:before="0" w:beforeAutospacing="0" w:after="0" w:afterAutospacing="0"/>
        <w:jc w:val="both"/>
      </w:pPr>
      <w:r w:rsidRPr="000028C3">
        <w:t>произошедшая в течение последних двух месяцев реструктуризация долговых обязательств, при которой инвесторы получают менее привлекательные условия в сравнении с теми, которые были предусмотрены первоначальным договором по этим обязательствам (например, конвертация субординированных обязательств в акции, если она была предусмотрена действующим договором, не считается дефолтом)</w:t>
      </w:r>
      <w:r w:rsidRPr="000028C3">
        <w:rPr>
          <w:rStyle w:val="a6"/>
        </w:rPr>
        <w:footnoteReference w:id="2"/>
      </w:r>
      <w:r w:rsidR="006C6086" w:rsidRPr="000028C3">
        <w:t>;</w:t>
      </w:r>
    </w:p>
    <w:p w14:paraId="36302794" w14:textId="77777777" w:rsidR="0079661C" w:rsidRPr="000028C3" w:rsidRDefault="0079661C" w:rsidP="0098669D">
      <w:pPr>
        <w:pStyle w:val="ad"/>
        <w:numPr>
          <w:ilvl w:val="0"/>
          <w:numId w:val="36"/>
        </w:numPr>
        <w:suppressAutoHyphens/>
        <w:spacing w:before="0" w:beforeAutospacing="0" w:after="0" w:afterAutospacing="0"/>
        <w:jc w:val="both"/>
      </w:pPr>
      <w:r w:rsidRPr="000028C3">
        <w:t>положительное решение суда по вопросу признания компании банкротом.</w:t>
      </w:r>
    </w:p>
    <w:p w14:paraId="706B27C6" w14:textId="77777777" w:rsidR="0079661C" w:rsidRPr="000028C3" w:rsidRDefault="0079661C" w:rsidP="0039664F">
      <w:pPr>
        <w:pStyle w:val="ad"/>
        <w:spacing w:before="0" w:beforeAutospacing="0" w:after="0" w:afterAutospacing="0"/>
        <w:ind w:firstLine="567"/>
        <w:jc w:val="both"/>
      </w:pPr>
    </w:p>
    <w:p w14:paraId="59E1D8B4" w14:textId="77777777" w:rsidR="0079661C" w:rsidRPr="000028C3" w:rsidRDefault="0079661C" w:rsidP="0039664F">
      <w:pPr>
        <w:pStyle w:val="ad"/>
        <w:spacing w:before="0" w:beforeAutospacing="0" w:after="0" w:afterAutospacing="0"/>
        <w:ind w:firstLine="567"/>
        <w:jc w:val="both"/>
      </w:pPr>
      <w:r w:rsidRPr="000028C3">
        <w:t xml:space="preserve">Датой наступления дефолта считается </w:t>
      </w:r>
      <w:r w:rsidR="008831AF" w:rsidRPr="000028C3">
        <w:t xml:space="preserve">дата наступления первого (либо единственного) из указанных выше событий. При этом датой наступления событий 1-3 считается первый день после истечения </w:t>
      </w:r>
      <w:r w:rsidRPr="000028C3">
        <w:t xml:space="preserve">истечение соответствующего срока с первого зафиксированного </w:t>
      </w:r>
      <w:r w:rsidR="00D97306" w:rsidRPr="000028C3">
        <w:t>А</w:t>
      </w:r>
      <w:r w:rsidRPr="000028C3">
        <w:t xml:space="preserve">гентством дня неисполнения обязательств. </w:t>
      </w:r>
    </w:p>
    <w:p w14:paraId="4843624F" w14:textId="77777777" w:rsidR="0079661C" w:rsidRPr="000028C3" w:rsidRDefault="0079661C" w:rsidP="0039664F">
      <w:pPr>
        <w:pStyle w:val="ad"/>
        <w:spacing w:before="0" w:beforeAutospacing="0" w:after="0" w:afterAutospacing="0"/>
        <w:jc w:val="both"/>
        <w:rPr>
          <w:highlight w:val="yellow"/>
        </w:rPr>
      </w:pPr>
    </w:p>
    <w:p w14:paraId="5C1F4046" w14:textId="77777777" w:rsidR="0079661C" w:rsidRPr="000028C3" w:rsidRDefault="0079661C" w:rsidP="0098669D">
      <w:pPr>
        <w:pStyle w:val="1"/>
        <w:numPr>
          <w:ilvl w:val="1"/>
          <w:numId w:val="8"/>
        </w:numPr>
        <w:tabs>
          <w:tab w:val="clear" w:pos="0"/>
        </w:tabs>
        <w:suppressAutoHyphens/>
        <w:spacing w:before="0" w:after="0"/>
        <w:ind w:left="567" w:hanging="567"/>
        <w:rPr>
          <w:rFonts w:ascii="Times New Roman" w:hAnsi="Times New Roman" w:cs="Times New Roman"/>
          <w:kern w:val="1"/>
          <w:sz w:val="28"/>
          <w:szCs w:val="28"/>
          <w:lang w:eastAsia="ar-SA"/>
        </w:rPr>
      </w:pPr>
      <w:bookmarkStart w:id="8" w:name="_Toc470863358"/>
      <w:bookmarkStart w:id="9" w:name="_Toc39667605"/>
      <w:r w:rsidRPr="000028C3">
        <w:rPr>
          <w:rFonts w:ascii="Times New Roman" w:hAnsi="Times New Roman" w:cs="Times New Roman"/>
          <w:kern w:val="1"/>
          <w:sz w:val="28"/>
          <w:szCs w:val="28"/>
          <w:lang w:eastAsia="ar-SA"/>
        </w:rPr>
        <w:t>Ключевые рейтинговые предположения, предпосылки и допущения</w:t>
      </w:r>
      <w:bookmarkEnd w:id="8"/>
      <w:bookmarkEnd w:id="9"/>
    </w:p>
    <w:p w14:paraId="35F19386" w14:textId="77777777" w:rsidR="0079661C" w:rsidRPr="000028C3" w:rsidRDefault="0079661C" w:rsidP="0039664F"/>
    <w:p w14:paraId="0FB54A35" w14:textId="77777777" w:rsidR="0079661C" w:rsidRPr="000028C3" w:rsidRDefault="0079661C" w:rsidP="0039664F">
      <w:pPr>
        <w:pStyle w:val="ad"/>
        <w:spacing w:before="0" w:beforeAutospacing="0" w:after="0" w:afterAutospacing="0"/>
        <w:jc w:val="both"/>
      </w:pPr>
      <w:r w:rsidRPr="000028C3">
        <w:t>Ключевые рейтинговые предположения, предпосылки и допущения:</w:t>
      </w:r>
    </w:p>
    <w:p w14:paraId="38EC9484" w14:textId="77777777" w:rsidR="0079661C" w:rsidRPr="000028C3" w:rsidRDefault="0079661C" w:rsidP="0098669D">
      <w:pPr>
        <w:pStyle w:val="ConsPlusNormal"/>
        <w:numPr>
          <w:ilvl w:val="0"/>
          <w:numId w:val="11"/>
        </w:numPr>
        <w:ind w:left="1276" w:hanging="283"/>
        <w:jc w:val="both"/>
      </w:pPr>
      <w:r w:rsidRPr="000028C3">
        <w:t xml:space="preserve">Существует устойчивая причинно-следственная связь между кредитоспособностью (уровнем рейтинга) объекта рейтинга и количественными и качественными факторами, перечисленными в настоящей методологии. </w:t>
      </w:r>
    </w:p>
    <w:p w14:paraId="670A6DCF" w14:textId="77777777" w:rsidR="0079661C" w:rsidRPr="000028C3" w:rsidRDefault="0079661C" w:rsidP="0098669D">
      <w:pPr>
        <w:pStyle w:val="ConsPlusNormal"/>
        <w:numPr>
          <w:ilvl w:val="0"/>
          <w:numId w:val="11"/>
        </w:numPr>
        <w:ind w:left="1276" w:hanging="283"/>
        <w:jc w:val="both"/>
      </w:pPr>
      <w:r w:rsidRPr="000028C3">
        <w:t xml:space="preserve">Количественные и качественные факторы, используемые в методологии, могут влиять на кредитоспособность линейно и нелинейно, зависимость может быть прямой и обратной. Нелинейность зависимости отдельных факторов выражается в использовании стресс-факторов и факторов поддержки, которые оказывают значительное влияние на рейтинг. </w:t>
      </w:r>
    </w:p>
    <w:p w14:paraId="16238095" w14:textId="77777777" w:rsidR="0079661C" w:rsidRPr="000028C3" w:rsidRDefault="0079661C" w:rsidP="0098669D">
      <w:pPr>
        <w:pStyle w:val="ConsPlusNormal"/>
        <w:numPr>
          <w:ilvl w:val="0"/>
          <w:numId w:val="11"/>
        </w:numPr>
        <w:ind w:left="1276" w:hanging="283"/>
        <w:jc w:val="both"/>
      </w:pPr>
      <w:r w:rsidRPr="000028C3">
        <w:t xml:space="preserve">Вес каждого фактора методологии определяется на основании степени его влияния на кредитоспособность. Итоговое рейтинговое число получается путем взвешивания баллов за каждый фактор и весов соответствующих факторов.  </w:t>
      </w:r>
    </w:p>
    <w:p w14:paraId="6B089A8F" w14:textId="77777777" w:rsidR="0079661C" w:rsidRPr="000028C3" w:rsidRDefault="0079661C" w:rsidP="0098669D">
      <w:pPr>
        <w:pStyle w:val="ConsPlusNormal"/>
        <w:numPr>
          <w:ilvl w:val="0"/>
          <w:numId w:val="11"/>
        </w:numPr>
        <w:ind w:left="1276" w:hanging="283"/>
        <w:jc w:val="both"/>
      </w:pPr>
      <w:r w:rsidRPr="000028C3">
        <w:lastRenderedPageBreak/>
        <w:t>Показатели могут иметь интервал чувствительности, за пределами которого изменение показателя не оказывает влияния на кредитоспособность. Так, превышение значением показателя бенчмарка, соответствующего максимальной оценке (для показателей, имеющих положительную корреляцию с кредитоспособностью), не оказывает позитивного влияния на кредитоспособность. Если значение показателя ниже бенчмарка, соответствующего максимальной оценке (для показателей, имеющих отрицательную корреляцию с кредитоспособностью), то оно не оказывает позитивного влияния на кредитоспособность. Если значение показателя ниже бенчмарка, соответствующего минимальной оценке (для показателей, имеющих положительную корреляцию с кредитоспособностью), то оно не оказывает отрицательного влияния на кредитоспособность для показателей, для которых не предусмотрены стресс-факторы. Превышение значением показателя бенчмарка, соответствующего минимальной оценке (для показателей, имеющих отрицательную корреляцию с кредитоспособностью), не оказывает негативного влияния на кредитоспособность, если для показателя не предусмотрен стресс-фактор.</w:t>
      </w:r>
    </w:p>
    <w:p w14:paraId="441E5643" w14:textId="77777777" w:rsidR="0079661C" w:rsidRPr="000028C3" w:rsidRDefault="0079661C" w:rsidP="0098669D">
      <w:pPr>
        <w:pStyle w:val="ConsPlusNormal"/>
        <w:numPr>
          <w:ilvl w:val="0"/>
          <w:numId w:val="11"/>
        </w:numPr>
        <w:ind w:left="1276" w:hanging="283"/>
        <w:jc w:val="both"/>
      </w:pPr>
      <w:r w:rsidRPr="000028C3">
        <w:t>Макроэкономическая ситуация относительно стабильна, ее динамика близка к равновесным процессам. В частности, отсутствуют факторы, которые могли бы спровоцировать внезапную гиперинфляцию, массовые банкротства, социальную нестабильность. Также отсутствуют факторы форс-мажора: масштабные природные и техногенные катастрофы, затрагивающие значительную часть страны, широкомасштабные вооруженные конфликты и тому подобное.</w:t>
      </w:r>
    </w:p>
    <w:p w14:paraId="5AE01AFC" w14:textId="77777777" w:rsidR="0079661C" w:rsidRPr="000028C3" w:rsidRDefault="0079661C" w:rsidP="0039664F">
      <w:pPr>
        <w:pStyle w:val="ConsPlusNormal"/>
        <w:jc w:val="both"/>
        <w:rPr>
          <w:highlight w:val="yellow"/>
        </w:rPr>
      </w:pPr>
    </w:p>
    <w:p w14:paraId="62781CCC" w14:textId="77777777" w:rsidR="0079661C" w:rsidRPr="000028C3" w:rsidRDefault="0079661C" w:rsidP="0098669D">
      <w:pPr>
        <w:pStyle w:val="1"/>
        <w:numPr>
          <w:ilvl w:val="1"/>
          <w:numId w:val="8"/>
        </w:numPr>
        <w:tabs>
          <w:tab w:val="clear" w:pos="0"/>
        </w:tabs>
        <w:suppressAutoHyphens/>
        <w:spacing w:before="0" w:after="0"/>
        <w:ind w:left="567" w:hanging="567"/>
        <w:rPr>
          <w:rFonts w:ascii="Times New Roman" w:hAnsi="Times New Roman" w:cs="Times New Roman"/>
          <w:kern w:val="1"/>
          <w:sz w:val="28"/>
          <w:szCs w:val="28"/>
          <w:lang w:eastAsia="ar-SA"/>
        </w:rPr>
      </w:pPr>
      <w:bookmarkStart w:id="10" w:name="_Toc470863359"/>
      <w:bookmarkStart w:id="11" w:name="_Toc39667606"/>
      <w:r w:rsidRPr="000028C3">
        <w:rPr>
          <w:rFonts w:ascii="Times New Roman" w:hAnsi="Times New Roman" w:cs="Times New Roman"/>
          <w:kern w:val="1"/>
          <w:sz w:val="28"/>
          <w:szCs w:val="28"/>
          <w:lang w:eastAsia="ar-SA"/>
        </w:rPr>
        <w:t>Общие положения</w:t>
      </w:r>
      <w:bookmarkEnd w:id="10"/>
      <w:bookmarkEnd w:id="11"/>
    </w:p>
    <w:p w14:paraId="34F5A37D" w14:textId="77777777" w:rsidR="0079661C" w:rsidRPr="000028C3" w:rsidRDefault="0079661C" w:rsidP="0039664F">
      <w:pPr>
        <w:rPr>
          <w:highlight w:val="yellow"/>
        </w:rPr>
      </w:pPr>
    </w:p>
    <w:p w14:paraId="4E8DC308" w14:textId="77777777" w:rsidR="0079661C" w:rsidRPr="000028C3" w:rsidRDefault="0079661C" w:rsidP="0039664F">
      <w:pPr>
        <w:pStyle w:val="ad"/>
        <w:spacing w:before="0" w:beforeAutospacing="0" w:after="0" w:afterAutospacing="0"/>
        <w:ind w:firstLine="567"/>
        <w:jc w:val="both"/>
      </w:pPr>
      <w:r w:rsidRPr="000028C3">
        <w:t>В соответствии с Федеральным законом Российской Федерации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кредитное рейтинговое агентство «Эксперт РА» не допускает отступлений от применяемой методологии на систематической основе.</w:t>
      </w:r>
    </w:p>
    <w:p w14:paraId="2F7FF4D5" w14:textId="77777777" w:rsidR="0079661C" w:rsidRPr="000028C3" w:rsidRDefault="0079661C" w:rsidP="0039664F">
      <w:pPr>
        <w:pStyle w:val="ad"/>
        <w:spacing w:before="0" w:beforeAutospacing="0" w:after="0" w:afterAutospacing="0"/>
        <w:ind w:firstLine="567"/>
        <w:jc w:val="both"/>
      </w:pPr>
      <w:r w:rsidRPr="000028C3">
        <w:t>Методологии кредитного рейтингового агентства предусматривают сопоставимость кредитных рейтингов между собой. Указанная сопоставимость обеспечивается за счет калибровки методологий в рамках процедур валидации.</w:t>
      </w:r>
    </w:p>
    <w:p w14:paraId="5AE04A92" w14:textId="77777777" w:rsidR="0079661C" w:rsidRPr="000028C3" w:rsidRDefault="0079661C" w:rsidP="0039664F">
      <w:pPr>
        <w:pStyle w:val="ad"/>
        <w:spacing w:before="0" w:beforeAutospacing="0" w:after="0" w:afterAutospacing="0"/>
        <w:ind w:firstLine="567"/>
        <w:jc w:val="both"/>
      </w:pPr>
      <w:r w:rsidRPr="000028C3">
        <w:t xml:space="preserve">Настоящая методология предусматривает системное применение методологии, моделей, ключевых рейтинговых предположений как единого комплекса. Никакие заключения, сделанные на основании части настоящей методологии, не могут рассматриваться в качестве полноценных выводов; данная методология может использоваться только системно. Рейтинг может быть присвоен только на основании анализа всех ключевых показателей, используемых в настоящей методологии. </w:t>
      </w:r>
    </w:p>
    <w:p w14:paraId="6999AFE8" w14:textId="77777777" w:rsidR="0079661C" w:rsidRPr="000028C3" w:rsidRDefault="0079661C" w:rsidP="0039664F">
      <w:pPr>
        <w:pStyle w:val="ad"/>
        <w:spacing w:before="0" w:beforeAutospacing="0" w:after="0" w:afterAutospacing="0"/>
        <w:ind w:firstLine="567"/>
        <w:jc w:val="both"/>
      </w:pPr>
      <w:r w:rsidRPr="000028C3">
        <w:t>Данная методология должна быть пересмотрена методологическим комитетом в следующих случаях:</w:t>
      </w:r>
    </w:p>
    <w:p w14:paraId="47FE5490" w14:textId="0B45E342" w:rsidR="0079661C" w:rsidRPr="000028C3" w:rsidRDefault="0079661C" w:rsidP="0098669D">
      <w:pPr>
        <w:pStyle w:val="ad"/>
        <w:numPr>
          <w:ilvl w:val="0"/>
          <w:numId w:val="9"/>
        </w:numPr>
        <w:suppressAutoHyphens/>
        <w:spacing w:before="0" w:beforeAutospacing="0" w:after="0" w:afterAutospacing="0"/>
        <w:ind w:left="1276" w:hanging="283"/>
        <w:jc w:val="both"/>
      </w:pPr>
      <w:r w:rsidRPr="000028C3">
        <w:t xml:space="preserve">отступление от настоящей методологии более трех раз в календарный квартал, если применяемая методология не учитывает или учитывает некорректно особенности объекта рейтинга и следование применяемой методологии может привести к искажению кредитного рейтинга </w:t>
      </w:r>
      <w:r w:rsidR="002955F4" w:rsidRPr="008B6610">
        <w:t xml:space="preserve">и (или) </w:t>
      </w:r>
      <w:r w:rsidRPr="000028C3">
        <w:t>прогноза по кредитному рейтингу;</w:t>
      </w:r>
    </w:p>
    <w:p w14:paraId="02FEE6C4" w14:textId="77777777" w:rsidR="0079661C" w:rsidRPr="000028C3" w:rsidRDefault="0079661C" w:rsidP="0098669D">
      <w:pPr>
        <w:pStyle w:val="ad"/>
        <w:numPr>
          <w:ilvl w:val="0"/>
          <w:numId w:val="9"/>
        </w:numPr>
        <w:suppressAutoHyphens/>
        <w:spacing w:before="0" w:beforeAutospacing="0" w:after="0" w:afterAutospacing="0"/>
        <w:ind w:left="1276" w:hanging="283"/>
        <w:jc w:val="both"/>
      </w:pPr>
      <w:r w:rsidRPr="000028C3">
        <w:lastRenderedPageBreak/>
        <w:t>изменения нормативной базы, которые могут оказать существенное влияние на объекты рейтинга (ухудшить конкурентные позиции, уменьшить размер собственных средств, потребовать значительных капитальных вложений и так далее);</w:t>
      </w:r>
    </w:p>
    <w:p w14:paraId="07E7A780" w14:textId="77777777" w:rsidR="0079661C" w:rsidRPr="000028C3" w:rsidRDefault="0079661C" w:rsidP="0098669D">
      <w:pPr>
        <w:pStyle w:val="ad"/>
        <w:numPr>
          <w:ilvl w:val="0"/>
          <w:numId w:val="9"/>
        </w:numPr>
        <w:suppressAutoHyphens/>
        <w:spacing w:before="0" w:beforeAutospacing="0" w:after="0" w:afterAutospacing="0"/>
        <w:ind w:left="1276" w:hanging="283"/>
        <w:jc w:val="both"/>
      </w:pPr>
      <w:r w:rsidRPr="000028C3">
        <w:t>истечение 12 месяцев с даты последнего пересмотра настоящей методологии;</w:t>
      </w:r>
    </w:p>
    <w:p w14:paraId="5D11991D" w14:textId="77777777" w:rsidR="0079661C" w:rsidRPr="000028C3" w:rsidRDefault="0079661C" w:rsidP="0098669D">
      <w:pPr>
        <w:pStyle w:val="ad"/>
        <w:numPr>
          <w:ilvl w:val="0"/>
          <w:numId w:val="9"/>
        </w:numPr>
        <w:suppressAutoHyphens/>
        <w:spacing w:before="0" w:beforeAutospacing="0" w:after="0" w:afterAutospacing="0"/>
        <w:ind w:left="1276" w:hanging="283"/>
        <w:jc w:val="both"/>
      </w:pPr>
      <w:r w:rsidRPr="000028C3">
        <w:t>необходимость пересмотра на основании мониторинга применения методологии, проводимого сотрудниками методологического отдела;</w:t>
      </w:r>
    </w:p>
    <w:p w14:paraId="072BE68A" w14:textId="77777777" w:rsidR="0079661C" w:rsidRPr="000028C3" w:rsidRDefault="0079661C" w:rsidP="0098669D">
      <w:pPr>
        <w:pStyle w:val="ad"/>
        <w:numPr>
          <w:ilvl w:val="0"/>
          <w:numId w:val="9"/>
        </w:numPr>
        <w:suppressAutoHyphens/>
        <w:spacing w:before="0" w:beforeAutospacing="0" w:after="0" w:afterAutospacing="0"/>
        <w:ind w:left="1276" w:hanging="283"/>
        <w:jc w:val="both"/>
      </w:pPr>
      <w:r w:rsidRPr="000028C3">
        <w:t>выявление несоответствия требованиям Федерального закона от 13.07.2015 г.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p>
    <w:p w14:paraId="3A37EDBC" w14:textId="77777777" w:rsidR="00E43F19" w:rsidRPr="000028C3" w:rsidRDefault="00E43F19" w:rsidP="0039664F">
      <w:pPr>
        <w:pStyle w:val="ad"/>
        <w:spacing w:before="0" w:beforeAutospacing="0" w:after="0" w:afterAutospacing="0"/>
        <w:ind w:firstLine="567"/>
        <w:jc w:val="both"/>
        <w:rPr>
          <w:highlight w:val="yellow"/>
        </w:rPr>
      </w:pPr>
    </w:p>
    <w:p w14:paraId="0EA82895" w14:textId="77777777" w:rsidR="0079661C" w:rsidRPr="000028C3" w:rsidRDefault="0079661C" w:rsidP="0039664F">
      <w:pPr>
        <w:pStyle w:val="ad"/>
        <w:spacing w:before="0" w:beforeAutospacing="0" w:after="0" w:afterAutospacing="0"/>
        <w:ind w:firstLine="567"/>
        <w:jc w:val="both"/>
      </w:pPr>
      <w:r w:rsidRPr="000028C3">
        <w:t xml:space="preserve">При использовании методологии каждый случай отступления от нее документируется и раскрывается на официальном сайте по адресу </w:t>
      </w:r>
      <w:hyperlink r:id="rId8" w:history="1">
        <w:r w:rsidRPr="000028C3">
          <w:rPr>
            <w:rStyle w:val="a7"/>
            <w:color w:val="auto"/>
          </w:rPr>
          <w:t>www.raexpert.ru</w:t>
        </w:r>
      </w:hyperlink>
      <w:r w:rsidRPr="000028C3">
        <w:t xml:space="preserve"> при опубликовании кредитного рейтинга или прогноза по кредитному рейтингу с указанием причины такого отступления.</w:t>
      </w:r>
    </w:p>
    <w:p w14:paraId="64298317" w14:textId="656EDDB7" w:rsidR="0079661C" w:rsidRPr="000028C3" w:rsidRDefault="0079661C" w:rsidP="0039664F">
      <w:pPr>
        <w:pStyle w:val="ad"/>
        <w:spacing w:before="0" w:beforeAutospacing="0" w:after="0" w:afterAutospacing="0"/>
        <w:ind w:firstLine="567"/>
        <w:jc w:val="both"/>
      </w:pPr>
      <w:r w:rsidRPr="000028C3">
        <w:t xml:space="preserve">При обнаружении в данной методологии ошибок, которые повлияли или могут повлиять на кредитные рейтинги </w:t>
      </w:r>
      <w:r w:rsidR="002955F4" w:rsidRPr="008B6610">
        <w:t xml:space="preserve">и (или) </w:t>
      </w:r>
      <w:r w:rsidRPr="000028C3">
        <w:t xml:space="preserve">прогнозы по кредитным рейтингам, «Эксперт РА» проводит ее анализ и пересмотр в соответствии с установленными внутренними процедурами. Информация о данных действиях и новая версия методологии направляются в Банк России в установленном им порядке. Если выявленные ошибки методологии оказывают влияние на присвоенные ранее кредитные рейтинги, «Эксперт РА» раскрывает данную информацию на официальном сайте по адресу </w:t>
      </w:r>
      <w:hyperlink r:id="rId9" w:history="1">
        <w:r w:rsidRPr="000028C3">
          <w:rPr>
            <w:rStyle w:val="a7"/>
            <w:color w:val="auto"/>
          </w:rPr>
          <w:t>www.raexpert.ru</w:t>
        </w:r>
      </w:hyperlink>
      <w:r w:rsidRPr="000028C3">
        <w:t>.</w:t>
      </w:r>
    </w:p>
    <w:p w14:paraId="2796F494" w14:textId="77777777" w:rsidR="0079661C" w:rsidRPr="000028C3" w:rsidRDefault="0079661C" w:rsidP="0039664F">
      <w:pPr>
        <w:pStyle w:val="ad"/>
        <w:spacing w:before="0" w:beforeAutospacing="0" w:after="0" w:afterAutospacing="0"/>
        <w:ind w:firstLine="567"/>
        <w:jc w:val="both"/>
      </w:pPr>
      <w:r w:rsidRPr="000028C3">
        <w:t>Если планируемые изменения методологии являются существенными и оказывают или могут оказать влияние на действующие кредитные рейтинги, «Эксперт РА»:</w:t>
      </w:r>
    </w:p>
    <w:p w14:paraId="6531A8D5" w14:textId="77777777" w:rsidR="0079661C" w:rsidRPr="000028C3" w:rsidRDefault="0079661C" w:rsidP="0098669D">
      <w:pPr>
        <w:numPr>
          <w:ilvl w:val="0"/>
          <w:numId w:val="10"/>
        </w:numPr>
        <w:shd w:val="clear" w:color="auto" w:fill="FFFFFF"/>
        <w:suppressAutoHyphens/>
        <w:ind w:left="1276" w:hanging="283"/>
        <w:jc w:val="both"/>
      </w:pPr>
      <w:r w:rsidRPr="000028C3">
        <w:t xml:space="preserve">направляет в Банк России, а также размещает на своем официальном сайте по адресу </w:t>
      </w:r>
      <w:hyperlink r:id="rId10" w:history="1">
        <w:r w:rsidRPr="000028C3">
          <w:rPr>
            <w:rStyle w:val="a7"/>
            <w:color w:val="auto"/>
          </w:rPr>
          <w:t>www.</w:t>
        </w:r>
        <w:r w:rsidRPr="000028C3">
          <w:rPr>
            <w:rStyle w:val="a7"/>
            <w:color w:val="auto"/>
            <w:lang w:val="en-US"/>
          </w:rPr>
          <w:t>raexpert</w:t>
        </w:r>
        <w:r w:rsidRPr="000028C3">
          <w:rPr>
            <w:rStyle w:val="a7"/>
            <w:color w:val="auto"/>
          </w:rPr>
          <w:t>.</w:t>
        </w:r>
        <w:proofErr w:type="spellStart"/>
        <w:r w:rsidRPr="000028C3">
          <w:rPr>
            <w:rStyle w:val="a7"/>
            <w:color w:val="auto"/>
          </w:rPr>
          <w:t>ru</w:t>
        </w:r>
        <w:proofErr w:type="spellEnd"/>
      </w:hyperlink>
      <w:r w:rsidRPr="000028C3">
        <w:t xml:space="preserve"> информацию о планируемых изменениях применяемой методологии с указанием причин и последствий таких изменений, в том числе для кредитных рейтингов, присвоенных в соответствии с данной методологией;</w:t>
      </w:r>
    </w:p>
    <w:p w14:paraId="3D26CFC4" w14:textId="77777777" w:rsidR="0079661C" w:rsidRPr="000028C3" w:rsidRDefault="0079661C" w:rsidP="0098669D">
      <w:pPr>
        <w:numPr>
          <w:ilvl w:val="0"/>
          <w:numId w:val="10"/>
        </w:numPr>
        <w:shd w:val="clear" w:color="auto" w:fill="FFFFFF"/>
        <w:suppressAutoHyphens/>
        <w:ind w:left="1276" w:hanging="283"/>
        <w:jc w:val="both"/>
      </w:pPr>
      <w:r w:rsidRPr="000028C3">
        <w:t>не позднее шести месяцев со дня изменения применяемой методологии осуществляет оценку необходимости пересмотра всех кредитных рейтингов, присвоенных в соответствии с данной методологией;</w:t>
      </w:r>
    </w:p>
    <w:p w14:paraId="14FD6A9F" w14:textId="3FD649F8" w:rsidR="0079661C" w:rsidRPr="000028C3" w:rsidRDefault="0079661C" w:rsidP="0098669D">
      <w:pPr>
        <w:numPr>
          <w:ilvl w:val="0"/>
          <w:numId w:val="10"/>
        </w:numPr>
        <w:shd w:val="clear" w:color="auto" w:fill="FFFFFF"/>
        <w:suppressAutoHyphens/>
        <w:ind w:left="1276" w:hanging="283"/>
        <w:jc w:val="both"/>
      </w:pPr>
      <w:r w:rsidRPr="000028C3">
        <w:t xml:space="preserve">в срок не более шести месяцев со дня </w:t>
      </w:r>
      <w:r w:rsidR="008831AF" w:rsidRPr="000028C3">
        <w:t xml:space="preserve">со дня осуществления оценки необходимости пересмотра всех кредитных рейтингов, присвоенных в соответствии с данной методологией (п. 2), </w:t>
      </w:r>
      <w:r w:rsidRPr="000028C3">
        <w:t>осуществляет пересмотр кредитных рейтингов, если по результатам сделанной оценки выявлена необходимость их пересмотра.</w:t>
      </w:r>
    </w:p>
    <w:p w14:paraId="58F01620" w14:textId="77777777" w:rsidR="0079661C" w:rsidRPr="000028C3" w:rsidRDefault="0079661C" w:rsidP="0039664F">
      <w:pPr>
        <w:pStyle w:val="ad"/>
        <w:spacing w:before="0" w:beforeAutospacing="0" w:after="0" w:afterAutospacing="0"/>
        <w:ind w:firstLine="567"/>
        <w:jc w:val="both"/>
        <w:rPr>
          <w:highlight w:val="yellow"/>
        </w:rPr>
      </w:pPr>
    </w:p>
    <w:p w14:paraId="0D8DA497" w14:textId="77777777" w:rsidR="0079661C" w:rsidRPr="000028C3" w:rsidRDefault="0079661C" w:rsidP="0039664F">
      <w:pPr>
        <w:pStyle w:val="ad"/>
        <w:spacing w:before="0" w:beforeAutospacing="0" w:after="0" w:afterAutospacing="0"/>
        <w:ind w:firstLine="567"/>
        <w:jc w:val="both"/>
      </w:pPr>
      <w:r w:rsidRPr="000028C3">
        <w:t xml:space="preserve">Данная методология предусматривает непрерывность ее применения в рамках рейтинговой деятельности. «Эксперт РА» проводит мониторинг присвоенных рейтингов на основе методологии. </w:t>
      </w:r>
      <w:r w:rsidR="00E43F19" w:rsidRPr="000028C3">
        <w:t>М</w:t>
      </w:r>
      <w:r w:rsidRPr="000028C3">
        <w:t>етодология применяется на постоянной основе до утверждения методологическим комитетом ее новой версии.</w:t>
      </w:r>
    </w:p>
    <w:p w14:paraId="0DEFFBF7" w14:textId="77777777" w:rsidR="0079661C" w:rsidRPr="000028C3" w:rsidRDefault="0079661C" w:rsidP="0039664F">
      <w:pPr>
        <w:pStyle w:val="ad"/>
        <w:spacing w:before="0" w:beforeAutospacing="0" w:after="0" w:afterAutospacing="0"/>
        <w:ind w:firstLine="567"/>
        <w:jc w:val="both"/>
      </w:pPr>
      <w:r w:rsidRPr="000028C3">
        <w:t xml:space="preserve">Все параметры, используемые в методологии, за исключением стресс-факторов и факторов поддержки, масштабируются и оцениваются по шкале от 1 до -1. При этом, чем более позитивно влияние фактора на рейтинг, тем ближе оценка к 1, и, наоборот, чем негативнее, тем ближе к -1.  </w:t>
      </w:r>
    </w:p>
    <w:p w14:paraId="4AA1F4AB" w14:textId="77777777" w:rsidR="00322F74" w:rsidRPr="000028C3" w:rsidRDefault="00322F74" w:rsidP="0039664F">
      <w:pPr>
        <w:pStyle w:val="ad"/>
        <w:spacing w:before="0" w:beforeAutospacing="0" w:after="0" w:afterAutospacing="0"/>
        <w:jc w:val="both"/>
      </w:pPr>
      <w:bookmarkStart w:id="12" w:name="_Toc459363739"/>
      <w:bookmarkStart w:id="13" w:name="_Toc277183394"/>
      <w:bookmarkStart w:id="14" w:name="_Toc343776087"/>
      <w:r w:rsidRPr="000028C3">
        <w:lastRenderedPageBreak/>
        <w:tab/>
        <w:t>Стресс-факторы оказывают значительное негативное влияние на рейтинг, которое в зависимости от силы стресс-факторов может привести к снижению рейтинга на один, два или три уровня. Факторы поддержки могут привести к повышению рейтинга на аналогичное количество уровней.</w:t>
      </w:r>
    </w:p>
    <w:p w14:paraId="423417F7" w14:textId="77777777" w:rsidR="002877B3" w:rsidRPr="000028C3" w:rsidRDefault="002877B3" w:rsidP="0039664F">
      <w:r w:rsidRPr="000028C3">
        <w:br w:type="page"/>
      </w:r>
    </w:p>
    <w:p w14:paraId="63884262" w14:textId="77777777" w:rsidR="00815FAC" w:rsidRPr="000028C3" w:rsidRDefault="00815FAC" w:rsidP="0098669D">
      <w:pPr>
        <w:pStyle w:val="1"/>
        <w:numPr>
          <w:ilvl w:val="0"/>
          <w:numId w:val="8"/>
        </w:numPr>
        <w:suppressAutoHyphens/>
        <w:spacing w:before="0" w:after="0"/>
        <w:ind w:left="426" w:hanging="426"/>
        <w:rPr>
          <w:rFonts w:ascii="Times New Roman" w:hAnsi="Times New Roman" w:cs="Times New Roman"/>
          <w:sz w:val="28"/>
          <w:szCs w:val="28"/>
        </w:rPr>
      </w:pPr>
      <w:bookmarkStart w:id="15" w:name="_Toc39667607"/>
      <w:r w:rsidRPr="000028C3">
        <w:rPr>
          <w:rFonts w:ascii="Times New Roman" w:hAnsi="Times New Roman" w:cs="Times New Roman"/>
          <w:sz w:val="28"/>
          <w:szCs w:val="28"/>
        </w:rPr>
        <w:lastRenderedPageBreak/>
        <w:t>Источники информации</w:t>
      </w:r>
      <w:bookmarkEnd w:id="12"/>
      <w:bookmarkEnd w:id="15"/>
    </w:p>
    <w:p w14:paraId="7D6799C4" w14:textId="77777777" w:rsidR="00E43F19" w:rsidRPr="000028C3" w:rsidRDefault="00E43F19" w:rsidP="0039664F">
      <w:pPr>
        <w:tabs>
          <w:tab w:val="left" w:pos="0"/>
        </w:tabs>
        <w:jc w:val="both"/>
      </w:pPr>
    </w:p>
    <w:p w14:paraId="0A82F130" w14:textId="5FC69928" w:rsidR="00815FAC" w:rsidRPr="000028C3" w:rsidRDefault="00815FAC" w:rsidP="0039664F">
      <w:pPr>
        <w:ind w:firstLine="567"/>
        <w:jc w:val="both"/>
      </w:pPr>
      <w:r w:rsidRPr="000028C3">
        <w:t>Для присвоения рейтинга используется следующая информация</w:t>
      </w:r>
      <w:r w:rsidR="00370679" w:rsidRPr="000028C3">
        <w:rPr>
          <w:rStyle w:val="a6"/>
        </w:rPr>
        <w:footnoteReference w:id="3"/>
      </w:r>
      <w:r w:rsidRPr="000028C3">
        <w:t>:</w:t>
      </w:r>
    </w:p>
    <w:p w14:paraId="30B65B0F" w14:textId="77777777" w:rsidR="00370679" w:rsidRPr="000028C3" w:rsidRDefault="00370679"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анкета по форме Агентства;</w:t>
      </w:r>
    </w:p>
    <w:p w14:paraId="5C6B7103" w14:textId="1459897D" w:rsidR="00007EE5"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ф</w:t>
      </w:r>
      <w:r w:rsidR="00007EE5" w:rsidRPr="000028C3">
        <w:rPr>
          <w:rFonts w:ascii="Times New Roman" w:hAnsi="Times New Roman" w:cs="Times New Roman"/>
          <w:szCs w:val="24"/>
        </w:rPr>
        <w:t>ормы бухгалтерской отчетности №</w:t>
      </w:r>
      <w:r w:rsidR="00752D4C" w:rsidRPr="000028C3">
        <w:rPr>
          <w:rFonts w:ascii="Times New Roman" w:hAnsi="Times New Roman" w:cs="Times New Roman"/>
          <w:szCs w:val="24"/>
        </w:rPr>
        <w:t xml:space="preserve"> </w:t>
      </w:r>
      <w:r w:rsidR="00007EE5" w:rsidRPr="000028C3">
        <w:rPr>
          <w:rFonts w:ascii="Times New Roman" w:hAnsi="Times New Roman" w:cs="Times New Roman"/>
          <w:szCs w:val="24"/>
        </w:rPr>
        <w:t>1 (</w:t>
      </w:r>
      <w:r w:rsidR="00752D4C" w:rsidRPr="000028C3">
        <w:rPr>
          <w:rFonts w:ascii="Times New Roman" w:hAnsi="Times New Roman" w:cs="Times New Roman"/>
          <w:szCs w:val="24"/>
        </w:rPr>
        <w:t>б</w:t>
      </w:r>
      <w:r w:rsidR="00007EE5" w:rsidRPr="000028C3">
        <w:rPr>
          <w:rFonts w:ascii="Times New Roman" w:hAnsi="Times New Roman" w:cs="Times New Roman"/>
          <w:szCs w:val="24"/>
        </w:rPr>
        <w:t>ухгалтерский баланс) и №</w:t>
      </w:r>
      <w:r w:rsidR="00752D4C" w:rsidRPr="000028C3">
        <w:rPr>
          <w:rFonts w:ascii="Times New Roman" w:hAnsi="Times New Roman" w:cs="Times New Roman"/>
          <w:szCs w:val="24"/>
        </w:rPr>
        <w:t xml:space="preserve"> </w:t>
      </w:r>
      <w:r w:rsidR="00007EE5" w:rsidRPr="000028C3">
        <w:rPr>
          <w:rFonts w:ascii="Times New Roman" w:hAnsi="Times New Roman" w:cs="Times New Roman"/>
          <w:szCs w:val="24"/>
        </w:rPr>
        <w:t>2 (</w:t>
      </w:r>
      <w:r w:rsidR="00752D4C" w:rsidRPr="000028C3">
        <w:rPr>
          <w:rFonts w:ascii="Times New Roman" w:hAnsi="Times New Roman" w:cs="Times New Roman"/>
          <w:szCs w:val="24"/>
        </w:rPr>
        <w:t>о</w:t>
      </w:r>
      <w:r w:rsidR="00007EE5" w:rsidRPr="000028C3">
        <w:rPr>
          <w:rFonts w:ascii="Times New Roman" w:hAnsi="Times New Roman" w:cs="Times New Roman"/>
          <w:szCs w:val="24"/>
        </w:rPr>
        <w:t>тчет о</w:t>
      </w:r>
      <w:r w:rsidR="00752D4C" w:rsidRPr="000028C3">
        <w:rPr>
          <w:rFonts w:ascii="Times New Roman" w:hAnsi="Times New Roman" w:cs="Times New Roman"/>
          <w:szCs w:val="24"/>
        </w:rPr>
        <w:t xml:space="preserve"> финансовых результатах</w:t>
      </w:r>
      <w:r w:rsidR="00007EE5" w:rsidRPr="000028C3">
        <w:rPr>
          <w:rFonts w:ascii="Times New Roman" w:hAnsi="Times New Roman" w:cs="Times New Roman"/>
          <w:szCs w:val="24"/>
        </w:rPr>
        <w:t>)</w:t>
      </w:r>
      <w:r w:rsidR="00752D4C" w:rsidRPr="000028C3">
        <w:rPr>
          <w:rFonts w:ascii="Times New Roman" w:hAnsi="Times New Roman" w:cs="Times New Roman"/>
          <w:szCs w:val="24"/>
        </w:rPr>
        <w:t xml:space="preserve">, пояснительные записки к отчетности </w:t>
      </w:r>
      <w:r w:rsidR="00007EE5" w:rsidRPr="000028C3">
        <w:rPr>
          <w:rFonts w:ascii="Times New Roman" w:hAnsi="Times New Roman" w:cs="Times New Roman"/>
          <w:szCs w:val="24"/>
        </w:rPr>
        <w:t xml:space="preserve">поквартально за последние </w:t>
      </w:r>
      <w:r w:rsidR="00AE3353" w:rsidRPr="000028C3">
        <w:rPr>
          <w:rFonts w:ascii="Times New Roman" w:hAnsi="Times New Roman" w:cs="Times New Roman"/>
          <w:szCs w:val="24"/>
        </w:rPr>
        <w:t>12</w:t>
      </w:r>
      <w:r w:rsidR="00370679" w:rsidRPr="000028C3">
        <w:rPr>
          <w:rFonts w:ascii="Times New Roman" w:hAnsi="Times New Roman" w:cs="Times New Roman"/>
        </w:rPr>
        <w:t xml:space="preserve"> кварталов</w:t>
      </w:r>
      <w:r w:rsidR="00007EE5" w:rsidRPr="000028C3">
        <w:rPr>
          <w:rFonts w:ascii="Times New Roman" w:hAnsi="Times New Roman" w:cs="Times New Roman"/>
          <w:szCs w:val="24"/>
        </w:rPr>
        <w:t>;</w:t>
      </w:r>
    </w:p>
    <w:p w14:paraId="20DB713C" w14:textId="77777777" w:rsidR="00007EE5"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ф</w:t>
      </w:r>
      <w:r w:rsidR="00007EE5" w:rsidRPr="000028C3">
        <w:rPr>
          <w:rFonts w:ascii="Times New Roman" w:hAnsi="Times New Roman" w:cs="Times New Roman"/>
          <w:szCs w:val="24"/>
        </w:rPr>
        <w:t>ормы бухгалтерской отчетности №</w:t>
      </w:r>
      <w:r w:rsidR="00752D4C" w:rsidRPr="000028C3">
        <w:rPr>
          <w:rFonts w:ascii="Times New Roman" w:hAnsi="Times New Roman" w:cs="Times New Roman"/>
          <w:szCs w:val="24"/>
        </w:rPr>
        <w:t xml:space="preserve"> </w:t>
      </w:r>
      <w:r w:rsidR="00007EE5" w:rsidRPr="000028C3">
        <w:rPr>
          <w:rFonts w:ascii="Times New Roman" w:hAnsi="Times New Roman" w:cs="Times New Roman"/>
          <w:szCs w:val="24"/>
        </w:rPr>
        <w:t>4 (</w:t>
      </w:r>
      <w:r w:rsidR="00752D4C" w:rsidRPr="000028C3">
        <w:rPr>
          <w:rFonts w:ascii="Times New Roman" w:hAnsi="Times New Roman" w:cs="Times New Roman"/>
          <w:szCs w:val="24"/>
        </w:rPr>
        <w:t>о</w:t>
      </w:r>
      <w:r w:rsidR="00007EE5" w:rsidRPr="000028C3">
        <w:rPr>
          <w:rFonts w:ascii="Times New Roman" w:hAnsi="Times New Roman" w:cs="Times New Roman"/>
          <w:szCs w:val="24"/>
        </w:rPr>
        <w:t>тчет о движении денежных средств) и №</w:t>
      </w:r>
      <w:r w:rsidR="00752D4C" w:rsidRPr="000028C3">
        <w:rPr>
          <w:rFonts w:ascii="Times New Roman" w:hAnsi="Times New Roman" w:cs="Times New Roman"/>
          <w:szCs w:val="24"/>
        </w:rPr>
        <w:t xml:space="preserve"> </w:t>
      </w:r>
      <w:r w:rsidR="00007EE5" w:rsidRPr="000028C3">
        <w:rPr>
          <w:rFonts w:ascii="Times New Roman" w:hAnsi="Times New Roman" w:cs="Times New Roman"/>
          <w:szCs w:val="24"/>
        </w:rPr>
        <w:t>5 (</w:t>
      </w:r>
      <w:r w:rsidR="00752D4C" w:rsidRPr="000028C3">
        <w:rPr>
          <w:rFonts w:ascii="Times New Roman" w:hAnsi="Times New Roman" w:cs="Times New Roman"/>
          <w:szCs w:val="24"/>
        </w:rPr>
        <w:t>п</w:t>
      </w:r>
      <w:r w:rsidR="00007EE5" w:rsidRPr="000028C3">
        <w:rPr>
          <w:rFonts w:ascii="Times New Roman" w:hAnsi="Times New Roman" w:cs="Times New Roman"/>
          <w:szCs w:val="24"/>
        </w:rPr>
        <w:t>риложение к бухгалтерскому балансу) за последний завершившийся год, за который такая отчетность уже подготовлена;</w:t>
      </w:r>
    </w:p>
    <w:p w14:paraId="1D93C8EA" w14:textId="49FC2FFD" w:rsidR="00752D4C" w:rsidRPr="000028C3" w:rsidRDefault="00752D4C"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 xml:space="preserve">заключения аудитора к отчетности по РСБУ за последние </w:t>
      </w:r>
      <w:r w:rsidR="00AE3353" w:rsidRPr="000028C3">
        <w:rPr>
          <w:rFonts w:ascii="Times New Roman" w:hAnsi="Times New Roman" w:cs="Times New Roman"/>
          <w:szCs w:val="24"/>
        </w:rPr>
        <w:t>3</w:t>
      </w:r>
      <w:r w:rsidRPr="000028C3">
        <w:rPr>
          <w:rFonts w:ascii="Times New Roman" w:hAnsi="Times New Roman" w:cs="Times New Roman"/>
          <w:szCs w:val="24"/>
        </w:rPr>
        <w:t xml:space="preserve"> отчетных года;</w:t>
      </w:r>
    </w:p>
    <w:p w14:paraId="21975C50"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з</w:t>
      </w:r>
      <w:r w:rsidR="00815FAC" w:rsidRPr="000028C3">
        <w:rPr>
          <w:rFonts w:ascii="Times New Roman" w:hAnsi="Times New Roman" w:cs="Times New Roman"/>
          <w:szCs w:val="24"/>
        </w:rPr>
        <w:t>аверенн</w:t>
      </w:r>
      <w:r w:rsidR="00E76C46" w:rsidRPr="000028C3">
        <w:rPr>
          <w:rFonts w:ascii="Times New Roman" w:hAnsi="Times New Roman" w:cs="Times New Roman"/>
          <w:szCs w:val="24"/>
        </w:rPr>
        <w:t>ая</w:t>
      </w:r>
      <w:r w:rsidR="00815FAC" w:rsidRPr="000028C3">
        <w:rPr>
          <w:rFonts w:ascii="Times New Roman" w:hAnsi="Times New Roman" w:cs="Times New Roman"/>
          <w:szCs w:val="24"/>
        </w:rPr>
        <w:t xml:space="preserve"> аудитором годов</w:t>
      </w:r>
      <w:r w:rsidR="00752D4C" w:rsidRPr="000028C3">
        <w:rPr>
          <w:rFonts w:ascii="Times New Roman" w:hAnsi="Times New Roman" w:cs="Times New Roman"/>
          <w:szCs w:val="24"/>
        </w:rPr>
        <w:t>ая</w:t>
      </w:r>
      <w:r w:rsidR="00815FAC" w:rsidRPr="000028C3">
        <w:rPr>
          <w:rFonts w:ascii="Times New Roman" w:hAnsi="Times New Roman" w:cs="Times New Roman"/>
          <w:szCs w:val="24"/>
        </w:rPr>
        <w:t xml:space="preserve"> консолидированн</w:t>
      </w:r>
      <w:r w:rsidR="00E76C46" w:rsidRPr="000028C3">
        <w:rPr>
          <w:rFonts w:ascii="Times New Roman" w:hAnsi="Times New Roman" w:cs="Times New Roman"/>
          <w:szCs w:val="24"/>
        </w:rPr>
        <w:t>ая</w:t>
      </w:r>
      <w:r w:rsidR="00815FAC" w:rsidRPr="000028C3">
        <w:rPr>
          <w:rFonts w:ascii="Times New Roman" w:hAnsi="Times New Roman" w:cs="Times New Roman"/>
          <w:szCs w:val="24"/>
        </w:rPr>
        <w:t xml:space="preserve"> и неконсолидированн</w:t>
      </w:r>
      <w:r w:rsidR="00E76C46" w:rsidRPr="000028C3">
        <w:rPr>
          <w:rFonts w:ascii="Times New Roman" w:hAnsi="Times New Roman" w:cs="Times New Roman"/>
          <w:szCs w:val="24"/>
        </w:rPr>
        <w:t>ая</w:t>
      </w:r>
      <w:r w:rsidR="00815FAC" w:rsidRPr="000028C3">
        <w:rPr>
          <w:rFonts w:ascii="Times New Roman" w:hAnsi="Times New Roman" w:cs="Times New Roman"/>
          <w:szCs w:val="24"/>
        </w:rPr>
        <w:t xml:space="preserve"> отчетность по МСФО (включая заключение аудитора и примечания к отчетности) за последние 3 года (при наличии);</w:t>
      </w:r>
    </w:p>
    <w:p w14:paraId="46BD1FC3"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п</w:t>
      </w:r>
      <w:r w:rsidR="00815FAC" w:rsidRPr="000028C3">
        <w:rPr>
          <w:rFonts w:ascii="Times New Roman" w:hAnsi="Times New Roman" w:cs="Times New Roman"/>
          <w:szCs w:val="24"/>
        </w:rPr>
        <w:t>оквартальн</w:t>
      </w:r>
      <w:r w:rsidR="00E76C46" w:rsidRPr="000028C3">
        <w:rPr>
          <w:rFonts w:ascii="Times New Roman" w:hAnsi="Times New Roman" w:cs="Times New Roman"/>
          <w:szCs w:val="24"/>
        </w:rPr>
        <w:t>ая</w:t>
      </w:r>
      <w:r w:rsidR="0090624A" w:rsidRPr="000028C3">
        <w:rPr>
          <w:rFonts w:ascii="Times New Roman" w:hAnsi="Times New Roman" w:cs="Times New Roman"/>
          <w:szCs w:val="24"/>
        </w:rPr>
        <w:t xml:space="preserve"> </w:t>
      </w:r>
      <w:r w:rsidR="00815FAC" w:rsidRPr="000028C3">
        <w:rPr>
          <w:rFonts w:ascii="Times New Roman" w:hAnsi="Times New Roman" w:cs="Times New Roman"/>
          <w:szCs w:val="24"/>
        </w:rPr>
        <w:t>/</w:t>
      </w:r>
      <w:r w:rsidR="0090624A" w:rsidRPr="000028C3">
        <w:rPr>
          <w:rFonts w:ascii="Times New Roman" w:hAnsi="Times New Roman" w:cs="Times New Roman"/>
          <w:szCs w:val="24"/>
        </w:rPr>
        <w:t xml:space="preserve"> </w:t>
      </w:r>
      <w:r w:rsidR="00815FAC" w:rsidRPr="000028C3">
        <w:rPr>
          <w:rFonts w:ascii="Times New Roman" w:hAnsi="Times New Roman" w:cs="Times New Roman"/>
          <w:szCs w:val="24"/>
        </w:rPr>
        <w:t>полугодов</w:t>
      </w:r>
      <w:r w:rsidR="00E76C46" w:rsidRPr="000028C3">
        <w:rPr>
          <w:rFonts w:ascii="Times New Roman" w:hAnsi="Times New Roman" w:cs="Times New Roman"/>
          <w:szCs w:val="24"/>
        </w:rPr>
        <w:t>ая</w:t>
      </w:r>
      <w:r w:rsidR="00815FAC" w:rsidRPr="000028C3">
        <w:rPr>
          <w:rFonts w:ascii="Times New Roman" w:hAnsi="Times New Roman" w:cs="Times New Roman"/>
          <w:szCs w:val="24"/>
        </w:rPr>
        <w:t xml:space="preserve"> отчетность по МСФО (с </w:t>
      </w:r>
      <w:r w:rsidR="00752D4C" w:rsidRPr="000028C3">
        <w:rPr>
          <w:rFonts w:ascii="Times New Roman" w:hAnsi="Times New Roman" w:cs="Times New Roman"/>
          <w:szCs w:val="24"/>
        </w:rPr>
        <w:t xml:space="preserve">аудиторскими заключениями и </w:t>
      </w:r>
      <w:r w:rsidR="00815FAC" w:rsidRPr="000028C3">
        <w:rPr>
          <w:rFonts w:ascii="Times New Roman" w:hAnsi="Times New Roman" w:cs="Times New Roman"/>
          <w:szCs w:val="24"/>
        </w:rPr>
        <w:t>примечаниями) за последние 3 года (при наличии);</w:t>
      </w:r>
    </w:p>
    <w:p w14:paraId="6078463E" w14:textId="5E375ECA" w:rsidR="00752D4C" w:rsidRPr="000028C3" w:rsidRDefault="00752D4C"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rPr>
        <w:t xml:space="preserve">прогнозный </w:t>
      </w:r>
      <w:r w:rsidRPr="000028C3">
        <w:rPr>
          <w:rFonts w:ascii="Times New Roman" w:hAnsi="Times New Roman" w:cs="Times New Roman"/>
          <w:lang w:val="en-US"/>
        </w:rPr>
        <w:t>cash</w:t>
      </w:r>
      <w:r w:rsidRPr="000028C3">
        <w:rPr>
          <w:rFonts w:ascii="Times New Roman" w:hAnsi="Times New Roman" w:cs="Times New Roman"/>
        </w:rPr>
        <w:t xml:space="preserve"> </w:t>
      </w:r>
      <w:r w:rsidRPr="000028C3">
        <w:rPr>
          <w:rFonts w:ascii="Times New Roman" w:hAnsi="Times New Roman" w:cs="Times New Roman"/>
          <w:lang w:val="en-US"/>
        </w:rPr>
        <w:t>flow</w:t>
      </w:r>
      <w:r w:rsidRPr="000028C3">
        <w:rPr>
          <w:rFonts w:ascii="Times New Roman" w:hAnsi="Times New Roman" w:cs="Times New Roman"/>
        </w:rPr>
        <w:t xml:space="preserve"> </w:t>
      </w:r>
      <w:r w:rsidR="005055B0" w:rsidRPr="000028C3">
        <w:rPr>
          <w:rFonts w:ascii="Times New Roman" w:hAnsi="Times New Roman" w:cs="Times New Roman"/>
        </w:rPr>
        <w:t>/ финансовая модель объекта рейтинга с разбивкой по кварталам (при наличии)</w:t>
      </w:r>
      <w:r w:rsidRPr="000028C3">
        <w:rPr>
          <w:rFonts w:ascii="Times New Roman" w:hAnsi="Times New Roman" w:cs="Times New Roman"/>
        </w:rPr>
        <w:t>;</w:t>
      </w:r>
    </w:p>
    <w:p w14:paraId="012BA087"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у</w:t>
      </w:r>
      <w:r w:rsidR="00815FAC" w:rsidRPr="000028C3">
        <w:rPr>
          <w:rFonts w:ascii="Times New Roman" w:hAnsi="Times New Roman" w:cs="Times New Roman"/>
          <w:szCs w:val="24"/>
        </w:rPr>
        <w:t>став компании;</w:t>
      </w:r>
    </w:p>
    <w:p w14:paraId="01BA1305" w14:textId="77777777" w:rsidR="00007EE5"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у</w:t>
      </w:r>
      <w:r w:rsidR="00007EE5" w:rsidRPr="000028C3">
        <w:rPr>
          <w:rFonts w:ascii="Times New Roman" w:hAnsi="Times New Roman" w:cs="Times New Roman"/>
          <w:szCs w:val="24"/>
        </w:rPr>
        <w:t xml:space="preserve">четная политика </w:t>
      </w:r>
      <w:r w:rsidRPr="000028C3">
        <w:rPr>
          <w:rFonts w:ascii="Times New Roman" w:hAnsi="Times New Roman" w:cs="Times New Roman"/>
          <w:szCs w:val="24"/>
        </w:rPr>
        <w:t>компании</w:t>
      </w:r>
      <w:r w:rsidR="00007EE5" w:rsidRPr="000028C3">
        <w:rPr>
          <w:rFonts w:ascii="Times New Roman" w:hAnsi="Times New Roman" w:cs="Times New Roman"/>
          <w:szCs w:val="24"/>
        </w:rPr>
        <w:t>;</w:t>
      </w:r>
    </w:p>
    <w:p w14:paraId="5A784E3B"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д</w:t>
      </w:r>
      <w:r w:rsidR="00815FAC" w:rsidRPr="000028C3">
        <w:rPr>
          <w:rFonts w:ascii="Times New Roman" w:hAnsi="Times New Roman" w:cs="Times New Roman"/>
          <w:szCs w:val="24"/>
        </w:rPr>
        <w:t>окументы, регламентирующие управление рисками;</w:t>
      </w:r>
    </w:p>
    <w:p w14:paraId="545E013D"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д</w:t>
      </w:r>
      <w:r w:rsidR="00815FAC" w:rsidRPr="000028C3">
        <w:rPr>
          <w:rFonts w:ascii="Times New Roman" w:hAnsi="Times New Roman" w:cs="Times New Roman"/>
          <w:szCs w:val="24"/>
        </w:rPr>
        <w:t>окументы, определяющие стратегию развития компании (долгосрочная, среднесрочная стратегия, бизнес-планы на текущий и следующий годы и т.</w:t>
      </w:r>
      <w:r w:rsidRPr="000028C3">
        <w:rPr>
          <w:rFonts w:ascii="Times New Roman" w:hAnsi="Times New Roman" w:cs="Times New Roman"/>
          <w:szCs w:val="24"/>
        </w:rPr>
        <w:t xml:space="preserve"> </w:t>
      </w:r>
      <w:r w:rsidR="00815FAC" w:rsidRPr="000028C3">
        <w:rPr>
          <w:rFonts w:ascii="Times New Roman" w:hAnsi="Times New Roman" w:cs="Times New Roman"/>
          <w:szCs w:val="24"/>
        </w:rPr>
        <w:t>п.);</w:t>
      </w:r>
    </w:p>
    <w:p w14:paraId="35625D8C"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д</w:t>
      </w:r>
      <w:r w:rsidR="00815FAC" w:rsidRPr="000028C3">
        <w:rPr>
          <w:rFonts w:ascii="Times New Roman" w:hAnsi="Times New Roman" w:cs="Times New Roman"/>
          <w:szCs w:val="24"/>
        </w:rPr>
        <w:t>окументы, регламентирующие корпоративное управление (положение о правлении, службе внутреннего контроля, кодекс корпоративного управления и т.</w:t>
      </w:r>
      <w:r w:rsidRPr="000028C3">
        <w:rPr>
          <w:rFonts w:ascii="Times New Roman" w:hAnsi="Times New Roman" w:cs="Times New Roman"/>
          <w:szCs w:val="24"/>
        </w:rPr>
        <w:t xml:space="preserve"> </w:t>
      </w:r>
      <w:r w:rsidR="00815FAC" w:rsidRPr="000028C3">
        <w:rPr>
          <w:rFonts w:ascii="Times New Roman" w:hAnsi="Times New Roman" w:cs="Times New Roman"/>
          <w:szCs w:val="24"/>
        </w:rPr>
        <w:t>п.);</w:t>
      </w:r>
    </w:p>
    <w:p w14:paraId="19AB9C47" w14:textId="77777777" w:rsidR="00007EE5"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т</w:t>
      </w:r>
      <w:r w:rsidR="00007EE5" w:rsidRPr="000028C3">
        <w:rPr>
          <w:rFonts w:ascii="Times New Roman" w:hAnsi="Times New Roman" w:cs="Times New Roman"/>
          <w:szCs w:val="24"/>
        </w:rPr>
        <w:t>иповые договоры факторинга;</w:t>
      </w:r>
    </w:p>
    <w:p w14:paraId="67971027"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д</w:t>
      </w:r>
      <w:r w:rsidR="00815FAC" w:rsidRPr="000028C3">
        <w:rPr>
          <w:rFonts w:ascii="Times New Roman" w:hAnsi="Times New Roman" w:cs="Times New Roman"/>
          <w:szCs w:val="24"/>
        </w:rPr>
        <w:t xml:space="preserve">анные, полученные в ходе интервью с менеджментом </w:t>
      </w:r>
      <w:r w:rsidR="00363662" w:rsidRPr="000028C3">
        <w:rPr>
          <w:rFonts w:ascii="Times New Roman" w:hAnsi="Times New Roman" w:cs="Times New Roman"/>
          <w:szCs w:val="24"/>
        </w:rPr>
        <w:t>компании</w:t>
      </w:r>
      <w:r w:rsidR="00815FAC" w:rsidRPr="000028C3">
        <w:rPr>
          <w:rFonts w:ascii="Times New Roman" w:hAnsi="Times New Roman" w:cs="Times New Roman"/>
          <w:szCs w:val="24"/>
        </w:rPr>
        <w:t>;</w:t>
      </w:r>
    </w:p>
    <w:p w14:paraId="2953A97F" w14:textId="77777777" w:rsidR="00815FAC" w:rsidRPr="000028C3" w:rsidRDefault="008151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е</w:t>
      </w:r>
      <w:r w:rsidR="00815FAC" w:rsidRPr="000028C3">
        <w:rPr>
          <w:rFonts w:ascii="Times New Roman" w:hAnsi="Times New Roman" w:cs="Times New Roman"/>
          <w:szCs w:val="24"/>
        </w:rPr>
        <w:t>жеквартальные отчеты объекта рейтинга и эмиссионные документы по отдельным выпускам ценных бумаг (при наличии);</w:t>
      </w:r>
    </w:p>
    <w:p w14:paraId="099A343F" w14:textId="77777777" w:rsidR="00F12B7B" w:rsidRPr="000028C3" w:rsidRDefault="00F12B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присвоенные контрагентам кредитные рейтинги;</w:t>
      </w:r>
    </w:p>
    <w:p w14:paraId="7BD316D2" w14:textId="77777777" w:rsidR="00F12B7B" w:rsidRPr="000028C3" w:rsidRDefault="00F12B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публичная финансовая отчетность контрагентов;</w:t>
      </w:r>
    </w:p>
    <w:p w14:paraId="6C1F707F" w14:textId="77777777" w:rsidR="00F12B7B" w:rsidRPr="000028C3" w:rsidRDefault="00F12B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непубличная финансовая отчетность контрагентов (при ее наличии у кредитного рейтингового агентства);</w:t>
      </w:r>
    </w:p>
    <w:p w14:paraId="0D2B9BDF" w14:textId="77777777" w:rsidR="00F12B7B" w:rsidRPr="000028C3" w:rsidRDefault="00D97306"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 xml:space="preserve">информация о </w:t>
      </w:r>
      <w:r w:rsidR="00F12B7B" w:rsidRPr="000028C3">
        <w:rPr>
          <w:rFonts w:ascii="Times New Roman" w:hAnsi="Times New Roman" w:cs="Times New Roman"/>
          <w:szCs w:val="24"/>
        </w:rPr>
        <w:t>наличи</w:t>
      </w:r>
      <w:r w:rsidRPr="000028C3">
        <w:rPr>
          <w:rFonts w:ascii="Times New Roman" w:hAnsi="Times New Roman" w:cs="Times New Roman"/>
          <w:szCs w:val="24"/>
        </w:rPr>
        <w:t>и</w:t>
      </w:r>
      <w:r w:rsidR="00F12B7B" w:rsidRPr="000028C3">
        <w:rPr>
          <w:rFonts w:ascii="Times New Roman" w:hAnsi="Times New Roman" w:cs="Times New Roman"/>
          <w:szCs w:val="24"/>
        </w:rPr>
        <w:t xml:space="preserve"> обеспечения / поручительства / гарантии по долговым инструментам контрагента (для</w:t>
      </w:r>
      <w:r w:rsidRPr="000028C3">
        <w:rPr>
          <w:rFonts w:ascii="Times New Roman" w:hAnsi="Times New Roman" w:cs="Times New Roman"/>
          <w:szCs w:val="24"/>
        </w:rPr>
        <w:t xml:space="preserve"> целей оценки качества активов)</w:t>
      </w:r>
      <w:r w:rsidR="00F12B7B" w:rsidRPr="000028C3">
        <w:rPr>
          <w:rFonts w:ascii="Times New Roman" w:hAnsi="Times New Roman" w:cs="Times New Roman"/>
          <w:szCs w:val="24"/>
        </w:rPr>
        <w:t>;</w:t>
      </w:r>
    </w:p>
    <w:p w14:paraId="5D07647F" w14:textId="77777777" w:rsidR="00F12B7B" w:rsidRPr="000028C3" w:rsidRDefault="00F12B7B"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другая информация из открытых источников, определяющая тенденции в деятельности контрагентов, которые могут оказать существенное вл</w:t>
      </w:r>
      <w:r w:rsidR="00F24262" w:rsidRPr="000028C3">
        <w:rPr>
          <w:rFonts w:ascii="Times New Roman" w:hAnsi="Times New Roman" w:cs="Times New Roman"/>
          <w:szCs w:val="24"/>
        </w:rPr>
        <w:t>ияние на вероятность их дефолта;</w:t>
      </w:r>
    </w:p>
    <w:p w14:paraId="7FA73599" w14:textId="77777777" w:rsidR="00F24262" w:rsidRPr="000028C3" w:rsidRDefault="00F24262" w:rsidP="0098669D">
      <w:pPr>
        <w:pStyle w:val="af7"/>
        <w:numPr>
          <w:ilvl w:val="0"/>
          <w:numId w:val="12"/>
        </w:numPr>
        <w:jc w:val="both"/>
        <w:rPr>
          <w:rFonts w:ascii="Times New Roman" w:hAnsi="Times New Roman" w:cs="Times New Roman"/>
          <w:szCs w:val="24"/>
        </w:rPr>
      </w:pPr>
      <w:r w:rsidRPr="000028C3">
        <w:rPr>
          <w:rFonts w:ascii="Times New Roman" w:hAnsi="Times New Roman" w:cs="Times New Roman"/>
          <w:szCs w:val="24"/>
        </w:rPr>
        <w:t>отчеты оценщиков о стоимости объектов недвижимости;</w:t>
      </w:r>
    </w:p>
    <w:p w14:paraId="1B2FE858" w14:textId="77777777" w:rsidR="00815FAC" w:rsidRPr="000028C3" w:rsidRDefault="0081517B" w:rsidP="0098669D">
      <w:pPr>
        <w:numPr>
          <w:ilvl w:val="0"/>
          <w:numId w:val="12"/>
        </w:numPr>
        <w:jc w:val="both"/>
      </w:pPr>
      <w:r w:rsidRPr="000028C3">
        <w:t>и</w:t>
      </w:r>
      <w:r w:rsidR="00815FAC" w:rsidRPr="000028C3">
        <w:t xml:space="preserve">нформация из СМИ и других открытых источников (в том числе данные Банка России: </w:t>
      </w:r>
      <w:hyperlink r:id="rId11" w:history="1">
        <w:r w:rsidR="00815FAC" w:rsidRPr="000028C3">
          <w:rPr>
            <w:rStyle w:val="a7"/>
            <w:color w:val="auto"/>
          </w:rPr>
          <w:t>http://www.cbr.ru/</w:t>
        </w:r>
      </w:hyperlink>
      <w:r w:rsidR="00815FAC" w:rsidRPr="000028C3">
        <w:t xml:space="preserve">; сведения о государственной регистрации юридических лиц: </w:t>
      </w:r>
      <w:hyperlink r:id="rId12" w:history="1">
        <w:r w:rsidR="00815FAC" w:rsidRPr="000028C3">
          <w:rPr>
            <w:rStyle w:val="a7"/>
            <w:color w:val="auto"/>
          </w:rPr>
          <w:t>https://egrul.nalog.ru/</w:t>
        </w:r>
      </w:hyperlink>
      <w:r w:rsidR="00815FAC" w:rsidRPr="000028C3">
        <w:t xml:space="preserve">; официальный сайт Федеральной службы судебных приставов: </w:t>
      </w:r>
      <w:hyperlink r:id="rId13" w:history="1">
        <w:r w:rsidR="00815FAC" w:rsidRPr="000028C3">
          <w:rPr>
            <w:rStyle w:val="a7"/>
            <w:color w:val="auto"/>
          </w:rPr>
          <w:t>http://fssprus.ru/iss/ip/</w:t>
        </w:r>
      </w:hyperlink>
      <w:r w:rsidR="00815FAC" w:rsidRPr="000028C3">
        <w:t xml:space="preserve">; сведения о ликвидации </w:t>
      </w:r>
      <w:r w:rsidR="00815FAC" w:rsidRPr="000028C3">
        <w:lastRenderedPageBreak/>
        <w:t xml:space="preserve">или банкротстве юридического лица: </w:t>
      </w:r>
      <w:hyperlink r:id="rId14" w:history="1">
        <w:r w:rsidR="00815FAC" w:rsidRPr="000028C3">
          <w:rPr>
            <w:rStyle w:val="a7"/>
            <w:color w:val="auto"/>
          </w:rPr>
          <w:t>http://fedresurs.ru/</w:t>
        </w:r>
      </w:hyperlink>
      <w:r w:rsidR="00815FAC" w:rsidRPr="000028C3">
        <w:t xml:space="preserve">; картотека арбитражных дел: </w:t>
      </w:r>
      <w:hyperlink r:id="rId15" w:history="1">
        <w:r w:rsidR="00815FAC" w:rsidRPr="000028C3">
          <w:rPr>
            <w:rStyle w:val="a7"/>
            <w:color w:val="auto"/>
          </w:rPr>
          <w:t>http://kad.arbitr.ru/</w:t>
        </w:r>
      </w:hyperlink>
      <w:r w:rsidR="00815FAC" w:rsidRPr="000028C3">
        <w:t>; информационный ресурс «С</w:t>
      </w:r>
      <w:r w:rsidRPr="000028C3">
        <w:t>ПАРК</w:t>
      </w:r>
      <w:r w:rsidR="00815FAC" w:rsidRPr="000028C3">
        <w:t xml:space="preserve">-Интерфакс» </w:t>
      </w:r>
      <w:r w:rsidR="00600ABA" w:rsidRPr="000028C3">
        <w:t>http://www.spark-interfax.ru/; официальные сайты бирж; сайты для раскрытия информации эмитентами, включая e-disclosure.ru</w:t>
      </w:r>
      <w:r w:rsidR="00815FAC" w:rsidRPr="000028C3">
        <w:t xml:space="preserve"> и т.</w:t>
      </w:r>
      <w:r w:rsidRPr="000028C3">
        <w:t xml:space="preserve"> </w:t>
      </w:r>
      <w:r w:rsidR="00815FAC" w:rsidRPr="000028C3">
        <w:t>д.);</w:t>
      </w:r>
    </w:p>
    <w:p w14:paraId="17F12ADA" w14:textId="77777777" w:rsidR="00815FAC" w:rsidRPr="000028C3" w:rsidRDefault="0081517B" w:rsidP="0098669D">
      <w:pPr>
        <w:numPr>
          <w:ilvl w:val="0"/>
          <w:numId w:val="12"/>
        </w:numPr>
        <w:jc w:val="both"/>
      </w:pPr>
      <w:r w:rsidRPr="000028C3">
        <w:t>м</w:t>
      </w:r>
      <w:r w:rsidR="00815FAC" w:rsidRPr="000028C3">
        <w:t>акроэкономические и отраслевые прогнозы Банка России и Минэкономразвития России.</w:t>
      </w:r>
    </w:p>
    <w:p w14:paraId="1A059E20" w14:textId="77777777" w:rsidR="00815FAC" w:rsidRPr="000028C3" w:rsidRDefault="00815FAC" w:rsidP="0039664F">
      <w:pPr>
        <w:jc w:val="both"/>
        <w:rPr>
          <w:highlight w:val="yellow"/>
        </w:rPr>
      </w:pPr>
    </w:p>
    <w:p w14:paraId="648FFC8D" w14:textId="6F82A9F2" w:rsidR="0090624A" w:rsidRPr="000028C3" w:rsidRDefault="00A22144" w:rsidP="0039664F">
      <w:pPr>
        <w:ind w:firstLine="567"/>
        <w:jc w:val="both"/>
      </w:pPr>
      <w:r w:rsidRPr="000028C3">
        <w:t>А</w:t>
      </w:r>
      <w:r w:rsidR="00815FAC" w:rsidRPr="000028C3">
        <w:t>гентство может запрашивать и использовать иную информацию, необходимую для более детальной оценки кредитоспособности объекта рейтинга.</w:t>
      </w:r>
      <w:r w:rsidR="0090624A" w:rsidRPr="000028C3">
        <w:t xml:space="preserve"> </w:t>
      </w:r>
      <w:r w:rsidR="00815FAC" w:rsidRPr="000028C3">
        <w:t xml:space="preserve">При присвоении кредитных рейтингов </w:t>
      </w:r>
      <w:r w:rsidRPr="000028C3">
        <w:t>А</w:t>
      </w:r>
      <w:r w:rsidR="00815FAC" w:rsidRPr="000028C3">
        <w:t>гентство может использовать комбинацию различных источников информации, перечисленных выше (например, данные из отч</w:t>
      </w:r>
      <w:r w:rsidR="0090624A" w:rsidRPr="000028C3">
        <w:t>е</w:t>
      </w:r>
      <w:r w:rsidR="00815FAC" w:rsidRPr="000028C3">
        <w:t xml:space="preserve">тности как по РСБУ, так и по МСФО). </w:t>
      </w:r>
    </w:p>
    <w:p w14:paraId="02D89FA4" w14:textId="77777777" w:rsidR="0090624A" w:rsidRPr="000028C3" w:rsidRDefault="0090624A" w:rsidP="0039664F">
      <w:pPr>
        <w:ind w:firstLine="567"/>
        <w:jc w:val="both"/>
      </w:pPr>
      <w:r w:rsidRPr="000028C3">
        <w:t xml:space="preserve">При присвоении рейтинга Агентство может </w:t>
      </w:r>
      <w:proofErr w:type="spellStart"/>
      <w:r w:rsidRPr="000028C3">
        <w:t>переклассифицировать</w:t>
      </w:r>
      <w:proofErr w:type="spellEnd"/>
      <w:r w:rsidRPr="000028C3">
        <w:t xml:space="preserve"> отдельные статьи баланса, отчета о финансовом результате и отчета о движении денежных средств, если для этого есть основания. Например, долгосрочные обязательства могут быть </w:t>
      </w:r>
      <w:proofErr w:type="spellStart"/>
      <w:r w:rsidRPr="000028C3">
        <w:t>переклассифицированы</w:t>
      </w:r>
      <w:proofErr w:type="spellEnd"/>
      <w:r w:rsidRPr="000028C3">
        <w:t xml:space="preserve"> в краткосрочные, если компания нарушает ковенанты по таким обязательствам и кредитор имеет право досрочно требовать их исполнения. В таком случае финансовые коэффициенты корректируются с целью сопоставимости компаний между собой. </w:t>
      </w:r>
    </w:p>
    <w:p w14:paraId="4B711811" w14:textId="77777777" w:rsidR="00B61288" w:rsidRPr="000028C3" w:rsidRDefault="00B61288" w:rsidP="0039664F">
      <w:pPr>
        <w:tabs>
          <w:tab w:val="left" w:pos="709"/>
        </w:tabs>
        <w:ind w:firstLine="567"/>
        <w:jc w:val="both"/>
      </w:pPr>
      <w:r w:rsidRPr="000028C3">
        <w:t>Агентство может учесть предстоящие изменения в отчетности исходя из прогнозов Агентства и (или) планов компании и (или) при наличии достоверной информации об изменении структуры активов и пассивов, денежных потоков после последней отчетной даты и рассчитывать коэффициенты и финансовые показатели с учетом ожидаемых / произошедших изменений. Например, если Агентство знает о планах компании по привлечению долгового финансирования, коэффициенты, на которые влияет долговая нагрузка, могут быть скорректированы исходя из этих планов и активов, которые компания планирует приобрести на привлекаемые средства.</w:t>
      </w:r>
    </w:p>
    <w:p w14:paraId="59E3386C" w14:textId="77777777" w:rsidR="00815FAC" w:rsidRPr="000028C3" w:rsidRDefault="00815FAC" w:rsidP="0039664F">
      <w:pPr>
        <w:ind w:firstLine="567"/>
        <w:jc w:val="both"/>
      </w:pPr>
      <w:r w:rsidRPr="000028C3">
        <w:t xml:space="preserve">В случае недостаточности </w:t>
      </w:r>
      <w:r w:rsidR="0090624A" w:rsidRPr="000028C3">
        <w:t xml:space="preserve">или </w:t>
      </w:r>
      <w:proofErr w:type="gramStart"/>
      <w:r w:rsidR="0090624A" w:rsidRPr="000028C3">
        <w:t>недостоверности</w:t>
      </w:r>
      <w:proofErr w:type="gramEnd"/>
      <w:r w:rsidR="0090624A" w:rsidRPr="000028C3">
        <w:t xml:space="preserve"> </w:t>
      </w:r>
      <w:r w:rsidRPr="000028C3">
        <w:t>предоставленной объектом рейтинга информации кредитное рейтинговое агентство «Эксперт РА» отказывается от присвоения</w:t>
      </w:r>
      <w:r w:rsidR="0090624A" w:rsidRPr="000028C3">
        <w:t xml:space="preserve"> </w:t>
      </w:r>
      <w:r w:rsidRPr="000028C3">
        <w:t>/</w:t>
      </w:r>
      <w:r w:rsidR="0090624A" w:rsidRPr="000028C3">
        <w:t xml:space="preserve"> </w:t>
      </w:r>
      <w:r w:rsidRPr="000028C3">
        <w:t xml:space="preserve">поддержания действующего кредитного рейтинга. Если при этом у </w:t>
      </w:r>
      <w:r w:rsidR="00007EE5" w:rsidRPr="000028C3">
        <w:t>компании</w:t>
      </w:r>
      <w:r w:rsidRPr="000028C3">
        <w:t xml:space="preserve"> есть действующий кредитный рейтинг, то такой кредитный рейтинг отзывается без подтверждения. </w:t>
      </w:r>
    </w:p>
    <w:p w14:paraId="7CF86C16" w14:textId="77777777" w:rsidR="00815FAC" w:rsidRPr="000028C3" w:rsidRDefault="00815FAC" w:rsidP="0039664F">
      <w:pPr>
        <w:pStyle w:val="Default"/>
        <w:ind w:firstLine="567"/>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 xml:space="preserve">Достаточность информации для присвоения кредитного рейтинга определяется исходя из возможности или невозможности проведения анализа в соответствии с настоящей методологией. </w:t>
      </w:r>
    </w:p>
    <w:p w14:paraId="61577490" w14:textId="77777777" w:rsidR="00815FAC" w:rsidRPr="000028C3" w:rsidRDefault="00815FAC" w:rsidP="0039664F">
      <w:pPr>
        <w:pStyle w:val="Default"/>
        <w:ind w:firstLine="567"/>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 xml:space="preserve">Основные критерии, используемые для определения достаточности информации: </w:t>
      </w:r>
    </w:p>
    <w:p w14:paraId="731F99CB" w14:textId="77777777" w:rsidR="00815FAC" w:rsidRPr="000028C3" w:rsidRDefault="00815FAC" w:rsidP="0098669D">
      <w:pPr>
        <w:pStyle w:val="Default"/>
        <w:numPr>
          <w:ilvl w:val="0"/>
          <w:numId w:val="13"/>
        </w:numPr>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обеспечение возможности проведения анализа деятельности объекта рейтинга в соот</w:t>
      </w:r>
      <w:r w:rsidR="00DD0C98" w:rsidRPr="000028C3">
        <w:rPr>
          <w:rFonts w:ascii="Times New Roman" w:eastAsia="Times New Roman" w:hAnsi="Times New Roman" w:cs="Times New Roman"/>
          <w:color w:val="auto"/>
          <w:lang w:eastAsia="ru-RU"/>
        </w:rPr>
        <w:t>ветствии с факторами, приведенными в настоящей методологии (разделе «Ключевые количественные и качественные факторы»);</w:t>
      </w:r>
    </w:p>
    <w:p w14:paraId="1E5BE6A7" w14:textId="77777777" w:rsidR="00815FAC" w:rsidRPr="000028C3" w:rsidRDefault="00815FAC" w:rsidP="0098669D">
      <w:pPr>
        <w:pStyle w:val="Default"/>
        <w:numPr>
          <w:ilvl w:val="0"/>
          <w:numId w:val="13"/>
        </w:numPr>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обеспечение возможности проведения анализа всех факторов поддержки и стресс-факторов, которые перечислены в настоящей методологии.</w:t>
      </w:r>
    </w:p>
    <w:p w14:paraId="46AC4958" w14:textId="77777777" w:rsidR="00E43F19" w:rsidRPr="000028C3" w:rsidRDefault="00E43F19" w:rsidP="0039664F">
      <w:pPr>
        <w:ind w:firstLine="567"/>
        <w:jc w:val="both"/>
      </w:pPr>
    </w:p>
    <w:p w14:paraId="5A86830B" w14:textId="77777777" w:rsidR="00815FAC" w:rsidRPr="000028C3" w:rsidRDefault="00815FAC" w:rsidP="0039664F">
      <w:pPr>
        <w:ind w:firstLine="567"/>
        <w:jc w:val="both"/>
      </w:pPr>
      <w:r w:rsidRPr="000028C3">
        <w:t xml:space="preserve">В случае, если указанные выше критерии выполнены, но кредитное рейтинговое агентство «Эксперт РА» получило неполный ответ на запрос о предоставлении информации, </w:t>
      </w:r>
      <w:r w:rsidR="00DF19D0" w:rsidRPr="000028C3">
        <w:t>оно</w:t>
      </w:r>
      <w:r w:rsidRPr="000028C3">
        <w:t xml:space="preserve"> имеет право принять решение о присвоении кредитного рейтинга с учетом корректировок оценок отдельных факторов, принятых рейтинговым комитетом. Как правило, такие корректировки носят консервативный характер</w:t>
      </w:r>
      <w:r w:rsidR="00DF19D0" w:rsidRPr="000028C3">
        <w:t>, т. е. о</w:t>
      </w:r>
      <w:r w:rsidRPr="000028C3">
        <w:t>тсутствие какой</w:t>
      </w:r>
      <w:r w:rsidR="00007EE5" w:rsidRPr="000028C3">
        <w:t>-</w:t>
      </w:r>
      <w:r w:rsidRPr="000028C3">
        <w:t xml:space="preserve">либо информации трактуется как негативная информация. </w:t>
      </w:r>
    </w:p>
    <w:p w14:paraId="755E212C" w14:textId="4FCED6D1" w:rsidR="00815FAC" w:rsidRPr="000028C3" w:rsidRDefault="008831AF" w:rsidP="0039664F">
      <w:pPr>
        <w:tabs>
          <w:tab w:val="left" w:pos="0"/>
        </w:tabs>
        <w:ind w:firstLine="567"/>
        <w:jc w:val="both"/>
      </w:pPr>
      <w:r w:rsidRPr="000028C3">
        <w:lastRenderedPageBreak/>
        <w:t>Кредитное рейтинговое агентство обеспечивает получение информации из достоверных источников и несет ответственность за выбор источника информации, за исключением случаев, если такая информация была предоставлена кредитному рейтинговому агентству рейтингуемым лицом. Тем не менее, если в ходе рейтингового анализа Агентство выявляет признаки существенной недостоверности информации</w:t>
      </w:r>
      <w:r w:rsidR="00815FAC" w:rsidRPr="000028C3">
        <w:t xml:space="preserve">, </w:t>
      </w:r>
      <w:r w:rsidR="00DF19D0" w:rsidRPr="000028C3">
        <w:t xml:space="preserve">оно </w:t>
      </w:r>
      <w:r w:rsidR="00815FAC" w:rsidRPr="000028C3">
        <w:t>отказывается от присвоения</w:t>
      </w:r>
      <w:r w:rsidR="00DF19D0" w:rsidRPr="000028C3">
        <w:t xml:space="preserve"> </w:t>
      </w:r>
      <w:r w:rsidR="00815FAC" w:rsidRPr="000028C3">
        <w:t>/</w:t>
      </w:r>
      <w:r w:rsidR="00DF19D0" w:rsidRPr="000028C3">
        <w:t xml:space="preserve"> </w:t>
      </w:r>
      <w:r w:rsidR="00815FAC" w:rsidRPr="000028C3">
        <w:t xml:space="preserve">поддержания действующего кредитного рейтинга. Если при этом у </w:t>
      </w:r>
      <w:r w:rsidR="00007EE5" w:rsidRPr="000028C3">
        <w:t>компании</w:t>
      </w:r>
      <w:r w:rsidR="00815FAC" w:rsidRPr="000028C3">
        <w:t xml:space="preserve"> есть действующий кредитный рейтинг, то такой кредитный рейтинг отзывается без подтверждения. </w:t>
      </w:r>
    </w:p>
    <w:p w14:paraId="372B8F91" w14:textId="7363724A" w:rsidR="00815FAC" w:rsidRPr="000028C3" w:rsidRDefault="00815FAC" w:rsidP="0039664F">
      <w:pPr>
        <w:ind w:firstLine="567"/>
        <w:jc w:val="both"/>
      </w:pPr>
      <w:r w:rsidRPr="000028C3">
        <w:t>В случае выявления признаков незначительной недостоверности отч</w:t>
      </w:r>
      <w:r w:rsidR="00DF19D0" w:rsidRPr="000028C3">
        <w:t>е</w:t>
      </w:r>
      <w:r w:rsidRPr="000028C3">
        <w:t xml:space="preserve">тности </w:t>
      </w:r>
      <w:r w:rsidR="002955F4" w:rsidRPr="008B6610">
        <w:t xml:space="preserve">и (или) </w:t>
      </w:r>
      <w:r w:rsidRPr="000028C3">
        <w:t xml:space="preserve">иной информации, предоставленной </w:t>
      </w:r>
      <w:r w:rsidR="00007EE5" w:rsidRPr="000028C3">
        <w:t>компанией</w:t>
      </w:r>
      <w:r w:rsidRPr="000028C3">
        <w:t xml:space="preserve">, кредитное рейтинговое агентство «Эксперт РА» может снижать оценки отдельных баллов (например, оценку </w:t>
      </w:r>
      <w:r w:rsidR="00F90CF2" w:rsidRPr="000028C3">
        <w:t>фактора «</w:t>
      </w:r>
      <w:r w:rsidR="00141208" w:rsidRPr="000028C3">
        <w:t>Корпоративное управление, ИТ-обеспечение и информационная прозрачность</w:t>
      </w:r>
      <w:r w:rsidR="00F90CF2" w:rsidRPr="000028C3">
        <w:t>»</w:t>
      </w:r>
      <w:r w:rsidRPr="000028C3">
        <w:t>) или выделять иной внутренний стресс-фактор.</w:t>
      </w:r>
    </w:p>
    <w:p w14:paraId="1D2F8DD0" w14:textId="77777777" w:rsidR="00815FAC" w:rsidRPr="000028C3" w:rsidRDefault="00815FAC" w:rsidP="0039664F">
      <w:pPr>
        <w:tabs>
          <w:tab w:val="left" w:pos="0"/>
        </w:tabs>
        <w:ind w:firstLine="567"/>
        <w:jc w:val="both"/>
      </w:pPr>
      <w:r w:rsidRPr="000028C3">
        <w:t xml:space="preserve">Если два или более источника информации, используемых при анализе, противоречат друг другу, при этом </w:t>
      </w:r>
      <w:r w:rsidR="00AA4D37" w:rsidRPr="000028C3">
        <w:t>компанией</w:t>
      </w:r>
      <w:r w:rsidRPr="000028C3">
        <w:t xml:space="preserve"> расхождения в должной мере не обоснованы, «Эксперт РА» использует источник информации, который наиболее консервативно отражает риски </w:t>
      </w:r>
      <w:r w:rsidR="00AA4D37" w:rsidRPr="000028C3">
        <w:t>компании</w:t>
      </w:r>
      <w:r w:rsidRPr="000028C3">
        <w:t>.</w:t>
      </w:r>
    </w:p>
    <w:p w14:paraId="446019C3" w14:textId="77777777" w:rsidR="00815FAC" w:rsidRPr="000028C3" w:rsidRDefault="00815FAC" w:rsidP="0039664F">
      <w:pPr>
        <w:tabs>
          <w:tab w:val="left" w:pos="0"/>
        </w:tabs>
        <w:ind w:firstLine="567"/>
        <w:jc w:val="both"/>
      </w:pPr>
      <w:r w:rsidRPr="000028C3">
        <w:t xml:space="preserve">В случае кардинального и резкого изменения бизнес-модели </w:t>
      </w:r>
      <w:r w:rsidR="00AA4D37" w:rsidRPr="000028C3">
        <w:t>компании</w:t>
      </w:r>
      <w:r w:rsidRPr="000028C3">
        <w:t xml:space="preserve"> при отсутствии репрезентативной информации для оценки рисков новой бизнес-модели Агентство отказывается от присвоения</w:t>
      </w:r>
      <w:r w:rsidR="00DF19D0" w:rsidRPr="000028C3">
        <w:t xml:space="preserve"> </w:t>
      </w:r>
      <w:r w:rsidRPr="000028C3">
        <w:t>/</w:t>
      </w:r>
      <w:r w:rsidR="00DF19D0" w:rsidRPr="000028C3">
        <w:t xml:space="preserve"> </w:t>
      </w:r>
      <w:r w:rsidRPr="000028C3">
        <w:t xml:space="preserve">поддержания кредитного рейтинга. Если при этом у </w:t>
      </w:r>
      <w:r w:rsidR="00AA4D37" w:rsidRPr="000028C3">
        <w:t>компании</w:t>
      </w:r>
      <w:r w:rsidRPr="000028C3">
        <w:t xml:space="preserve"> есть действующий кредитный рейтинг, то такой кредитный рейтинг отзывается без подтверждения.</w:t>
      </w:r>
    </w:p>
    <w:p w14:paraId="35C92655" w14:textId="77777777" w:rsidR="00815FAC" w:rsidRPr="000028C3" w:rsidRDefault="00815FAC" w:rsidP="0039664F">
      <w:pPr>
        <w:tabs>
          <w:tab w:val="left" w:pos="0"/>
        </w:tabs>
        <w:jc w:val="both"/>
      </w:pPr>
    </w:p>
    <w:p w14:paraId="00D05237" w14:textId="77777777" w:rsidR="00815FAC" w:rsidRPr="000028C3" w:rsidRDefault="00815FAC" w:rsidP="0098669D">
      <w:pPr>
        <w:pStyle w:val="1"/>
        <w:numPr>
          <w:ilvl w:val="0"/>
          <w:numId w:val="8"/>
        </w:numPr>
        <w:suppressAutoHyphens/>
        <w:spacing w:before="0" w:after="0"/>
        <w:ind w:left="426" w:hanging="426"/>
        <w:rPr>
          <w:rFonts w:ascii="Times New Roman" w:hAnsi="Times New Roman" w:cs="Times New Roman"/>
          <w:sz w:val="28"/>
          <w:szCs w:val="28"/>
        </w:rPr>
      </w:pPr>
      <w:r w:rsidRPr="000028C3">
        <w:rPr>
          <w:rFonts w:ascii="Times New Roman" w:hAnsi="Times New Roman" w:cs="Times New Roman"/>
        </w:rPr>
        <w:br w:type="page"/>
      </w:r>
      <w:bookmarkStart w:id="17" w:name="_Toc459363740"/>
      <w:bookmarkStart w:id="18" w:name="_Toc39667608"/>
      <w:r w:rsidRPr="000028C3">
        <w:rPr>
          <w:rFonts w:ascii="Times New Roman" w:hAnsi="Times New Roman" w:cs="Times New Roman"/>
          <w:sz w:val="28"/>
          <w:szCs w:val="28"/>
        </w:rPr>
        <w:lastRenderedPageBreak/>
        <w:t>Структура анализа и метод расчета баллов</w:t>
      </w:r>
      <w:bookmarkEnd w:id="13"/>
      <w:bookmarkEnd w:id="14"/>
      <w:bookmarkEnd w:id="17"/>
      <w:bookmarkEnd w:id="18"/>
    </w:p>
    <w:p w14:paraId="52EEB875" w14:textId="77777777" w:rsidR="00AA4D37" w:rsidRPr="000028C3" w:rsidRDefault="00AA4D37" w:rsidP="0039664F">
      <w:pPr>
        <w:ind w:left="720"/>
        <w:jc w:val="both"/>
      </w:pPr>
    </w:p>
    <w:p w14:paraId="2B274E5A" w14:textId="77777777" w:rsidR="00815FAC" w:rsidRPr="000028C3" w:rsidRDefault="00815FAC" w:rsidP="0098669D">
      <w:pPr>
        <w:numPr>
          <w:ilvl w:val="0"/>
          <w:numId w:val="5"/>
        </w:numPr>
        <w:jc w:val="both"/>
      </w:pPr>
      <w:r w:rsidRPr="000028C3">
        <w:t xml:space="preserve">Рейтинг </w:t>
      </w:r>
      <w:r w:rsidR="00AA4D37" w:rsidRPr="000028C3">
        <w:t>компании</w:t>
      </w:r>
      <w:r w:rsidRPr="000028C3">
        <w:t xml:space="preserve"> строится на основе анализа блоков факторов: самостоятельной кредитоспособности </w:t>
      </w:r>
      <w:r w:rsidR="00AA4D37" w:rsidRPr="000028C3">
        <w:t>компании</w:t>
      </w:r>
      <w:r w:rsidRPr="000028C3">
        <w:t xml:space="preserve"> (с учетом внутренних стресс-фактор</w:t>
      </w:r>
      <w:r w:rsidR="00AA4D37" w:rsidRPr="000028C3">
        <w:t>ов</w:t>
      </w:r>
      <w:r w:rsidR="00E76C46" w:rsidRPr="000028C3">
        <w:t xml:space="preserve"> и факторов под</w:t>
      </w:r>
      <w:r w:rsidR="000E5801" w:rsidRPr="000028C3">
        <w:t>д</w:t>
      </w:r>
      <w:r w:rsidR="00E76C46" w:rsidRPr="000028C3">
        <w:t>ержки</w:t>
      </w:r>
      <w:r w:rsidRPr="000028C3">
        <w:t xml:space="preserve">) и значимости внешних факторов поддержки и стресс-факторов. Изначально определяется рейтинг самостоятельной кредитоспособности </w:t>
      </w:r>
      <w:r w:rsidR="00AA4D37" w:rsidRPr="000028C3">
        <w:t>компании</w:t>
      </w:r>
      <w:r w:rsidRPr="000028C3">
        <w:t xml:space="preserve">, далее производится корректировка на внешние факторы поддержки и стресс-факторы для определения итогового рейтингового числа. </w:t>
      </w:r>
    </w:p>
    <w:p w14:paraId="1DF59C94" w14:textId="77777777" w:rsidR="006823D7" w:rsidRPr="000028C3" w:rsidRDefault="006823D7" w:rsidP="0039664F">
      <w:pPr>
        <w:ind w:left="720"/>
        <w:jc w:val="both"/>
      </w:pPr>
    </w:p>
    <w:p w14:paraId="728490FC" w14:textId="77271CC0" w:rsidR="00AA4D37" w:rsidRPr="000028C3" w:rsidRDefault="00AA4D37" w:rsidP="0098669D">
      <w:pPr>
        <w:numPr>
          <w:ilvl w:val="0"/>
          <w:numId w:val="5"/>
        </w:numPr>
        <w:jc w:val="both"/>
      </w:pPr>
      <w:r w:rsidRPr="000028C3">
        <w:t xml:space="preserve">Самостоятельная кредитоспособность компании определяется как взвешенная сумма </w:t>
      </w:r>
      <w:r w:rsidR="000E5801" w:rsidRPr="000028C3">
        <w:t>балльных оценок (далее – рейтинговое число)</w:t>
      </w:r>
      <w:r w:rsidRPr="000028C3">
        <w:t xml:space="preserve"> </w:t>
      </w:r>
      <w:r w:rsidR="000219CC" w:rsidRPr="000028C3">
        <w:t>под</w:t>
      </w:r>
      <w:r w:rsidR="000E5801" w:rsidRPr="000028C3">
        <w:t>разделов «Р</w:t>
      </w:r>
      <w:r w:rsidRPr="000028C3">
        <w:t>ыночные позиции</w:t>
      </w:r>
      <w:r w:rsidR="000E5801" w:rsidRPr="000028C3">
        <w:t>»</w:t>
      </w:r>
      <w:r w:rsidRPr="000028C3">
        <w:t xml:space="preserve">, </w:t>
      </w:r>
      <w:r w:rsidR="000E5801" w:rsidRPr="000028C3">
        <w:t>«Ф</w:t>
      </w:r>
      <w:r w:rsidRPr="000028C3">
        <w:t>инансовый анализ</w:t>
      </w:r>
      <w:r w:rsidR="000E5801" w:rsidRPr="000028C3">
        <w:t>» и «У</w:t>
      </w:r>
      <w:r w:rsidRPr="000028C3">
        <w:t>правление рисками и корпоративное управление</w:t>
      </w:r>
      <w:r w:rsidR="000E5801" w:rsidRPr="000028C3">
        <w:t xml:space="preserve">», «Внутренние </w:t>
      </w:r>
      <w:r w:rsidR="00350596" w:rsidRPr="000028C3">
        <w:t xml:space="preserve">стресс-факторы и </w:t>
      </w:r>
      <w:r w:rsidR="000E5801" w:rsidRPr="000028C3">
        <w:t>факторы поддержки»</w:t>
      </w:r>
      <w:r w:rsidRPr="000028C3">
        <w:t>.</w:t>
      </w:r>
    </w:p>
    <w:p w14:paraId="62BB0EBA" w14:textId="77777777" w:rsidR="006823D7" w:rsidRPr="000028C3" w:rsidRDefault="006823D7" w:rsidP="0039664F">
      <w:pPr>
        <w:ind w:left="720"/>
        <w:jc w:val="both"/>
      </w:pPr>
    </w:p>
    <w:p w14:paraId="3D30E716" w14:textId="77777777" w:rsidR="000E5801" w:rsidRPr="000028C3" w:rsidRDefault="000E5801" w:rsidP="0098669D">
      <w:pPr>
        <w:numPr>
          <w:ilvl w:val="0"/>
          <w:numId w:val="5"/>
        </w:numPr>
        <w:jc w:val="both"/>
      </w:pPr>
      <w:r w:rsidRPr="000028C3">
        <w:t xml:space="preserve">Оценки отдельных показателей внутри каждого из факторов (кроме </w:t>
      </w:r>
      <w:r w:rsidR="00480591" w:rsidRPr="000028C3">
        <w:t>стресс-факторов (</w:t>
      </w:r>
      <w:r w:rsidRPr="000028C3">
        <w:t>СФ</w:t>
      </w:r>
      <w:r w:rsidR="00480591" w:rsidRPr="000028C3">
        <w:t>)</w:t>
      </w:r>
      <w:r w:rsidRPr="000028C3">
        <w:t xml:space="preserve"> и </w:t>
      </w:r>
      <w:r w:rsidR="00480591" w:rsidRPr="000028C3">
        <w:t>факторов поддержки (</w:t>
      </w:r>
      <w:r w:rsidRPr="000028C3">
        <w:t>ФП)</w:t>
      </w:r>
      <w:r w:rsidR="00480591" w:rsidRPr="000028C3">
        <w:t>)</w:t>
      </w:r>
      <w:r w:rsidRPr="000028C3">
        <w:t xml:space="preserve"> могут быть как непрерывными, так и дискретными, но в любом случае принимают значения в интервале от </w:t>
      </w:r>
      <w:r w:rsidRPr="000028C3">
        <w:noBreakHyphen/>
        <w:t>1 до 1. В случае, если оценка дискретная, она может прини</w:t>
      </w:r>
      <w:r w:rsidR="00480591" w:rsidRPr="000028C3">
        <w:t>мать одно из следующих значений.</w:t>
      </w:r>
    </w:p>
    <w:p w14:paraId="181E17F4" w14:textId="77777777" w:rsidR="00480591" w:rsidRPr="000028C3" w:rsidRDefault="00480591" w:rsidP="0039664F">
      <w:pPr>
        <w:jc w:val="both"/>
      </w:pPr>
    </w:p>
    <w:tbl>
      <w:tblPr>
        <w:tblW w:w="455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7894"/>
      </w:tblGrid>
      <w:tr w:rsidR="000E5801" w:rsidRPr="000028C3" w14:paraId="60CABB05" w14:textId="77777777" w:rsidTr="00AE3353">
        <w:tc>
          <w:tcPr>
            <w:tcW w:w="360" w:type="pct"/>
            <w:shd w:val="clear" w:color="auto" w:fill="auto"/>
            <w:tcMar>
              <w:top w:w="0" w:type="dxa"/>
              <w:left w:w="108" w:type="dxa"/>
              <w:bottom w:w="0" w:type="dxa"/>
              <w:right w:w="108" w:type="dxa"/>
            </w:tcMar>
            <w:vAlign w:val="center"/>
            <w:hideMark/>
          </w:tcPr>
          <w:p w14:paraId="5589A0C4" w14:textId="77777777" w:rsidR="000E5801" w:rsidRPr="000028C3" w:rsidRDefault="000E5801" w:rsidP="0039664F">
            <w:pPr>
              <w:jc w:val="center"/>
            </w:pPr>
            <w:r w:rsidRPr="000028C3">
              <w:t>1</w:t>
            </w:r>
          </w:p>
        </w:tc>
        <w:tc>
          <w:tcPr>
            <w:tcW w:w="4640" w:type="pct"/>
            <w:tcMar>
              <w:top w:w="0" w:type="dxa"/>
              <w:left w:w="108" w:type="dxa"/>
              <w:bottom w:w="0" w:type="dxa"/>
              <w:right w:w="108" w:type="dxa"/>
            </w:tcMar>
            <w:hideMark/>
          </w:tcPr>
          <w:p w14:paraId="1BE950BA" w14:textId="77777777" w:rsidR="000E5801" w:rsidRPr="000028C3" w:rsidRDefault="000E5801" w:rsidP="0039664F">
            <w:pPr>
              <w:jc w:val="both"/>
            </w:pPr>
            <w:r w:rsidRPr="000028C3">
              <w:t>Фактор (показатель) оказывает положительное влияние на уровень кредитоспособности</w:t>
            </w:r>
          </w:p>
        </w:tc>
      </w:tr>
      <w:tr w:rsidR="000E5801" w:rsidRPr="000028C3" w14:paraId="1BCC0BB9" w14:textId="77777777" w:rsidTr="00AE3353">
        <w:tc>
          <w:tcPr>
            <w:tcW w:w="360" w:type="pct"/>
            <w:shd w:val="clear" w:color="auto" w:fill="auto"/>
            <w:tcMar>
              <w:top w:w="0" w:type="dxa"/>
              <w:left w:w="108" w:type="dxa"/>
              <w:bottom w:w="0" w:type="dxa"/>
              <w:right w:w="108" w:type="dxa"/>
            </w:tcMar>
            <w:vAlign w:val="center"/>
            <w:hideMark/>
          </w:tcPr>
          <w:p w14:paraId="5C75ABA5" w14:textId="77777777" w:rsidR="000E5801" w:rsidRPr="000028C3" w:rsidRDefault="000E5801" w:rsidP="0039664F">
            <w:pPr>
              <w:jc w:val="center"/>
            </w:pPr>
            <w:r w:rsidRPr="000028C3">
              <w:t>0,5</w:t>
            </w:r>
          </w:p>
        </w:tc>
        <w:tc>
          <w:tcPr>
            <w:tcW w:w="4640" w:type="pct"/>
            <w:tcMar>
              <w:top w:w="0" w:type="dxa"/>
              <w:left w:w="108" w:type="dxa"/>
              <w:bottom w:w="0" w:type="dxa"/>
              <w:right w:w="108" w:type="dxa"/>
            </w:tcMar>
            <w:hideMark/>
          </w:tcPr>
          <w:p w14:paraId="2946CA4F" w14:textId="77777777" w:rsidR="000E5801" w:rsidRPr="000028C3" w:rsidRDefault="000E5801" w:rsidP="0039664F">
            <w:pPr>
              <w:jc w:val="both"/>
            </w:pPr>
            <w:r w:rsidRPr="000028C3">
              <w:t>Фактор (показатель) оказывает умеренно положительное влияние на уровень кредитоспособности</w:t>
            </w:r>
          </w:p>
        </w:tc>
      </w:tr>
      <w:tr w:rsidR="000E5801" w:rsidRPr="000028C3" w14:paraId="6342E5FE" w14:textId="77777777" w:rsidTr="00AE3353">
        <w:tc>
          <w:tcPr>
            <w:tcW w:w="360" w:type="pct"/>
            <w:shd w:val="clear" w:color="auto" w:fill="auto"/>
            <w:tcMar>
              <w:top w:w="0" w:type="dxa"/>
              <w:left w:w="108" w:type="dxa"/>
              <w:bottom w:w="0" w:type="dxa"/>
              <w:right w:w="108" w:type="dxa"/>
            </w:tcMar>
            <w:vAlign w:val="center"/>
            <w:hideMark/>
          </w:tcPr>
          <w:p w14:paraId="7DEA7592" w14:textId="77777777" w:rsidR="000E5801" w:rsidRPr="000028C3" w:rsidRDefault="000E5801" w:rsidP="0039664F">
            <w:pPr>
              <w:jc w:val="center"/>
            </w:pPr>
            <w:r w:rsidRPr="000028C3">
              <w:t>0</w:t>
            </w:r>
          </w:p>
        </w:tc>
        <w:tc>
          <w:tcPr>
            <w:tcW w:w="4640" w:type="pct"/>
            <w:tcMar>
              <w:top w:w="0" w:type="dxa"/>
              <w:left w:w="108" w:type="dxa"/>
              <w:bottom w:w="0" w:type="dxa"/>
              <w:right w:w="108" w:type="dxa"/>
            </w:tcMar>
            <w:hideMark/>
          </w:tcPr>
          <w:p w14:paraId="26AD592D" w14:textId="77777777" w:rsidR="000E5801" w:rsidRPr="000028C3" w:rsidRDefault="000E5801" w:rsidP="0039664F">
            <w:pPr>
              <w:jc w:val="both"/>
            </w:pPr>
            <w:r w:rsidRPr="000028C3">
              <w:t>Фактор (показатель) оказывает нейтральное влияние на уровень кредитоспособности</w:t>
            </w:r>
          </w:p>
        </w:tc>
      </w:tr>
      <w:tr w:rsidR="000E5801" w:rsidRPr="000028C3" w14:paraId="11BB4A13" w14:textId="77777777" w:rsidTr="00AE3353">
        <w:tc>
          <w:tcPr>
            <w:tcW w:w="360" w:type="pct"/>
            <w:shd w:val="clear" w:color="auto" w:fill="auto"/>
            <w:tcMar>
              <w:top w:w="0" w:type="dxa"/>
              <w:left w:w="108" w:type="dxa"/>
              <w:bottom w:w="0" w:type="dxa"/>
              <w:right w:w="108" w:type="dxa"/>
            </w:tcMar>
            <w:vAlign w:val="center"/>
            <w:hideMark/>
          </w:tcPr>
          <w:p w14:paraId="187E2887" w14:textId="77777777" w:rsidR="000E5801" w:rsidRPr="000028C3" w:rsidRDefault="000E5801" w:rsidP="0039664F">
            <w:pPr>
              <w:jc w:val="center"/>
            </w:pPr>
            <w:r w:rsidRPr="000028C3">
              <w:t>-0,5</w:t>
            </w:r>
          </w:p>
        </w:tc>
        <w:tc>
          <w:tcPr>
            <w:tcW w:w="4640" w:type="pct"/>
            <w:tcMar>
              <w:top w:w="0" w:type="dxa"/>
              <w:left w:w="108" w:type="dxa"/>
              <w:bottom w:w="0" w:type="dxa"/>
              <w:right w:w="108" w:type="dxa"/>
            </w:tcMar>
            <w:hideMark/>
          </w:tcPr>
          <w:p w14:paraId="3AE5820F" w14:textId="77777777" w:rsidR="000E5801" w:rsidRPr="000028C3" w:rsidRDefault="000E5801" w:rsidP="0039664F">
            <w:pPr>
              <w:jc w:val="both"/>
            </w:pPr>
            <w:r w:rsidRPr="000028C3">
              <w:t>Фактор (показатель) оказывает умеренно негативное влияние на уровень кредитоспособности</w:t>
            </w:r>
          </w:p>
        </w:tc>
      </w:tr>
      <w:tr w:rsidR="000E5801" w:rsidRPr="000028C3" w14:paraId="103B231C" w14:textId="77777777" w:rsidTr="00AE3353">
        <w:tc>
          <w:tcPr>
            <w:tcW w:w="360" w:type="pct"/>
            <w:shd w:val="clear" w:color="auto" w:fill="auto"/>
            <w:tcMar>
              <w:top w:w="0" w:type="dxa"/>
              <w:left w:w="108" w:type="dxa"/>
              <w:bottom w:w="0" w:type="dxa"/>
              <w:right w:w="108" w:type="dxa"/>
            </w:tcMar>
            <w:vAlign w:val="center"/>
            <w:hideMark/>
          </w:tcPr>
          <w:p w14:paraId="59157F76" w14:textId="77777777" w:rsidR="000E5801" w:rsidRPr="000028C3" w:rsidRDefault="000E5801" w:rsidP="0039664F">
            <w:pPr>
              <w:jc w:val="center"/>
            </w:pPr>
            <w:r w:rsidRPr="000028C3">
              <w:t>-1</w:t>
            </w:r>
          </w:p>
        </w:tc>
        <w:tc>
          <w:tcPr>
            <w:tcW w:w="4640" w:type="pct"/>
            <w:tcMar>
              <w:top w:w="0" w:type="dxa"/>
              <w:left w:w="108" w:type="dxa"/>
              <w:bottom w:w="0" w:type="dxa"/>
              <w:right w:w="108" w:type="dxa"/>
            </w:tcMar>
            <w:hideMark/>
          </w:tcPr>
          <w:p w14:paraId="28C7B36D" w14:textId="77777777" w:rsidR="000E5801" w:rsidRPr="000028C3" w:rsidRDefault="000E5801" w:rsidP="0039664F">
            <w:pPr>
              <w:jc w:val="both"/>
            </w:pPr>
            <w:r w:rsidRPr="000028C3">
              <w:t>Фактор (показатель) оказывает негативное влияние на уровень кредитоспособности</w:t>
            </w:r>
          </w:p>
        </w:tc>
      </w:tr>
    </w:tbl>
    <w:p w14:paraId="47BE99BA" w14:textId="77777777" w:rsidR="000E5801" w:rsidRPr="000028C3" w:rsidRDefault="000E5801" w:rsidP="0039664F">
      <w:pPr>
        <w:ind w:left="720"/>
        <w:jc w:val="both"/>
      </w:pPr>
    </w:p>
    <w:p w14:paraId="761C4304" w14:textId="77777777" w:rsidR="000E5801" w:rsidRPr="000028C3" w:rsidRDefault="00480591" w:rsidP="0098669D">
      <w:pPr>
        <w:numPr>
          <w:ilvl w:val="0"/>
          <w:numId w:val="5"/>
        </w:numPr>
        <w:jc w:val="both"/>
      </w:pPr>
      <w:r w:rsidRPr="000028C3">
        <w:t xml:space="preserve">Оценки могут быть скорректированы </w:t>
      </w:r>
      <w:r w:rsidR="000E5801" w:rsidRPr="000028C3">
        <w:t xml:space="preserve">на указанное в описании фактора число баллов. Все случаи корректировок должны быть обоснованы и доведены до сведения рейтингового комитета. Даже после корректировки оценка показателя должна оставаться в диапазоне от -1 до 1. Сумма весов всех факторов, отнесенных к внутренней кредитоспособности, равна 1, поэтому рейтинговое число на данном этапе может принимать значения от -1 до 1. </w:t>
      </w:r>
    </w:p>
    <w:p w14:paraId="3543F77A" w14:textId="77777777" w:rsidR="006823D7" w:rsidRPr="000028C3" w:rsidRDefault="006823D7" w:rsidP="0039664F">
      <w:pPr>
        <w:ind w:left="720"/>
        <w:jc w:val="both"/>
      </w:pPr>
    </w:p>
    <w:p w14:paraId="0B79C316" w14:textId="77777777" w:rsidR="00872809" w:rsidRPr="000028C3" w:rsidRDefault="000C4021" w:rsidP="0098669D">
      <w:pPr>
        <w:numPr>
          <w:ilvl w:val="0"/>
          <w:numId w:val="5"/>
        </w:numPr>
        <w:jc w:val="both"/>
      </w:pPr>
      <w:r w:rsidRPr="000028C3">
        <w:t>После оценки блоков факторов, отнесенных к внутренней кредитоспособности, производится оценка внутренних факторов поддержки и стресс-факторов, в соответствии с которой корректируется ранее посчитанное рейтинговое число и получается рейтинговое число для рейтинга самостоятельной кредитоспособности</w:t>
      </w:r>
      <w:r w:rsidR="000E5801" w:rsidRPr="000028C3">
        <w:t>.</w:t>
      </w:r>
    </w:p>
    <w:p w14:paraId="593DEC92" w14:textId="77777777" w:rsidR="006823D7" w:rsidRPr="000028C3" w:rsidRDefault="006823D7" w:rsidP="0039664F">
      <w:pPr>
        <w:pStyle w:val="RAEXdefault"/>
        <w:rPr>
          <w:rFonts w:cs="Times New Roman"/>
          <w:lang w:val="ru-RU"/>
        </w:rPr>
      </w:pPr>
    </w:p>
    <w:p w14:paraId="37A9851E" w14:textId="3935CAA0" w:rsidR="00275F99" w:rsidRPr="000028C3" w:rsidRDefault="00275F99" w:rsidP="0098669D">
      <w:pPr>
        <w:pStyle w:val="af7"/>
        <w:numPr>
          <w:ilvl w:val="0"/>
          <w:numId w:val="5"/>
        </w:numPr>
        <w:jc w:val="both"/>
        <w:rPr>
          <w:rFonts w:ascii="Times New Roman" w:hAnsi="Times New Roman" w:cs="Times New Roman"/>
        </w:rPr>
      </w:pPr>
      <w:r w:rsidRPr="000028C3">
        <w:rPr>
          <w:rFonts w:ascii="Times New Roman" w:hAnsi="Times New Roman" w:cs="Times New Roman"/>
        </w:rPr>
        <w:t xml:space="preserve">Значения СФ и ФП могут составлять 0 (отсутствие СФ/ФП), 0,5 (умеренный СФ/ФП) и 1 (сильный СФ/ФП). Вес каждого из стресс-факторов и факторов поддержки, кроме иных СФ и ФП, равен 20%, однако он не учитывается в сумме весов всех факторов, перечисленных в подразделах </w:t>
      </w:r>
      <w:r w:rsidR="000219CC" w:rsidRPr="000028C3">
        <w:rPr>
          <w:rFonts w:ascii="Times New Roman" w:hAnsi="Times New Roman" w:cs="Times New Roman"/>
        </w:rPr>
        <w:t xml:space="preserve">«Рыночные позиции», «Финансовый анализ» и «Управление рисками и корпоративное управление» </w:t>
      </w:r>
      <w:r w:rsidRPr="000028C3">
        <w:rPr>
          <w:rFonts w:ascii="Times New Roman" w:hAnsi="Times New Roman" w:cs="Times New Roman"/>
        </w:rPr>
        <w:t xml:space="preserve">(эта сумма равна 100%), а добавляется к ним. Веса иного СФ и ФП, которые могут быть как внутренними, так и внешними, составляют по 14% и также добавляются к сумме весов факторов подразделов </w:t>
      </w:r>
      <w:r w:rsidR="000219CC" w:rsidRPr="000028C3">
        <w:rPr>
          <w:rFonts w:ascii="Times New Roman" w:hAnsi="Times New Roman" w:cs="Times New Roman"/>
        </w:rPr>
        <w:t xml:space="preserve">«Рыночные позиции», «Финансовый анализ» и </w:t>
      </w:r>
      <w:r w:rsidR="000219CC" w:rsidRPr="000028C3">
        <w:rPr>
          <w:rFonts w:ascii="Times New Roman" w:hAnsi="Times New Roman" w:cs="Times New Roman"/>
        </w:rPr>
        <w:lastRenderedPageBreak/>
        <w:t>«Управление рисками и корпоративное управление</w:t>
      </w:r>
      <w:proofErr w:type="gramStart"/>
      <w:r w:rsidR="000219CC" w:rsidRPr="000028C3">
        <w:rPr>
          <w:rFonts w:ascii="Times New Roman" w:hAnsi="Times New Roman" w:cs="Times New Roman"/>
        </w:rPr>
        <w:t xml:space="preserve">» </w:t>
      </w:r>
      <w:r w:rsidRPr="000028C3">
        <w:rPr>
          <w:rFonts w:ascii="Times New Roman" w:hAnsi="Times New Roman" w:cs="Times New Roman"/>
        </w:rPr>
        <w:t>.</w:t>
      </w:r>
      <w:proofErr w:type="gramEnd"/>
      <w:r w:rsidRPr="000028C3">
        <w:rPr>
          <w:rFonts w:ascii="Times New Roman" w:hAnsi="Times New Roman" w:cs="Times New Roman"/>
        </w:rPr>
        <w:t xml:space="preserve"> Таким образом, СФ и ФП, кроме иных СФ и ФП, при их наличии обеспечивают вычет/прибавку к рейтинговому числу в размере 0,1 (умеренный СФ/ФП) или 0,2 (сильный СФ/ФП). Иные СФ/ФП при их наличии обеспечивают вычет/прибавку к рейтинговому числу в размере 0,07 (умеренный СФ/ФП) или 0,14 (сильный СФ/ФП).</w:t>
      </w:r>
    </w:p>
    <w:p w14:paraId="5A1AE3D9" w14:textId="77777777" w:rsidR="00370679" w:rsidRPr="000028C3" w:rsidRDefault="00370679" w:rsidP="00370679">
      <w:pPr>
        <w:pStyle w:val="af7"/>
        <w:jc w:val="both"/>
        <w:rPr>
          <w:rFonts w:ascii="Times New Roman" w:hAnsi="Times New Roman" w:cs="Times New Roman"/>
        </w:rPr>
      </w:pPr>
    </w:p>
    <w:p w14:paraId="7D648ED6" w14:textId="571A4FEE" w:rsidR="00391EE7" w:rsidRPr="000028C3" w:rsidRDefault="00391EE7" w:rsidP="0098669D">
      <w:pPr>
        <w:numPr>
          <w:ilvl w:val="0"/>
          <w:numId w:val="5"/>
        </w:numPr>
        <w:jc w:val="both"/>
      </w:pPr>
      <w:r w:rsidRPr="000028C3">
        <w:t>Внутренние факторы поддержки и стресс</w:t>
      </w:r>
      <w:r w:rsidR="003738BB" w:rsidRPr="000028C3">
        <w:t xml:space="preserve">-факторы описаны в </w:t>
      </w:r>
      <w:r w:rsidR="00AE3353" w:rsidRPr="000028C3">
        <w:t>соответствующ</w:t>
      </w:r>
      <w:r w:rsidR="000219CC" w:rsidRPr="000028C3">
        <w:t>ем</w:t>
      </w:r>
      <w:r w:rsidR="00AE3353" w:rsidRPr="000028C3">
        <w:t xml:space="preserve"> раздел</w:t>
      </w:r>
      <w:r w:rsidR="000219CC" w:rsidRPr="000028C3">
        <w:t>е</w:t>
      </w:r>
      <w:r w:rsidR="00AE3353" w:rsidRPr="000028C3">
        <w:t xml:space="preserve"> методологии</w:t>
      </w:r>
      <w:r w:rsidRPr="000028C3">
        <w:t>. При выявлении нескольких стресс-факторов (факторов поддержки) штрафы и бонусы складываются</w:t>
      </w:r>
      <w:r w:rsidR="000219CC" w:rsidRPr="000028C3">
        <w:t xml:space="preserve"> (за исключением случаев, если несколько СФ (ФП) обусловлены одной и той же причиной. В таком случае применяется максимальный из них)</w:t>
      </w:r>
      <w:r w:rsidRPr="000028C3">
        <w:t xml:space="preserve">. Затем рейтинговое число самостоятельной кредитоспособности </w:t>
      </w:r>
      <w:r w:rsidR="000219CC" w:rsidRPr="000028C3">
        <w:t xml:space="preserve">корректируется </w:t>
      </w:r>
      <w:r w:rsidRPr="000028C3">
        <w:t>на внешние факторы поддержки и стресс-факторы</w:t>
      </w:r>
      <w:r w:rsidR="00F92373" w:rsidRPr="000028C3">
        <w:t>, приведенные в соответствующем разделе</w:t>
      </w:r>
      <w:r w:rsidRPr="000028C3">
        <w:t xml:space="preserve"> </w:t>
      </w:r>
      <w:r w:rsidR="00F92373" w:rsidRPr="000028C3">
        <w:t>методологии,</w:t>
      </w:r>
      <w:r w:rsidR="00F23761" w:rsidRPr="000028C3">
        <w:t xml:space="preserve"> </w:t>
      </w:r>
      <w:r w:rsidRPr="000028C3">
        <w:t xml:space="preserve">и получается итоговое рейтинговое число. </w:t>
      </w:r>
    </w:p>
    <w:p w14:paraId="15C897C3" w14:textId="77777777" w:rsidR="006823D7" w:rsidRPr="000028C3" w:rsidRDefault="006823D7" w:rsidP="0039664F">
      <w:pPr>
        <w:ind w:left="720"/>
        <w:jc w:val="both"/>
      </w:pPr>
    </w:p>
    <w:p w14:paraId="4B72DC98" w14:textId="77777777" w:rsidR="00391EE7" w:rsidRPr="000028C3" w:rsidRDefault="00342E42" w:rsidP="0098669D">
      <w:pPr>
        <w:numPr>
          <w:ilvl w:val="0"/>
          <w:numId w:val="5"/>
        </w:numPr>
        <w:suppressAutoHyphens/>
        <w:jc w:val="both"/>
      </w:pPr>
      <w:r w:rsidRPr="000028C3">
        <w:t>На основании полученных рейтинговых чисел определяется уровень рейтинга самостоятельной кредитоспособности и рейтинг кредитоспособности (критерии приведены в таблице).</w:t>
      </w:r>
    </w:p>
    <w:p w14:paraId="10859B5F" w14:textId="77777777" w:rsidR="00342E42" w:rsidRPr="000028C3" w:rsidRDefault="00342E42" w:rsidP="0039664F">
      <w:pPr>
        <w:suppressAutoHyphens/>
        <w:jc w:val="both"/>
        <w:rPr>
          <w:highlight w:val="yellow"/>
        </w:rPr>
      </w:pPr>
    </w:p>
    <w:tbl>
      <w:tblPr>
        <w:tblW w:w="455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4840"/>
      </w:tblGrid>
      <w:tr w:rsidR="00746791" w:rsidRPr="000028C3" w14:paraId="6C498B9E" w14:textId="77777777" w:rsidTr="00AE3353">
        <w:trPr>
          <w:trHeight w:val="20"/>
        </w:trPr>
        <w:tc>
          <w:tcPr>
            <w:tcW w:w="2155" w:type="pct"/>
            <w:shd w:val="clear" w:color="auto" w:fill="auto"/>
            <w:noWrap/>
            <w:vAlign w:val="center"/>
            <w:hideMark/>
          </w:tcPr>
          <w:p w14:paraId="70A6516B" w14:textId="77777777" w:rsidR="00746791" w:rsidRPr="000028C3" w:rsidRDefault="00746791" w:rsidP="0039664F">
            <w:pPr>
              <w:rPr>
                <w:rFonts w:eastAsia="Arial Unicode MS"/>
                <w:b/>
                <w:bCs/>
              </w:rPr>
            </w:pPr>
            <w:r w:rsidRPr="000028C3">
              <w:rPr>
                <w:rFonts w:eastAsia="Arial Unicode MS"/>
                <w:b/>
                <w:bCs/>
              </w:rPr>
              <w:t>Уровень рейтинга</w:t>
            </w:r>
          </w:p>
        </w:tc>
        <w:tc>
          <w:tcPr>
            <w:tcW w:w="2845" w:type="pct"/>
            <w:shd w:val="clear" w:color="auto" w:fill="auto"/>
            <w:vAlign w:val="center"/>
            <w:hideMark/>
          </w:tcPr>
          <w:p w14:paraId="378E61C5" w14:textId="77777777" w:rsidR="00746791" w:rsidRPr="000028C3" w:rsidRDefault="00746791" w:rsidP="0039664F">
            <w:pPr>
              <w:rPr>
                <w:rFonts w:eastAsia="Arial Unicode MS"/>
                <w:b/>
                <w:bCs/>
              </w:rPr>
            </w:pPr>
            <w:r w:rsidRPr="000028C3">
              <w:rPr>
                <w:rFonts w:eastAsia="Arial Unicode MS"/>
                <w:b/>
                <w:bCs/>
              </w:rPr>
              <w:t>Диапазоны рейтинговых чисел</w:t>
            </w:r>
          </w:p>
        </w:tc>
      </w:tr>
      <w:tr w:rsidR="00746791" w:rsidRPr="000028C3" w14:paraId="5CC61BF4" w14:textId="77777777" w:rsidTr="00AE3353">
        <w:trPr>
          <w:trHeight w:val="20"/>
        </w:trPr>
        <w:tc>
          <w:tcPr>
            <w:tcW w:w="2155" w:type="pct"/>
            <w:shd w:val="clear" w:color="auto" w:fill="auto"/>
            <w:noWrap/>
            <w:vAlign w:val="center"/>
            <w:hideMark/>
          </w:tcPr>
          <w:p w14:paraId="5C7E306C" w14:textId="77777777" w:rsidR="00746791" w:rsidRPr="000028C3" w:rsidRDefault="00746791" w:rsidP="0039664F">
            <w:pPr>
              <w:rPr>
                <w:rFonts w:eastAsia="Arial Unicode MS"/>
              </w:rPr>
            </w:pPr>
            <w:r w:rsidRPr="000028C3">
              <w:rPr>
                <w:rFonts w:eastAsia="Arial Unicode MS"/>
              </w:rPr>
              <w:t>ruAAA</w:t>
            </w:r>
          </w:p>
        </w:tc>
        <w:tc>
          <w:tcPr>
            <w:tcW w:w="2845" w:type="pct"/>
            <w:shd w:val="clear" w:color="auto" w:fill="auto"/>
            <w:noWrap/>
            <w:vAlign w:val="center"/>
            <w:hideMark/>
          </w:tcPr>
          <w:p w14:paraId="70147B2B" w14:textId="77777777" w:rsidR="00746791" w:rsidRPr="000028C3" w:rsidRDefault="00746791" w:rsidP="0039664F">
            <w:pPr>
              <w:rPr>
                <w:rFonts w:eastAsia="Arial Unicode MS"/>
              </w:rPr>
            </w:pPr>
            <w:r w:rsidRPr="000028C3">
              <w:rPr>
                <w:rFonts w:eastAsia="Arial Unicode MS"/>
                <w:color w:val="000000"/>
              </w:rPr>
              <w:t>0,85 и выше</w:t>
            </w:r>
          </w:p>
        </w:tc>
      </w:tr>
      <w:tr w:rsidR="00746791" w:rsidRPr="000028C3" w14:paraId="67C62E52" w14:textId="77777777" w:rsidTr="00AE3353">
        <w:trPr>
          <w:trHeight w:val="20"/>
        </w:trPr>
        <w:tc>
          <w:tcPr>
            <w:tcW w:w="2155" w:type="pct"/>
            <w:shd w:val="clear" w:color="auto" w:fill="auto"/>
            <w:noWrap/>
            <w:vAlign w:val="center"/>
            <w:hideMark/>
          </w:tcPr>
          <w:p w14:paraId="372B38E2" w14:textId="77777777" w:rsidR="00746791" w:rsidRPr="000028C3" w:rsidRDefault="00746791" w:rsidP="0039664F">
            <w:pPr>
              <w:rPr>
                <w:rFonts w:eastAsia="Arial Unicode MS"/>
              </w:rPr>
            </w:pPr>
            <w:r w:rsidRPr="000028C3">
              <w:rPr>
                <w:rFonts w:eastAsia="Arial Unicode MS"/>
              </w:rPr>
              <w:t>ruAA+</w:t>
            </w:r>
          </w:p>
        </w:tc>
        <w:tc>
          <w:tcPr>
            <w:tcW w:w="2845" w:type="pct"/>
            <w:shd w:val="clear" w:color="auto" w:fill="auto"/>
            <w:noWrap/>
            <w:vAlign w:val="center"/>
            <w:hideMark/>
          </w:tcPr>
          <w:p w14:paraId="1031F665" w14:textId="77777777" w:rsidR="00746791" w:rsidRPr="000028C3" w:rsidRDefault="00746791" w:rsidP="0039664F">
            <w:pPr>
              <w:rPr>
                <w:rFonts w:eastAsia="Arial Unicode MS"/>
              </w:rPr>
            </w:pPr>
            <w:r w:rsidRPr="000028C3">
              <w:rPr>
                <w:rFonts w:eastAsia="Arial Unicode MS"/>
              </w:rPr>
              <w:t>[0,78;0,85)</w:t>
            </w:r>
          </w:p>
        </w:tc>
      </w:tr>
      <w:tr w:rsidR="00746791" w:rsidRPr="000028C3" w14:paraId="37FE68A0" w14:textId="77777777" w:rsidTr="00AE3353">
        <w:trPr>
          <w:trHeight w:val="20"/>
        </w:trPr>
        <w:tc>
          <w:tcPr>
            <w:tcW w:w="2155" w:type="pct"/>
            <w:shd w:val="clear" w:color="auto" w:fill="auto"/>
            <w:noWrap/>
            <w:vAlign w:val="center"/>
            <w:hideMark/>
          </w:tcPr>
          <w:p w14:paraId="38EBF162" w14:textId="77777777" w:rsidR="00746791" w:rsidRPr="000028C3" w:rsidRDefault="00746791" w:rsidP="0039664F">
            <w:pPr>
              <w:rPr>
                <w:rFonts w:eastAsia="Arial Unicode MS"/>
              </w:rPr>
            </w:pPr>
            <w:r w:rsidRPr="000028C3">
              <w:rPr>
                <w:rFonts w:eastAsia="Arial Unicode MS"/>
              </w:rPr>
              <w:t>ruAA</w:t>
            </w:r>
          </w:p>
        </w:tc>
        <w:tc>
          <w:tcPr>
            <w:tcW w:w="2845" w:type="pct"/>
            <w:shd w:val="clear" w:color="auto" w:fill="auto"/>
            <w:noWrap/>
            <w:vAlign w:val="center"/>
            <w:hideMark/>
          </w:tcPr>
          <w:p w14:paraId="4E97FE2A" w14:textId="77777777" w:rsidR="00746791" w:rsidRPr="000028C3" w:rsidRDefault="00746791" w:rsidP="0039664F">
            <w:pPr>
              <w:rPr>
                <w:rFonts w:eastAsia="Arial Unicode MS"/>
              </w:rPr>
            </w:pPr>
            <w:r w:rsidRPr="000028C3">
              <w:rPr>
                <w:rFonts w:eastAsia="Arial Unicode MS"/>
              </w:rPr>
              <w:t>[0,71;0,78)</w:t>
            </w:r>
          </w:p>
        </w:tc>
      </w:tr>
      <w:tr w:rsidR="00746791" w:rsidRPr="000028C3" w14:paraId="36958466" w14:textId="77777777" w:rsidTr="00AE3353">
        <w:trPr>
          <w:trHeight w:val="20"/>
        </w:trPr>
        <w:tc>
          <w:tcPr>
            <w:tcW w:w="2155" w:type="pct"/>
            <w:shd w:val="clear" w:color="auto" w:fill="auto"/>
            <w:noWrap/>
            <w:vAlign w:val="center"/>
            <w:hideMark/>
          </w:tcPr>
          <w:p w14:paraId="36009406" w14:textId="77777777" w:rsidR="00746791" w:rsidRPr="000028C3" w:rsidRDefault="00746791" w:rsidP="0039664F">
            <w:pPr>
              <w:rPr>
                <w:rFonts w:eastAsia="Arial Unicode MS"/>
              </w:rPr>
            </w:pPr>
            <w:r w:rsidRPr="000028C3">
              <w:rPr>
                <w:rFonts w:eastAsia="Arial Unicode MS"/>
              </w:rPr>
              <w:t>ruAA-</w:t>
            </w:r>
          </w:p>
        </w:tc>
        <w:tc>
          <w:tcPr>
            <w:tcW w:w="2845" w:type="pct"/>
            <w:shd w:val="clear" w:color="auto" w:fill="auto"/>
            <w:noWrap/>
            <w:vAlign w:val="center"/>
            <w:hideMark/>
          </w:tcPr>
          <w:p w14:paraId="4F3B721C" w14:textId="77777777" w:rsidR="00746791" w:rsidRPr="000028C3" w:rsidRDefault="00746791" w:rsidP="0039664F">
            <w:pPr>
              <w:rPr>
                <w:rFonts w:eastAsia="Arial Unicode MS"/>
              </w:rPr>
            </w:pPr>
            <w:r w:rsidRPr="000028C3">
              <w:rPr>
                <w:rFonts w:eastAsia="Arial Unicode MS"/>
              </w:rPr>
              <w:t>[0,64;0,71)</w:t>
            </w:r>
          </w:p>
        </w:tc>
      </w:tr>
      <w:tr w:rsidR="00746791" w:rsidRPr="000028C3" w14:paraId="0D000898" w14:textId="77777777" w:rsidTr="00AE3353">
        <w:trPr>
          <w:trHeight w:val="20"/>
        </w:trPr>
        <w:tc>
          <w:tcPr>
            <w:tcW w:w="2155" w:type="pct"/>
            <w:shd w:val="clear" w:color="auto" w:fill="auto"/>
            <w:noWrap/>
            <w:vAlign w:val="center"/>
            <w:hideMark/>
          </w:tcPr>
          <w:p w14:paraId="210509EF" w14:textId="77777777" w:rsidR="00746791" w:rsidRPr="000028C3" w:rsidRDefault="00746791" w:rsidP="0039664F">
            <w:pPr>
              <w:rPr>
                <w:rFonts w:eastAsia="Arial Unicode MS"/>
              </w:rPr>
            </w:pPr>
            <w:r w:rsidRPr="000028C3">
              <w:rPr>
                <w:rFonts w:eastAsia="Arial Unicode MS"/>
              </w:rPr>
              <w:t>ruA+</w:t>
            </w:r>
          </w:p>
        </w:tc>
        <w:tc>
          <w:tcPr>
            <w:tcW w:w="2845" w:type="pct"/>
            <w:shd w:val="clear" w:color="auto" w:fill="auto"/>
            <w:noWrap/>
            <w:vAlign w:val="center"/>
            <w:hideMark/>
          </w:tcPr>
          <w:p w14:paraId="595AD73C" w14:textId="77777777" w:rsidR="00746791" w:rsidRPr="000028C3" w:rsidRDefault="00746791" w:rsidP="0039664F">
            <w:pPr>
              <w:rPr>
                <w:rFonts w:eastAsia="Arial Unicode MS"/>
              </w:rPr>
            </w:pPr>
            <w:r w:rsidRPr="000028C3">
              <w:rPr>
                <w:rFonts w:eastAsia="Arial Unicode MS"/>
              </w:rPr>
              <w:t>[0,57;0,64)</w:t>
            </w:r>
          </w:p>
        </w:tc>
      </w:tr>
      <w:tr w:rsidR="00746791" w:rsidRPr="000028C3" w14:paraId="736D1C31" w14:textId="77777777" w:rsidTr="00AE3353">
        <w:trPr>
          <w:trHeight w:val="20"/>
        </w:trPr>
        <w:tc>
          <w:tcPr>
            <w:tcW w:w="2155" w:type="pct"/>
            <w:shd w:val="clear" w:color="auto" w:fill="auto"/>
            <w:noWrap/>
            <w:vAlign w:val="center"/>
            <w:hideMark/>
          </w:tcPr>
          <w:p w14:paraId="555662FE" w14:textId="77777777" w:rsidR="00746791" w:rsidRPr="000028C3" w:rsidRDefault="00746791" w:rsidP="0039664F">
            <w:pPr>
              <w:rPr>
                <w:rFonts w:eastAsia="Arial Unicode MS"/>
              </w:rPr>
            </w:pPr>
            <w:r w:rsidRPr="000028C3">
              <w:rPr>
                <w:rFonts w:eastAsia="Arial Unicode MS"/>
              </w:rPr>
              <w:t>ruA</w:t>
            </w:r>
          </w:p>
        </w:tc>
        <w:tc>
          <w:tcPr>
            <w:tcW w:w="2845" w:type="pct"/>
            <w:shd w:val="clear" w:color="auto" w:fill="auto"/>
            <w:noWrap/>
            <w:vAlign w:val="center"/>
            <w:hideMark/>
          </w:tcPr>
          <w:p w14:paraId="6E2097D1" w14:textId="77777777" w:rsidR="00746791" w:rsidRPr="000028C3" w:rsidRDefault="00746791" w:rsidP="0039664F">
            <w:pPr>
              <w:rPr>
                <w:rFonts w:eastAsia="Arial Unicode MS"/>
              </w:rPr>
            </w:pPr>
            <w:r w:rsidRPr="000028C3">
              <w:rPr>
                <w:rFonts w:eastAsia="Arial Unicode MS"/>
              </w:rPr>
              <w:t>[0,5;0,57)</w:t>
            </w:r>
          </w:p>
        </w:tc>
      </w:tr>
      <w:tr w:rsidR="00746791" w:rsidRPr="000028C3" w14:paraId="25AE612F" w14:textId="77777777" w:rsidTr="00AE3353">
        <w:trPr>
          <w:trHeight w:val="20"/>
        </w:trPr>
        <w:tc>
          <w:tcPr>
            <w:tcW w:w="2155" w:type="pct"/>
            <w:shd w:val="clear" w:color="auto" w:fill="auto"/>
            <w:noWrap/>
            <w:vAlign w:val="center"/>
            <w:hideMark/>
          </w:tcPr>
          <w:p w14:paraId="3BDF79F7" w14:textId="77777777" w:rsidR="00746791" w:rsidRPr="000028C3" w:rsidRDefault="00746791" w:rsidP="0039664F">
            <w:pPr>
              <w:rPr>
                <w:rFonts w:eastAsia="Arial Unicode MS"/>
              </w:rPr>
            </w:pPr>
            <w:r w:rsidRPr="000028C3">
              <w:rPr>
                <w:rFonts w:eastAsia="Arial Unicode MS"/>
              </w:rPr>
              <w:t>ruA-</w:t>
            </w:r>
          </w:p>
        </w:tc>
        <w:tc>
          <w:tcPr>
            <w:tcW w:w="2845" w:type="pct"/>
            <w:shd w:val="clear" w:color="auto" w:fill="auto"/>
            <w:noWrap/>
            <w:vAlign w:val="center"/>
            <w:hideMark/>
          </w:tcPr>
          <w:p w14:paraId="0756BD72" w14:textId="77777777" w:rsidR="00746791" w:rsidRPr="000028C3" w:rsidRDefault="00746791" w:rsidP="0039664F">
            <w:pPr>
              <w:rPr>
                <w:rFonts w:eastAsia="Arial Unicode MS"/>
              </w:rPr>
            </w:pPr>
            <w:r w:rsidRPr="000028C3">
              <w:rPr>
                <w:rFonts w:eastAsia="Arial Unicode MS"/>
              </w:rPr>
              <w:t>[0,43;0,5)</w:t>
            </w:r>
          </w:p>
        </w:tc>
      </w:tr>
      <w:tr w:rsidR="00746791" w:rsidRPr="000028C3" w14:paraId="0B01B7D7" w14:textId="77777777" w:rsidTr="00AE3353">
        <w:trPr>
          <w:trHeight w:val="20"/>
        </w:trPr>
        <w:tc>
          <w:tcPr>
            <w:tcW w:w="2155" w:type="pct"/>
            <w:shd w:val="clear" w:color="auto" w:fill="auto"/>
            <w:noWrap/>
            <w:vAlign w:val="center"/>
            <w:hideMark/>
          </w:tcPr>
          <w:p w14:paraId="2DD30657" w14:textId="77777777" w:rsidR="00746791" w:rsidRPr="000028C3" w:rsidRDefault="00746791" w:rsidP="0039664F">
            <w:pPr>
              <w:rPr>
                <w:rFonts w:eastAsia="Arial Unicode MS"/>
              </w:rPr>
            </w:pPr>
            <w:r w:rsidRPr="000028C3">
              <w:rPr>
                <w:rFonts w:eastAsia="Arial Unicode MS"/>
              </w:rPr>
              <w:t>ruBBB+</w:t>
            </w:r>
          </w:p>
        </w:tc>
        <w:tc>
          <w:tcPr>
            <w:tcW w:w="2845" w:type="pct"/>
            <w:shd w:val="clear" w:color="auto" w:fill="auto"/>
            <w:noWrap/>
            <w:vAlign w:val="center"/>
            <w:hideMark/>
          </w:tcPr>
          <w:p w14:paraId="13A70F46" w14:textId="77777777" w:rsidR="00746791" w:rsidRPr="000028C3" w:rsidRDefault="00746791" w:rsidP="0039664F">
            <w:pPr>
              <w:rPr>
                <w:rFonts w:eastAsia="Arial Unicode MS"/>
              </w:rPr>
            </w:pPr>
            <w:r w:rsidRPr="000028C3">
              <w:rPr>
                <w:rFonts w:eastAsia="Arial Unicode MS"/>
              </w:rPr>
              <w:t>[0,36;0,43)</w:t>
            </w:r>
          </w:p>
        </w:tc>
      </w:tr>
      <w:tr w:rsidR="00746791" w:rsidRPr="000028C3" w14:paraId="3AC60511" w14:textId="77777777" w:rsidTr="00AE3353">
        <w:trPr>
          <w:trHeight w:val="20"/>
        </w:trPr>
        <w:tc>
          <w:tcPr>
            <w:tcW w:w="2155" w:type="pct"/>
            <w:shd w:val="clear" w:color="auto" w:fill="auto"/>
            <w:noWrap/>
            <w:vAlign w:val="center"/>
            <w:hideMark/>
          </w:tcPr>
          <w:p w14:paraId="5BF66A8D" w14:textId="77777777" w:rsidR="00746791" w:rsidRPr="000028C3" w:rsidRDefault="00746791" w:rsidP="0039664F">
            <w:pPr>
              <w:rPr>
                <w:rFonts w:eastAsia="Arial Unicode MS"/>
              </w:rPr>
            </w:pPr>
            <w:r w:rsidRPr="000028C3">
              <w:rPr>
                <w:rFonts w:eastAsia="Arial Unicode MS"/>
              </w:rPr>
              <w:t>ruBBB</w:t>
            </w:r>
          </w:p>
        </w:tc>
        <w:tc>
          <w:tcPr>
            <w:tcW w:w="2845" w:type="pct"/>
            <w:shd w:val="clear" w:color="auto" w:fill="auto"/>
            <w:noWrap/>
            <w:vAlign w:val="center"/>
            <w:hideMark/>
          </w:tcPr>
          <w:p w14:paraId="17628CF3" w14:textId="77777777" w:rsidR="00746791" w:rsidRPr="000028C3" w:rsidRDefault="00746791" w:rsidP="0039664F">
            <w:pPr>
              <w:rPr>
                <w:rFonts w:eastAsia="Arial Unicode MS"/>
              </w:rPr>
            </w:pPr>
            <w:r w:rsidRPr="000028C3">
              <w:rPr>
                <w:rFonts w:eastAsia="Arial Unicode MS"/>
              </w:rPr>
              <w:t>[0,29;0,36)</w:t>
            </w:r>
          </w:p>
        </w:tc>
      </w:tr>
      <w:tr w:rsidR="00746791" w:rsidRPr="000028C3" w14:paraId="7F4032FC" w14:textId="77777777" w:rsidTr="00AE3353">
        <w:trPr>
          <w:trHeight w:val="20"/>
        </w:trPr>
        <w:tc>
          <w:tcPr>
            <w:tcW w:w="2155" w:type="pct"/>
            <w:shd w:val="clear" w:color="auto" w:fill="auto"/>
            <w:noWrap/>
            <w:vAlign w:val="center"/>
            <w:hideMark/>
          </w:tcPr>
          <w:p w14:paraId="59BD3F41" w14:textId="77777777" w:rsidR="00746791" w:rsidRPr="000028C3" w:rsidRDefault="00746791" w:rsidP="0039664F">
            <w:pPr>
              <w:rPr>
                <w:rFonts w:eastAsia="Arial Unicode MS"/>
              </w:rPr>
            </w:pPr>
            <w:r w:rsidRPr="000028C3">
              <w:rPr>
                <w:rFonts w:eastAsia="Arial Unicode MS"/>
              </w:rPr>
              <w:t>ruBBB-</w:t>
            </w:r>
          </w:p>
        </w:tc>
        <w:tc>
          <w:tcPr>
            <w:tcW w:w="2845" w:type="pct"/>
            <w:shd w:val="clear" w:color="auto" w:fill="auto"/>
            <w:noWrap/>
            <w:vAlign w:val="center"/>
            <w:hideMark/>
          </w:tcPr>
          <w:p w14:paraId="4C3097E6" w14:textId="77777777" w:rsidR="00746791" w:rsidRPr="000028C3" w:rsidRDefault="00746791" w:rsidP="0039664F">
            <w:pPr>
              <w:rPr>
                <w:rFonts w:eastAsia="Arial Unicode MS"/>
              </w:rPr>
            </w:pPr>
            <w:r w:rsidRPr="000028C3">
              <w:rPr>
                <w:rFonts w:eastAsia="Arial Unicode MS"/>
              </w:rPr>
              <w:t>[0,22;0,29)</w:t>
            </w:r>
          </w:p>
        </w:tc>
      </w:tr>
      <w:tr w:rsidR="00746791" w:rsidRPr="000028C3" w14:paraId="6A9D5328" w14:textId="77777777" w:rsidTr="00AE3353">
        <w:trPr>
          <w:trHeight w:val="20"/>
        </w:trPr>
        <w:tc>
          <w:tcPr>
            <w:tcW w:w="2155" w:type="pct"/>
            <w:shd w:val="clear" w:color="auto" w:fill="auto"/>
            <w:noWrap/>
            <w:vAlign w:val="center"/>
            <w:hideMark/>
          </w:tcPr>
          <w:p w14:paraId="5CF0E4FB" w14:textId="77777777" w:rsidR="00746791" w:rsidRPr="000028C3" w:rsidRDefault="00746791" w:rsidP="0039664F">
            <w:pPr>
              <w:rPr>
                <w:rFonts w:eastAsia="Arial Unicode MS"/>
              </w:rPr>
            </w:pPr>
            <w:r w:rsidRPr="000028C3">
              <w:rPr>
                <w:rFonts w:eastAsia="Arial Unicode MS"/>
              </w:rPr>
              <w:t>ruBB+</w:t>
            </w:r>
          </w:p>
        </w:tc>
        <w:tc>
          <w:tcPr>
            <w:tcW w:w="2845" w:type="pct"/>
            <w:shd w:val="clear" w:color="auto" w:fill="auto"/>
            <w:noWrap/>
            <w:vAlign w:val="center"/>
            <w:hideMark/>
          </w:tcPr>
          <w:p w14:paraId="208D5FB4" w14:textId="77777777" w:rsidR="00746791" w:rsidRPr="000028C3" w:rsidRDefault="00746791" w:rsidP="0039664F">
            <w:pPr>
              <w:rPr>
                <w:rFonts w:eastAsia="Arial Unicode MS"/>
              </w:rPr>
            </w:pPr>
            <w:r w:rsidRPr="000028C3">
              <w:rPr>
                <w:rFonts w:eastAsia="Arial Unicode MS"/>
              </w:rPr>
              <w:t>[0,15;0,22)</w:t>
            </w:r>
          </w:p>
        </w:tc>
      </w:tr>
      <w:tr w:rsidR="00746791" w:rsidRPr="000028C3" w14:paraId="26062A71" w14:textId="77777777" w:rsidTr="00AE3353">
        <w:trPr>
          <w:trHeight w:val="20"/>
        </w:trPr>
        <w:tc>
          <w:tcPr>
            <w:tcW w:w="2155" w:type="pct"/>
            <w:shd w:val="clear" w:color="auto" w:fill="auto"/>
            <w:noWrap/>
            <w:vAlign w:val="center"/>
            <w:hideMark/>
          </w:tcPr>
          <w:p w14:paraId="308C0C69" w14:textId="77777777" w:rsidR="00746791" w:rsidRPr="000028C3" w:rsidRDefault="00746791" w:rsidP="0039664F">
            <w:pPr>
              <w:rPr>
                <w:rFonts w:eastAsia="Arial Unicode MS"/>
              </w:rPr>
            </w:pPr>
            <w:r w:rsidRPr="000028C3">
              <w:rPr>
                <w:rFonts w:eastAsia="Arial Unicode MS"/>
              </w:rPr>
              <w:t>ruBB</w:t>
            </w:r>
          </w:p>
        </w:tc>
        <w:tc>
          <w:tcPr>
            <w:tcW w:w="2845" w:type="pct"/>
            <w:shd w:val="clear" w:color="auto" w:fill="auto"/>
            <w:noWrap/>
            <w:vAlign w:val="center"/>
            <w:hideMark/>
          </w:tcPr>
          <w:p w14:paraId="07C4DAAF" w14:textId="77777777" w:rsidR="00746791" w:rsidRPr="000028C3" w:rsidRDefault="00746791" w:rsidP="0039664F">
            <w:pPr>
              <w:rPr>
                <w:rFonts w:eastAsia="Arial Unicode MS"/>
              </w:rPr>
            </w:pPr>
            <w:r w:rsidRPr="000028C3">
              <w:rPr>
                <w:rFonts w:eastAsia="Arial Unicode MS"/>
              </w:rPr>
              <w:t>[0,08;0,15)</w:t>
            </w:r>
          </w:p>
        </w:tc>
      </w:tr>
      <w:tr w:rsidR="00746791" w:rsidRPr="000028C3" w14:paraId="05949DAE" w14:textId="77777777" w:rsidTr="00AE3353">
        <w:trPr>
          <w:trHeight w:val="20"/>
        </w:trPr>
        <w:tc>
          <w:tcPr>
            <w:tcW w:w="2155" w:type="pct"/>
            <w:shd w:val="clear" w:color="auto" w:fill="auto"/>
            <w:noWrap/>
            <w:vAlign w:val="center"/>
            <w:hideMark/>
          </w:tcPr>
          <w:p w14:paraId="5596F3BC" w14:textId="77777777" w:rsidR="00746791" w:rsidRPr="000028C3" w:rsidRDefault="00746791" w:rsidP="0039664F">
            <w:pPr>
              <w:rPr>
                <w:rFonts w:eastAsia="Arial Unicode MS"/>
              </w:rPr>
            </w:pPr>
            <w:r w:rsidRPr="000028C3">
              <w:rPr>
                <w:rFonts w:eastAsia="Arial Unicode MS"/>
              </w:rPr>
              <w:t>ruBB-</w:t>
            </w:r>
          </w:p>
        </w:tc>
        <w:tc>
          <w:tcPr>
            <w:tcW w:w="2845" w:type="pct"/>
            <w:shd w:val="clear" w:color="auto" w:fill="auto"/>
            <w:noWrap/>
            <w:vAlign w:val="center"/>
            <w:hideMark/>
          </w:tcPr>
          <w:p w14:paraId="1B116677" w14:textId="77777777" w:rsidR="00746791" w:rsidRPr="000028C3" w:rsidRDefault="00746791" w:rsidP="0039664F">
            <w:pPr>
              <w:rPr>
                <w:rFonts w:eastAsia="Arial Unicode MS"/>
              </w:rPr>
            </w:pPr>
            <w:r w:rsidRPr="000028C3">
              <w:rPr>
                <w:rFonts w:eastAsia="Arial Unicode MS"/>
              </w:rPr>
              <w:t>[0,01;0,08)</w:t>
            </w:r>
          </w:p>
        </w:tc>
      </w:tr>
      <w:tr w:rsidR="00746791" w:rsidRPr="000028C3" w14:paraId="6DB9B7FD" w14:textId="77777777" w:rsidTr="00AE3353">
        <w:trPr>
          <w:trHeight w:val="20"/>
        </w:trPr>
        <w:tc>
          <w:tcPr>
            <w:tcW w:w="2155" w:type="pct"/>
            <w:shd w:val="clear" w:color="auto" w:fill="auto"/>
            <w:noWrap/>
            <w:vAlign w:val="center"/>
            <w:hideMark/>
          </w:tcPr>
          <w:p w14:paraId="3171C366" w14:textId="77777777" w:rsidR="00746791" w:rsidRPr="000028C3" w:rsidRDefault="00746791" w:rsidP="0039664F">
            <w:pPr>
              <w:rPr>
                <w:rFonts w:eastAsia="Arial Unicode MS"/>
              </w:rPr>
            </w:pPr>
            <w:r w:rsidRPr="000028C3">
              <w:rPr>
                <w:rFonts w:eastAsia="Arial Unicode MS"/>
              </w:rPr>
              <w:t>ruB+</w:t>
            </w:r>
          </w:p>
        </w:tc>
        <w:tc>
          <w:tcPr>
            <w:tcW w:w="2845" w:type="pct"/>
            <w:shd w:val="clear" w:color="auto" w:fill="auto"/>
            <w:noWrap/>
            <w:vAlign w:val="center"/>
            <w:hideMark/>
          </w:tcPr>
          <w:p w14:paraId="7461F9D1" w14:textId="77777777" w:rsidR="00746791" w:rsidRPr="000028C3" w:rsidRDefault="00746791" w:rsidP="0039664F">
            <w:pPr>
              <w:rPr>
                <w:rFonts w:eastAsia="Arial Unicode MS"/>
              </w:rPr>
            </w:pPr>
            <w:r w:rsidRPr="000028C3">
              <w:rPr>
                <w:rFonts w:eastAsia="Arial Unicode MS"/>
              </w:rPr>
              <w:t>[-0,06;0,01)</w:t>
            </w:r>
          </w:p>
        </w:tc>
      </w:tr>
      <w:tr w:rsidR="00746791" w:rsidRPr="000028C3" w14:paraId="1EA4E80D" w14:textId="77777777" w:rsidTr="00AE3353">
        <w:trPr>
          <w:trHeight w:val="20"/>
        </w:trPr>
        <w:tc>
          <w:tcPr>
            <w:tcW w:w="2155" w:type="pct"/>
            <w:shd w:val="clear" w:color="auto" w:fill="auto"/>
            <w:noWrap/>
            <w:vAlign w:val="center"/>
            <w:hideMark/>
          </w:tcPr>
          <w:p w14:paraId="08D468DD" w14:textId="77777777" w:rsidR="00746791" w:rsidRPr="000028C3" w:rsidRDefault="00746791" w:rsidP="0039664F">
            <w:pPr>
              <w:rPr>
                <w:rFonts w:eastAsia="Arial Unicode MS"/>
              </w:rPr>
            </w:pPr>
            <w:r w:rsidRPr="000028C3">
              <w:rPr>
                <w:rFonts w:eastAsia="Arial Unicode MS"/>
              </w:rPr>
              <w:t>ruB</w:t>
            </w:r>
          </w:p>
        </w:tc>
        <w:tc>
          <w:tcPr>
            <w:tcW w:w="2845" w:type="pct"/>
            <w:shd w:val="clear" w:color="auto" w:fill="auto"/>
            <w:noWrap/>
            <w:vAlign w:val="center"/>
            <w:hideMark/>
          </w:tcPr>
          <w:p w14:paraId="57C794D1" w14:textId="77777777" w:rsidR="00746791" w:rsidRPr="000028C3" w:rsidRDefault="00746791" w:rsidP="0039664F">
            <w:pPr>
              <w:rPr>
                <w:rFonts w:eastAsia="Arial Unicode MS"/>
              </w:rPr>
            </w:pPr>
            <w:r w:rsidRPr="000028C3">
              <w:rPr>
                <w:rFonts w:eastAsia="Arial Unicode MS"/>
              </w:rPr>
              <w:t>[-0,</w:t>
            </w:r>
            <w:proofErr w:type="gramStart"/>
            <w:r w:rsidRPr="000028C3">
              <w:rPr>
                <w:rFonts w:eastAsia="Arial Unicode MS"/>
              </w:rPr>
              <w:t>13;-</w:t>
            </w:r>
            <w:proofErr w:type="gramEnd"/>
            <w:r w:rsidRPr="000028C3">
              <w:rPr>
                <w:rFonts w:eastAsia="Arial Unicode MS"/>
              </w:rPr>
              <w:t>0,06)</w:t>
            </w:r>
          </w:p>
        </w:tc>
      </w:tr>
      <w:tr w:rsidR="00746791" w:rsidRPr="000028C3" w14:paraId="458EC58B" w14:textId="77777777" w:rsidTr="00AE3353">
        <w:trPr>
          <w:trHeight w:val="20"/>
        </w:trPr>
        <w:tc>
          <w:tcPr>
            <w:tcW w:w="2155" w:type="pct"/>
            <w:shd w:val="clear" w:color="auto" w:fill="auto"/>
            <w:noWrap/>
            <w:vAlign w:val="center"/>
            <w:hideMark/>
          </w:tcPr>
          <w:p w14:paraId="3766F132" w14:textId="77777777" w:rsidR="00746791" w:rsidRPr="000028C3" w:rsidRDefault="00746791" w:rsidP="0039664F">
            <w:pPr>
              <w:rPr>
                <w:rFonts w:eastAsia="Arial Unicode MS"/>
              </w:rPr>
            </w:pPr>
            <w:r w:rsidRPr="000028C3">
              <w:rPr>
                <w:rFonts w:eastAsia="Arial Unicode MS"/>
              </w:rPr>
              <w:t>ruB-</w:t>
            </w:r>
          </w:p>
        </w:tc>
        <w:tc>
          <w:tcPr>
            <w:tcW w:w="2845" w:type="pct"/>
            <w:shd w:val="clear" w:color="auto" w:fill="auto"/>
            <w:noWrap/>
            <w:vAlign w:val="center"/>
            <w:hideMark/>
          </w:tcPr>
          <w:p w14:paraId="033FE708" w14:textId="10F7C15E" w:rsidR="00746791" w:rsidRPr="000028C3" w:rsidRDefault="00746791" w:rsidP="0039664F">
            <w:pPr>
              <w:rPr>
                <w:rFonts w:eastAsia="Arial Unicode MS"/>
              </w:rPr>
            </w:pPr>
            <w:r w:rsidRPr="000028C3">
              <w:rPr>
                <w:rFonts w:eastAsia="Arial Unicode MS"/>
              </w:rPr>
              <w:t>[-0,</w:t>
            </w:r>
            <w:proofErr w:type="gramStart"/>
            <w:r w:rsidRPr="000028C3">
              <w:rPr>
                <w:rFonts w:eastAsia="Arial Unicode MS"/>
              </w:rPr>
              <w:t>2</w:t>
            </w:r>
            <w:r w:rsidR="002A1410" w:rsidRPr="000028C3">
              <w:rPr>
                <w:rFonts w:eastAsia="Arial Unicode MS"/>
              </w:rPr>
              <w:t>0</w:t>
            </w:r>
            <w:r w:rsidRPr="000028C3">
              <w:rPr>
                <w:rFonts w:eastAsia="Arial Unicode MS"/>
              </w:rPr>
              <w:t>;-</w:t>
            </w:r>
            <w:proofErr w:type="gramEnd"/>
            <w:r w:rsidRPr="000028C3">
              <w:rPr>
                <w:rFonts w:eastAsia="Arial Unicode MS"/>
              </w:rPr>
              <w:t>0,13)</w:t>
            </w:r>
          </w:p>
        </w:tc>
      </w:tr>
      <w:tr w:rsidR="00746791" w:rsidRPr="000028C3" w14:paraId="6BAADAC6" w14:textId="77777777" w:rsidTr="00AE3353">
        <w:trPr>
          <w:trHeight w:val="20"/>
        </w:trPr>
        <w:tc>
          <w:tcPr>
            <w:tcW w:w="2155" w:type="pct"/>
            <w:shd w:val="clear" w:color="auto" w:fill="auto"/>
            <w:noWrap/>
            <w:vAlign w:val="center"/>
            <w:hideMark/>
          </w:tcPr>
          <w:p w14:paraId="113D42B6" w14:textId="77777777" w:rsidR="00746791" w:rsidRPr="000028C3" w:rsidRDefault="00746791" w:rsidP="0039664F">
            <w:pPr>
              <w:rPr>
                <w:rFonts w:eastAsia="Arial Unicode MS"/>
              </w:rPr>
            </w:pPr>
            <w:r w:rsidRPr="000028C3">
              <w:rPr>
                <w:rFonts w:eastAsia="Arial Unicode MS"/>
              </w:rPr>
              <w:t>ruCCC</w:t>
            </w:r>
          </w:p>
        </w:tc>
        <w:tc>
          <w:tcPr>
            <w:tcW w:w="2845" w:type="pct"/>
            <w:shd w:val="clear" w:color="auto" w:fill="auto"/>
            <w:noWrap/>
            <w:vAlign w:val="center"/>
            <w:hideMark/>
          </w:tcPr>
          <w:p w14:paraId="76350918" w14:textId="27794384" w:rsidR="00746791" w:rsidRPr="000028C3" w:rsidRDefault="00370679" w:rsidP="0039664F">
            <w:pPr>
              <w:rPr>
                <w:rFonts w:eastAsia="Arial Unicode MS"/>
              </w:rPr>
            </w:pPr>
            <w:r w:rsidRPr="000028C3">
              <w:rPr>
                <w:rFonts w:eastAsia="Arial Unicode MS"/>
              </w:rPr>
              <w:t>ниже -0,2</w:t>
            </w:r>
          </w:p>
        </w:tc>
      </w:tr>
    </w:tbl>
    <w:p w14:paraId="1E5E99E0" w14:textId="77777777" w:rsidR="00342E42" w:rsidRPr="000028C3" w:rsidRDefault="00342E42" w:rsidP="0039664F">
      <w:pPr>
        <w:suppressAutoHyphens/>
        <w:jc w:val="both"/>
        <w:rPr>
          <w:highlight w:val="yellow"/>
        </w:rPr>
      </w:pPr>
    </w:p>
    <w:p w14:paraId="2E41E325" w14:textId="77777777" w:rsidR="00495D55" w:rsidRPr="000028C3" w:rsidRDefault="00495D55" w:rsidP="0098669D">
      <w:pPr>
        <w:numPr>
          <w:ilvl w:val="0"/>
          <w:numId w:val="5"/>
        </w:numPr>
        <w:jc w:val="both"/>
      </w:pPr>
      <w:r w:rsidRPr="000028C3">
        <w:t>По мнению Агентства, как правило, чем выше рейтинговое число, тем выше рейтинговая оценка и ниже риск невыполнения обязательств. Вместе с тем итоговое предложение</w:t>
      </w:r>
      <w:r w:rsidR="000D2D86" w:rsidRPr="000028C3">
        <w:t xml:space="preserve"> по кредитному рейтингу</w:t>
      </w:r>
      <w:r w:rsidRPr="000028C3">
        <w:t xml:space="preserve"> должно учитывать то, что в отдельных случаях, оговоренных ниже, рейтинг присваивается вне зависимости от рейтингового числа.</w:t>
      </w:r>
    </w:p>
    <w:p w14:paraId="30B3C1D5" w14:textId="77777777" w:rsidR="006823D7" w:rsidRPr="000028C3" w:rsidRDefault="006823D7" w:rsidP="0039664F">
      <w:pPr>
        <w:ind w:left="720"/>
        <w:jc w:val="both"/>
      </w:pPr>
    </w:p>
    <w:p w14:paraId="7B1FD57A" w14:textId="3B9C1D8B" w:rsidR="00627EC7" w:rsidRPr="000028C3" w:rsidRDefault="00627EC7" w:rsidP="0039664F">
      <w:pPr>
        <w:ind w:left="720" w:hanging="11"/>
        <w:jc w:val="both"/>
      </w:pPr>
      <w:r w:rsidRPr="000028C3">
        <w:t xml:space="preserve">Если одновременно выявлены основания для присвоения рейтинга </w:t>
      </w:r>
      <w:proofErr w:type="spellStart"/>
      <w:r w:rsidR="00B165EB" w:rsidRPr="000028C3">
        <w:rPr>
          <w:lang w:val="en-US"/>
        </w:rPr>
        <w:t>ruCC</w:t>
      </w:r>
      <w:proofErr w:type="spellEnd"/>
      <w:r w:rsidR="00B165EB" w:rsidRPr="000028C3">
        <w:t xml:space="preserve">, </w:t>
      </w:r>
      <w:r w:rsidR="00B165EB" w:rsidRPr="000028C3">
        <w:rPr>
          <w:lang w:val="en-US"/>
        </w:rPr>
        <w:t>ruC</w:t>
      </w:r>
      <w:r w:rsidR="00B165EB" w:rsidRPr="000028C3">
        <w:t xml:space="preserve"> или </w:t>
      </w:r>
      <w:r w:rsidR="00B165EB" w:rsidRPr="000028C3">
        <w:rPr>
          <w:lang w:val="en-US"/>
        </w:rPr>
        <w:t>ruD</w:t>
      </w:r>
      <w:r w:rsidRPr="000028C3">
        <w:t>, присваивается более низкий рейтинг.</w:t>
      </w:r>
    </w:p>
    <w:p w14:paraId="0F4DA601" w14:textId="77777777" w:rsidR="005A2B1C" w:rsidRPr="000028C3" w:rsidRDefault="005A2B1C" w:rsidP="0039664F">
      <w:pPr>
        <w:jc w:val="both"/>
      </w:pPr>
    </w:p>
    <w:tbl>
      <w:tblPr>
        <w:tblW w:w="462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532"/>
      </w:tblGrid>
      <w:tr w:rsidR="0058128C" w:rsidRPr="000028C3" w14:paraId="359181B0" w14:textId="77777777" w:rsidTr="00F92373">
        <w:trPr>
          <w:trHeight w:val="20"/>
        </w:trPr>
        <w:tc>
          <w:tcPr>
            <w:tcW w:w="645" w:type="pct"/>
            <w:shd w:val="clear" w:color="auto" w:fill="auto"/>
            <w:vAlign w:val="center"/>
            <w:hideMark/>
          </w:tcPr>
          <w:p w14:paraId="30E6316E" w14:textId="77777777" w:rsidR="006C6086" w:rsidRPr="000028C3" w:rsidRDefault="006C6086" w:rsidP="0039664F">
            <w:pPr>
              <w:rPr>
                <w:bCs/>
              </w:rPr>
            </w:pPr>
            <w:r w:rsidRPr="000028C3">
              <w:rPr>
                <w:bCs/>
              </w:rPr>
              <w:t>Рейтинг</w:t>
            </w:r>
          </w:p>
        </w:tc>
        <w:tc>
          <w:tcPr>
            <w:tcW w:w="4355" w:type="pct"/>
            <w:shd w:val="clear" w:color="auto" w:fill="auto"/>
            <w:vAlign w:val="center"/>
            <w:hideMark/>
          </w:tcPr>
          <w:p w14:paraId="0A03243A" w14:textId="77777777" w:rsidR="006C6086" w:rsidRPr="000028C3" w:rsidRDefault="006C6086" w:rsidP="0039664F">
            <w:pPr>
              <w:rPr>
                <w:bCs/>
              </w:rPr>
            </w:pPr>
            <w:r w:rsidRPr="000028C3">
              <w:rPr>
                <w:bCs/>
              </w:rPr>
              <w:t>Описание</w:t>
            </w:r>
          </w:p>
        </w:tc>
      </w:tr>
      <w:tr w:rsidR="000B5207" w:rsidRPr="000028C3" w14:paraId="05F42F13" w14:textId="77777777" w:rsidTr="00F92373">
        <w:trPr>
          <w:trHeight w:val="20"/>
        </w:trPr>
        <w:tc>
          <w:tcPr>
            <w:tcW w:w="645" w:type="pct"/>
            <w:shd w:val="clear" w:color="auto" w:fill="auto"/>
            <w:vAlign w:val="center"/>
            <w:hideMark/>
          </w:tcPr>
          <w:p w14:paraId="2A2914C1" w14:textId="77777777" w:rsidR="000B5207" w:rsidRPr="000028C3" w:rsidRDefault="000B5207" w:rsidP="0039664F">
            <w:pPr>
              <w:rPr>
                <w:bCs/>
              </w:rPr>
            </w:pPr>
            <w:proofErr w:type="spellStart"/>
            <w:r w:rsidRPr="000028C3">
              <w:rPr>
                <w:bCs/>
              </w:rPr>
              <w:t>ruCC</w:t>
            </w:r>
            <w:proofErr w:type="spellEnd"/>
          </w:p>
        </w:tc>
        <w:tc>
          <w:tcPr>
            <w:tcW w:w="4355" w:type="pct"/>
            <w:shd w:val="clear" w:color="auto" w:fill="auto"/>
            <w:vAlign w:val="center"/>
            <w:hideMark/>
          </w:tcPr>
          <w:p w14:paraId="050E0576" w14:textId="77777777" w:rsidR="000B5207" w:rsidRPr="000028C3" w:rsidRDefault="000B5207" w:rsidP="0039664F">
            <w:pPr>
              <w:jc w:val="both"/>
            </w:pPr>
            <w:r w:rsidRPr="000028C3">
              <w:t xml:space="preserve">У Агентства имеются существенные сомнения относительно способности компании аккумулировать необходимый объем </w:t>
            </w:r>
            <w:r w:rsidRPr="000028C3">
              <w:lastRenderedPageBreak/>
              <w:t xml:space="preserve">ликвидности на момент исполнения своих обязательств, срок исполнения которых составляет менее 12 месяцев. </w:t>
            </w:r>
          </w:p>
        </w:tc>
      </w:tr>
      <w:tr w:rsidR="000B5207" w:rsidRPr="000028C3" w14:paraId="719920C2" w14:textId="77777777" w:rsidTr="00F92373">
        <w:trPr>
          <w:trHeight w:val="20"/>
        </w:trPr>
        <w:tc>
          <w:tcPr>
            <w:tcW w:w="645" w:type="pct"/>
            <w:shd w:val="clear" w:color="auto" w:fill="auto"/>
            <w:vAlign w:val="center"/>
            <w:hideMark/>
          </w:tcPr>
          <w:p w14:paraId="03BEB004" w14:textId="77777777" w:rsidR="000B5207" w:rsidRPr="000028C3" w:rsidRDefault="000B5207" w:rsidP="0039664F">
            <w:pPr>
              <w:jc w:val="both"/>
              <w:rPr>
                <w:bCs/>
              </w:rPr>
            </w:pPr>
            <w:r w:rsidRPr="000028C3">
              <w:rPr>
                <w:bCs/>
              </w:rPr>
              <w:lastRenderedPageBreak/>
              <w:t>ruC</w:t>
            </w:r>
          </w:p>
        </w:tc>
        <w:tc>
          <w:tcPr>
            <w:tcW w:w="4355" w:type="pct"/>
            <w:shd w:val="clear" w:color="auto" w:fill="auto"/>
            <w:vAlign w:val="center"/>
            <w:hideMark/>
          </w:tcPr>
          <w:p w14:paraId="45734133" w14:textId="77777777" w:rsidR="000B5207" w:rsidRPr="000028C3" w:rsidRDefault="000B5207" w:rsidP="0039664F">
            <w:pPr>
              <w:jc w:val="both"/>
            </w:pPr>
            <w:r w:rsidRPr="000028C3">
              <w:t>Выявлены факты задержки в исполнении обязательств, при этом их длительность еще не соответствует определению дефолта, но, по мнению Агентства, вероятность дефолта очень высока.</w:t>
            </w:r>
          </w:p>
        </w:tc>
      </w:tr>
      <w:tr w:rsidR="000B5207" w:rsidRPr="000028C3" w14:paraId="0F8282C8" w14:textId="77777777" w:rsidTr="00F92373">
        <w:trPr>
          <w:trHeight w:val="20"/>
        </w:trPr>
        <w:tc>
          <w:tcPr>
            <w:tcW w:w="645" w:type="pct"/>
            <w:shd w:val="clear" w:color="auto" w:fill="auto"/>
            <w:vAlign w:val="center"/>
            <w:hideMark/>
          </w:tcPr>
          <w:p w14:paraId="1A8AAD83" w14:textId="77777777" w:rsidR="000B5207" w:rsidRPr="000028C3" w:rsidRDefault="000B5207" w:rsidP="0039664F">
            <w:pPr>
              <w:rPr>
                <w:bCs/>
              </w:rPr>
            </w:pPr>
            <w:r w:rsidRPr="000028C3">
              <w:rPr>
                <w:bCs/>
              </w:rPr>
              <w:t>ruD</w:t>
            </w:r>
          </w:p>
        </w:tc>
        <w:tc>
          <w:tcPr>
            <w:tcW w:w="4355" w:type="pct"/>
            <w:shd w:val="clear" w:color="auto" w:fill="auto"/>
            <w:vAlign w:val="center"/>
            <w:hideMark/>
          </w:tcPr>
          <w:p w14:paraId="552F37F5" w14:textId="77777777" w:rsidR="000B5207" w:rsidRPr="000028C3" w:rsidRDefault="000B5207" w:rsidP="0039664F">
            <w:r w:rsidRPr="000028C3">
              <w:t xml:space="preserve">Неисполнение финансовых обязательств объектом рейтинга в срок и в полном объеме (факт наступления дефолта) согласно разделу «Определение дефолта». </w:t>
            </w:r>
          </w:p>
        </w:tc>
      </w:tr>
    </w:tbl>
    <w:p w14:paraId="1CDFDECB" w14:textId="77777777" w:rsidR="00391EE7" w:rsidRPr="000028C3" w:rsidRDefault="00391EE7" w:rsidP="0039664F">
      <w:pPr>
        <w:jc w:val="both"/>
      </w:pPr>
    </w:p>
    <w:p w14:paraId="55269664" w14:textId="77777777" w:rsidR="00D566C0" w:rsidRPr="000028C3" w:rsidRDefault="00D566C0" w:rsidP="0098669D">
      <w:pPr>
        <w:numPr>
          <w:ilvl w:val="0"/>
          <w:numId w:val="5"/>
        </w:numPr>
        <w:jc w:val="both"/>
      </w:pPr>
      <w:r w:rsidRPr="000028C3">
        <w:t>Таблица весов показателей</w:t>
      </w:r>
      <w:r w:rsidR="00627EC7" w:rsidRPr="000028C3">
        <w:t>.</w:t>
      </w:r>
    </w:p>
    <w:p w14:paraId="44646C72" w14:textId="77777777" w:rsidR="002B49F7" w:rsidRPr="000028C3" w:rsidRDefault="002B49F7" w:rsidP="0039664F">
      <w:pPr>
        <w:rPr>
          <w:highlight w:val="yellow"/>
        </w:rPr>
      </w:pPr>
    </w:p>
    <w:tbl>
      <w:tblPr>
        <w:tblW w:w="5000" w:type="pct"/>
        <w:tblLook w:val="0000" w:firstRow="0" w:lastRow="0" w:firstColumn="0" w:lastColumn="0" w:noHBand="0" w:noVBand="0"/>
      </w:tblPr>
      <w:tblGrid>
        <w:gridCol w:w="756"/>
        <w:gridCol w:w="4343"/>
        <w:gridCol w:w="1416"/>
        <w:gridCol w:w="2830"/>
      </w:tblGrid>
      <w:tr w:rsidR="005B6B71" w:rsidRPr="000028C3" w14:paraId="1DEAFA24" w14:textId="5827FC64" w:rsidTr="00EB4C6D">
        <w:trPr>
          <w:trHeight w:val="20"/>
        </w:trPr>
        <w:tc>
          <w:tcPr>
            <w:tcW w:w="2728" w:type="pct"/>
            <w:gridSpan w:val="2"/>
            <w:tcBorders>
              <w:top w:val="single" w:sz="4" w:space="0" w:color="auto"/>
              <w:left w:val="single" w:sz="4" w:space="0" w:color="auto"/>
              <w:bottom w:val="single" w:sz="4" w:space="0" w:color="auto"/>
              <w:right w:val="single" w:sz="4" w:space="0" w:color="auto"/>
            </w:tcBorders>
            <w:vAlign w:val="center"/>
          </w:tcPr>
          <w:p w14:paraId="5BA11D64" w14:textId="77777777" w:rsidR="00574AE3" w:rsidRPr="000028C3" w:rsidRDefault="00574AE3" w:rsidP="002A1410">
            <w:pPr>
              <w:jc w:val="center"/>
            </w:pPr>
            <w:r w:rsidRPr="000028C3">
              <w:t>Раздел, фактор</w:t>
            </w:r>
          </w:p>
        </w:tc>
        <w:tc>
          <w:tcPr>
            <w:tcW w:w="758" w:type="pct"/>
            <w:tcBorders>
              <w:top w:val="single" w:sz="4" w:space="0" w:color="auto"/>
              <w:left w:val="single" w:sz="4" w:space="0" w:color="auto"/>
              <w:bottom w:val="single" w:sz="4" w:space="0" w:color="auto"/>
              <w:right w:val="single" w:sz="4" w:space="0" w:color="auto"/>
            </w:tcBorders>
            <w:vAlign w:val="center"/>
          </w:tcPr>
          <w:p w14:paraId="4EF16636" w14:textId="77777777" w:rsidR="00574AE3" w:rsidRPr="000028C3" w:rsidRDefault="00574AE3" w:rsidP="00E76BCB">
            <w:pPr>
              <w:jc w:val="center"/>
            </w:pPr>
            <w:r w:rsidRPr="000028C3">
              <w:t>Вес, %</w:t>
            </w:r>
          </w:p>
        </w:tc>
        <w:tc>
          <w:tcPr>
            <w:tcW w:w="1514" w:type="pct"/>
            <w:tcBorders>
              <w:top w:val="single" w:sz="4" w:space="0" w:color="auto"/>
              <w:left w:val="single" w:sz="4" w:space="0" w:color="auto"/>
              <w:bottom w:val="single" w:sz="4" w:space="0" w:color="auto"/>
              <w:right w:val="single" w:sz="4" w:space="0" w:color="auto"/>
            </w:tcBorders>
            <w:vAlign w:val="center"/>
          </w:tcPr>
          <w:p w14:paraId="110A72F4" w14:textId="4A710F3A" w:rsidR="00574AE3" w:rsidRPr="000028C3" w:rsidRDefault="00574AE3" w:rsidP="00E76BCB">
            <w:pPr>
              <w:jc w:val="center"/>
              <w:rPr>
                <w:b/>
              </w:rPr>
            </w:pPr>
            <w:r w:rsidRPr="000028C3">
              <w:t>Правила взвешивания</w:t>
            </w:r>
          </w:p>
        </w:tc>
      </w:tr>
      <w:tr w:rsidR="00AC51DF" w:rsidRPr="000028C3" w14:paraId="647B3504" w14:textId="58E8C053" w:rsidTr="00EB4C6D">
        <w:trPr>
          <w:trHeight w:val="20"/>
        </w:trPr>
        <w:tc>
          <w:tcPr>
            <w:tcW w:w="404" w:type="pct"/>
            <w:tcBorders>
              <w:top w:val="nil"/>
              <w:left w:val="single" w:sz="4" w:space="0" w:color="auto"/>
              <w:bottom w:val="single" w:sz="4" w:space="0" w:color="auto"/>
              <w:right w:val="nil"/>
            </w:tcBorders>
            <w:shd w:val="clear" w:color="auto" w:fill="D9D9D9"/>
            <w:vAlign w:val="center"/>
          </w:tcPr>
          <w:p w14:paraId="5A8AE65B" w14:textId="77777777" w:rsidR="00574AE3" w:rsidRPr="000028C3" w:rsidRDefault="00574AE3" w:rsidP="00574AE3">
            <w:pPr>
              <w:rPr>
                <w:bCs/>
                <w:lang w:val="en-US"/>
              </w:rPr>
            </w:pPr>
            <w:r w:rsidRPr="000028C3">
              <w:rPr>
                <w:bCs/>
                <w:lang w:val="en-US"/>
              </w:rPr>
              <w:t>I</w:t>
            </w:r>
          </w:p>
        </w:tc>
        <w:tc>
          <w:tcPr>
            <w:tcW w:w="2323" w:type="pct"/>
            <w:tcBorders>
              <w:top w:val="nil"/>
              <w:left w:val="single" w:sz="4" w:space="0" w:color="auto"/>
              <w:bottom w:val="single" w:sz="4" w:space="0" w:color="auto"/>
              <w:right w:val="nil"/>
            </w:tcBorders>
            <w:shd w:val="clear" w:color="auto" w:fill="D9D9D9"/>
            <w:vAlign w:val="center"/>
          </w:tcPr>
          <w:p w14:paraId="1DB42281" w14:textId="77777777" w:rsidR="00574AE3" w:rsidRPr="000028C3" w:rsidRDefault="00574AE3" w:rsidP="00574AE3">
            <w:pPr>
              <w:rPr>
                <w:bCs/>
              </w:rPr>
            </w:pPr>
            <w:r w:rsidRPr="000028C3">
              <w:rPr>
                <w:bCs/>
              </w:rPr>
              <w:t>Рыночные позиции</w:t>
            </w:r>
          </w:p>
        </w:tc>
        <w:tc>
          <w:tcPr>
            <w:tcW w:w="758" w:type="pct"/>
            <w:tcBorders>
              <w:top w:val="nil"/>
              <w:left w:val="single" w:sz="4" w:space="0" w:color="auto"/>
              <w:bottom w:val="single" w:sz="4" w:space="0" w:color="auto"/>
              <w:right w:val="single" w:sz="4" w:space="0" w:color="auto"/>
            </w:tcBorders>
            <w:shd w:val="clear" w:color="auto" w:fill="D9D9D9"/>
            <w:vAlign w:val="center"/>
          </w:tcPr>
          <w:p w14:paraId="229C627E" w14:textId="77777777" w:rsidR="00574AE3" w:rsidRPr="000028C3" w:rsidRDefault="00574AE3" w:rsidP="00574AE3">
            <w:pPr>
              <w:jc w:val="center"/>
              <w:rPr>
                <w:bCs/>
              </w:rPr>
            </w:pPr>
            <w:r w:rsidRPr="000028C3">
              <w:rPr>
                <w:bCs/>
              </w:rPr>
              <w:t>20</w:t>
            </w:r>
          </w:p>
        </w:tc>
        <w:tc>
          <w:tcPr>
            <w:tcW w:w="1514" w:type="pct"/>
            <w:tcBorders>
              <w:top w:val="nil"/>
              <w:left w:val="single" w:sz="4" w:space="0" w:color="auto"/>
              <w:bottom w:val="single" w:sz="4" w:space="0" w:color="auto"/>
              <w:right w:val="single" w:sz="4" w:space="0" w:color="auto"/>
            </w:tcBorders>
            <w:shd w:val="clear" w:color="auto" w:fill="D9D9D9"/>
            <w:vAlign w:val="center"/>
          </w:tcPr>
          <w:p w14:paraId="74270724" w14:textId="77777777" w:rsidR="00574AE3" w:rsidRPr="000028C3" w:rsidRDefault="00574AE3" w:rsidP="005B6B71">
            <w:pPr>
              <w:jc w:val="center"/>
              <w:rPr>
                <w:bCs/>
              </w:rPr>
            </w:pPr>
          </w:p>
        </w:tc>
      </w:tr>
      <w:tr w:rsidR="00AC51DF" w:rsidRPr="000028C3" w14:paraId="3F49695C" w14:textId="1849EBDD" w:rsidTr="00EB4C6D">
        <w:trPr>
          <w:trHeight w:val="20"/>
        </w:trPr>
        <w:tc>
          <w:tcPr>
            <w:tcW w:w="404" w:type="pct"/>
            <w:tcBorders>
              <w:top w:val="nil"/>
              <w:left w:val="single" w:sz="4" w:space="0" w:color="auto"/>
              <w:bottom w:val="single" w:sz="4" w:space="0" w:color="auto"/>
              <w:right w:val="single" w:sz="4" w:space="0" w:color="auto"/>
            </w:tcBorders>
            <w:vAlign w:val="center"/>
          </w:tcPr>
          <w:p w14:paraId="65ADD1F6" w14:textId="77777777" w:rsidR="00574AE3" w:rsidRPr="000028C3" w:rsidRDefault="00574AE3" w:rsidP="00574AE3">
            <w:pPr>
              <w:rPr>
                <w:lang w:val="en-US"/>
              </w:rPr>
            </w:pPr>
            <w:r w:rsidRPr="000028C3">
              <w:t>1</w:t>
            </w:r>
            <w:r w:rsidRPr="000028C3">
              <w:rPr>
                <w:lang w:val="en-US"/>
              </w:rPr>
              <w:t>.1.</w:t>
            </w:r>
          </w:p>
        </w:tc>
        <w:tc>
          <w:tcPr>
            <w:tcW w:w="2323" w:type="pct"/>
            <w:tcBorders>
              <w:top w:val="nil"/>
              <w:left w:val="single" w:sz="4" w:space="0" w:color="auto"/>
              <w:bottom w:val="single" w:sz="4" w:space="0" w:color="auto"/>
              <w:right w:val="single" w:sz="4" w:space="0" w:color="auto"/>
            </w:tcBorders>
            <w:shd w:val="clear" w:color="auto" w:fill="auto"/>
            <w:vAlign w:val="center"/>
          </w:tcPr>
          <w:p w14:paraId="585CBFB4" w14:textId="658F8F65" w:rsidR="00574AE3" w:rsidRPr="000028C3" w:rsidRDefault="00574AE3" w:rsidP="00574AE3">
            <w:r w:rsidRPr="000028C3">
              <w:t>Деловая</w:t>
            </w:r>
            <w:r w:rsidRPr="000028C3">
              <w:t xml:space="preserve"> репутация</w:t>
            </w:r>
          </w:p>
        </w:tc>
        <w:tc>
          <w:tcPr>
            <w:tcW w:w="758" w:type="pct"/>
            <w:tcBorders>
              <w:top w:val="nil"/>
              <w:left w:val="nil"/>
              <w:bottom w:val="single" w:sz="4" w:space="0" w:color="auto"/>
              <w:right w:val="single" w:sz="4" w:space="0" w:color="auto"/>
            </w:tcBorders>
            <w:shd w:val="clear" w:color="auto" w:fill="auto"/>
            <w:vAlign w:val="center"/>
          </w:tcPr>
          <w:p w14:paraId="79334776" w14:textId="4F7D08B5" w:rsidR="00574AE3" w:rsidRPr="000028C3" w:rsidRDefault="00574AE3" w:rsidP="00574AE3">
            <w:pPr>
              <w:jc w:val="center"/>
              <w:rPr>
                <w:lang w:val="en-US"/>
              </w:rPr>
            </w:pPr>
            <w:r w:rsidRPr="000028C3">
              <w:t>6</w:t>
            </w:r>
          </w:p>
        </w:tc>
        <w:tc>
          <w:tcPr>
            <w:tcW w:w="1514" w:type="pct"/>
            <w:tcBorders>
              <w:top w:val="nil"/>
              <w:left w:val="nil"/>
              <w:bottom w:val="single" w:sz="4" w:space="0" w:color="auto"/>
              <w:right w:val="single" w:sz="4" w:space="0" w:color="auto"/>
            </w:tcBorders>
            <w:vAlign w:val="center"/>
          </w:tcPr>
          <w:p w14:paraId="66EA3375" w14:textId="2EFBB350" w:rsidR="00574AE3" w:rsidRPr="000028C3" w:rsidRDefault="00574AE3" w:rsidP="005B6B71">
            <w:pPr>
              <w:jc w:val="center"/>
            </w:pPr>
            <w:r w:rsidRPr="000028C3">
              <w:t>На последнюю дату</w:t>
            </w:r>
          </w:p>
        </w:tc>
      </w:tr>
      <w:tr w:rsidR="00AC51DF" w:rsidRPr="000028C3" w14:paraId="109859DA" w14:textId="41C4F5DB" w:rsidTr="00EB4C6D">
        <w:trPr>
          <w:trHeight w:val="20"/>
        </w:trPr>
        <w:tc>
          <w:tcPr>
            <w:tcW w:w="404" w:type="pct"/>
            <w:tcBorders>
              <w:top w:val="nil"/>
              <w:left w:val="single" w:sz="4" w:space="0" w:color="auto"/>
              <w:bottom w:val="single" w:sz="4" w:space="0" w:color="auto"/>
              <w:right w:val="single" w:sz="4" w:space="0" w:color="auto"/>
            </w:tcBorders>
            <w:vAlign w:val="center"/>
          </w:tcPr>
          <w:p w14:paraId="7E5BD30C" w14:textId="77777777" w:rsidR="00574AE3" w:rsidRPr="000028C3" w:rsidRDefault="00574AE3" w:rsidP="00574AE3">
            <w:pPr>
              <w:rPr>
                <w:lang w:val="en-US"/>
              </w:rPr>
            </w:pPr>
            <w:r w:rsidRPr="000028C3">
              <w:rPr>
                <w:lang w:val="en-US"/>
              </w:rPr>
              <w:t>1.2.</w:t>
            </w:r>
          </w:p>
        </w:tc>
        <w:tc>
          <w:tcPr>
            <w:tcW w:w="2323" w:type="pct"/>
            <w:tcBorders>
              <w:top w:val="nil"/>
              <w:left w:val="single" w:sz="4" w:space="0" w:color="auto"/>
              <w:bottom w:val="single" w:sz="4" w:space="0" w:color="auto"/>
              <w:right w:val="single" w:sz="4" w:space="0" w:color="auto"/>
            </w:tcBorders>
            <w:shd w:val="clear" w:color="auto" w:fill="auto"/>
            <w:vAlign w:val="center"/>
          </w:tcPr>
          <w:p w14:paraId="23BC7164" w14:textId="77777777" w:rsidR="00574AE3" w:rsidRPr="000028C3" w:rsidRDefault="00574AE3" w:rsidP="00574AE3">
            <w:r w:rsidRPr="000028C3">
              <w:t>Конкурентные позиции</w:t>
            </w:r>
          </w:p>
        </w:tc>
        <w:tc>
          <w:tcPr>
            <w:tcW w:w="758" w:type="pct"/>
            <w:tcBorders>
              <w:top w:val="nil"/>
              <w:left w:val="nil"/>
              <w:bottom w:val="single" w:sz="4" w:space="0" w:color="auto"/>
              <w:right w:val="single" w:sz="4" w:space="0" w:color="auto"/>
            </w:tcBorders>
            <w:shd w:val="clear" w:color="auto" w:fill="auto"/>
            <w:vAlign w:val="center"/>
          </w:tcPr>
          <w:p w14:paraId="0F56D0E3" w14:textId="0AC3DAA1" w:rsidR="00574AE3" w:rsidRPr="000028C3" w:rsidRDefault="00574AE3" w:rsidP="00574AE3">
            <w:pPr>
              <w:jc w:val="center"/>
            </w:pPr>
            <w:r w:rsidRPr="000028C3">
              <w:t>8</w:t>
            </w:r>
          </w:p>
        </w:tc>
        <w:tc>
          <w:tcPr>
            <w:tcW w:w="1514" w:type="pct"/>
            <w:tcBorders>
              <w:top w:val="nil"/>
              <w:left w:val="nil"/>
              <w:bottom w:val="single" w:sz="4" w:space="0" w:color="auto"/>
              <w:right w:val="single" w:sz="4" w:space="0" w:color="auto"/>
            </w:tcBorders>
            <w:vAlign w:val="center"/>
          </w:tcPr>
          <w:p w14:paraId="3C18B10B" w14:textId="10E344E2" w:rsidR="00574AE3" w:rsidRPr="000028C3" w:rsidRDefault="00574AE3" w:rsidP="005B6B71">
            <w:pPr>
              <w:jc w:val="center"/>
            </w:pPr>
            <w:r w:rsidRPr="000028C3">
              <w:t>На последнюю дату</w:t>
            </w:r>
          </w:p>
        </w:tc>
      </w:tr>
      <w:tr w:rsidR="00AC51DF" w:rsidRPr="000028C3" w14:paraId="4B06E4AC" w14:textId="75E5B629" w:rsidTr="00EB4C6D">
        <w:trPr>
          <w:trHeight w:val="20"/>
        </w:trPr>
        <w:tc>
          <w:tcPr>
            <w:tcW w:w="404" w:type="pct"/>
            <w:tcBorders>
              <w:top w:val="nil"/>
              <w:left w:val="single" w:sz="4" w:space="0" w:color="auto"/>
              <w:bottom w:val="single" w:sz="4" w:space="0" w:color="auto"/>
              <w:right w:val="single" w:sz="4" w:space="0" w:color="auto"/>
            </w:tcBorders>
            <w:vAlign w:val="center"/>
          </w:tcPr>
          <w:p w14:paraId="3D7201C2" w14:textId="1095667A" w:rsidR="00574AE3" w:rsidRPr="000028C3" w:rsidRDefault="00574AE3" w:rsidP="00574AE3">
            <w:pPr>
              <w:rPr>
                <w:lang w:val="en-US"/>
              </w:rPr>
            </w:pPr>
            <w:r w:rsidRPr="000028C3">
              <w:rPr>
                <w:lang w:val="en-US"/>
              </w:rPr>
              <w:t>1.</w:t>
            </w:r>
            <w:r w:rsidRPr="000028C3">
              <w:rPr>
                <w:lang w:val="en-US"/>
              </w:rPr>
              <w:t>3</w:t>
            </w:r>
            <w:r w:rsidRPr="000028C3">
              <w:rPr>
                <w:lang w:val="en-US"/>
              </w:rPr>
              <w:t>.</w:t>
            </w:r>
          </w:p>
        </w:tc>
        <w:tc>
          <w:tcPr>
            <w:tcW w:w="2323" w:type="pct"/>
            <w:tcBorders>
              <w:top w:val="nil"/>
              <w:left w:val="single" w:sz="4" w:space="0" w:color="auto"/>
              <w:bottom w:val="single" w:sz="4" w:space="0" w:color="auto"/>
              <w:right w:val="single" w:sz="4" w:space="0" w:color="auto"/>
            </w:tcBorders>
            <w:shd w:val="clear" w:color="auto" w:fill="auto"/>
            <w:vAlign w:val="center"/>
          </w:tcPr>
          <w:p w14:paraId="59BA43B2" w14:textId="77777777" w:rsidR="00574AE3" w:rsidRPr="000028C3" w:rsidRDefault="00574AE3" w:rsidP="00574AE3">
            <w:r w:rsidRPr="000028C3">
              <w:t>Специализация и кэптивность</w:t>
            </w:r>
          </w:p>
        </w:tc>
        <w:tc>
          <w:tcPr>
            <w:tcW w:w="758" w:type="pct"/>
            <w:tcBorders>
              <w:top w:val="nil"/>
              <w:left w:val="nil"/>
              <w:bottom w:val="single" w:sz="4" w:space="0" w:color="auto"/>
              <w:right w:val="single" w:sz="4" w:space="0" w:color="auto"/>
            </w:tcBorders>
            <w:shd w:val="clear" w:color="auto" w:fill="auto"/>
            <w:vAlign w:val="center"/>
          </w:tcPr>
          <w:p w14:paraId="59C3E3CC" w14:textId="4E892093" w:rsidR="00574AE3" w:rsidRPr="000028C3" w:rsidRDefault="00574AE3" w:rsidP="00574AE3">
            <w:pPr>
              <w:jc w:val="center"/>
            </w:pPr>
            <w:r w:rsidRPr="000028C3">
              <w:t>6</w:t>
            </w:r>
          </w:p>
        </w:tc>
        <w:tc>
          <w:tcPr>
            <w:tcW w:w="1514" w:type="pct"/>
            <w:tcBorders>
              <w:top w:val="nil"/>
              <w:left w:val="nil"/>
              <w:bottom w:val="single" w:sz="4" w:space="0" w:color="auto"/>
              <w:right w:val="single" w:sz="4" w:space="0" w:color="auto"/>
            </w:tcBorders>
            <w:vAlign w:val="center"/>
          </w:tcPr>
          <w:p w14:paraId="088A40DA" w14:textId="0A705D1E" w:rsidR="00574AE3" w:rsidRPr="000028C3" w:rsidRDefault="00574AE3" w:rsidP="005B6B71">
            <w:pPr>
              <w:jc w:val="center"/>
            </w:pPr>
            <w:r w:rsidRPr="000028C3">
              <w:t>На последнюю дату</w:t>
            </w:r>
          </w:p>
        </w:tc>
      </w:tr>
      <w:tr w:rsidR="00AC51DF" w:rsidRPr="000028C3" w14:paraId="5E96B592" w14:textId="3AE6ABB6" w:rsidTr="00EB4C6D">
        <w:trPr>
          <w:trHeight w:val="20"/>
        </w:trPr>
        <w:tc>
          <w:tcPr>
            <w:tcW w:w="404" w:type="pct"/>
            <w:tcBorders>
              <w:top w:val="nil"/>
              <w:left w:val="single" w:sz="4" w:space="0" w:color="auto"/>
              <w:bottom w:val="single" w:sz="4" w:space="0" w:color="auto"/>
              <w:right w:val="nil"/>
            </w:tcBorders>
            <w:shd w:val="clear" w:color="auto" w:fill="D9D9D9"/>
            <w:vAlign w:val="center"/>
          </w:tcPr>
          <w:p w14:paraId="627F72F9" w14:textId="77777777" w:rsidR="00574AE3" w:rsidRPr="000028C3" w:rsidRDefault="00574AE3" w:rsidP="00574AE3">
            <w:pPr>
              <w:rPr>
                <w:bCs/>
                <w:lang w:val="en-US"/>
              </w:rPr>
            </w:pPr>
            <w:r w:rsidRPr="000028C3">
              <w:rPr>
                <w:bCs/>
                <w:lang w:val="en-US"/>
              </w:rPr>
              <w:t>II</w:t>
            </w:r>
          </w:p>
        </w:tc>
        <w:tc>
          <w:tcPr>
            <w:tcW w:w="2323" w:type="pct"/>
            <w:tcBorders>
              <w:top w:val="nil"/>
              <w:left w:val="single" w:sz="4" w:space="0" w:color="auto"/>
              <w:bottom w:val="single" w:sz="4" w:space="0" w:color="auto"/>
              <w:right w:val="nil"/>
            </w:tcBorders>
            <w:shd w:val="clear" w:color="auto" w:fill="D9D9D9"/>
            <w:vAlign w:val="center"/>
          </w:tcPr>
          <w:p w14:paraId="4E6AA827" w14:textId="77777777" w:rsidR="00574AE3" w:rsidRPr="000028C3" w:rsidRDefault="00574AE3" w:rsidP="00574AE3">
            <w:pPr>
              <w:rPr>
                <w:bCs/>
              </w:rPr>
            </w:pPr>
            <w:r w:rsidRPr="000028C3">
              <w:rPr>
                <w:bCs/>
              </w:rPr>
              <w:t>Финансовый анализ</w:t>
            </w:r>
          </w:p>
        </w:tc>
        <w:tc>
          <w:tcPr>
            <w:tcW w:w="758" w:type="pct"/>
            <w:tcBorders>
              <w:top w:val="nil"/>
              <w:left w:val="single" w:sz="4" w:space="0" w:color="auto"/>
              <w:bottom w:val="single" w:sz="4" w:space="0" w:color="auto"/>
              <w:right w:val="single" w:sz="4" w:space="0" w:color="auto"/>
            </w:tcBorders>
            <w:shd w:val="clear" w:color="auto" w:fill="D9D9D9"/>
            <w:vAlign w:val="center"/>
          </w:tcPr>
          <w:p w14:paraId="6CC1B702" w14:textId="77777777" w:rsidR="00574AE3" w:rsidRPr="000028C3" w:rsidRDefault="00574AE3" w:rsidP="00574AE3">
            <w:pPr>
              <w:jc w:val="center"/>
              <w:rPr>
                <w:bCs/>
              </w:rPr>
            </w:pPr>
            <w:r w:rsidRPr="000028C3">
              <w:rPr>
                <w:bCs/>
              </w:rPr>
              <w:t>60</w:t>
            </w:r>
          </w:p>
        </w:tc>
        <w:tc>
          <w:tcPr>
            <w:tcW w:w="1514" w:type="pct"/>
            <w:tcBorders>
              <w:top w:val="nil"/>
              <w:left w:val="single" w:sz="4" w:space="0" w:color="auto"/>
              <w:bottom w:val="single" w:sz="4" w:space="0" w:color="auto"/>
              <w:right w:val="single" w:sz="4" w:space="0" w:color="auto"/>
            </w:tcBorders>
            <w:shd w:val="clear" w:color="auto" w:fill="D9D9D9"/>
            <w:vAlign w:val="center"/>
          </w:tcPr>
          <w:p w14:paraId="3E5627A7" w14:textId="77777777" w:rsidR="00574AE3" w:rsidRPr="000028C3" w:rsidRDefault="00574AE3" w:rsidP="005B6B71">
            <w:pPr>
              <w:jc w:val="center"/>
              <w:rPr>
                <w:bCs/>
              </w:rPr>
            </w:pPr>
          </w:p>
        </w:tc>
      </w:tr>
      <w:tr w:rsidR="00AC51DF" w:rsidRPr="000028C3" w14:paraId="7748CD00" w14:textId="0A3C16E6" w:rsidTr="00EB4C6D">
        <w:trPr>
          <w:trHeight w:val="20"/>
        </w:trPr>
        <w:tc>
          <w:tcPr>
            <w:tcW w:w="404" w:type="pct"/>
            <w:tcBorders>
              <w:top w:val="nil"/>
              <w:left w:val="single" w:sz="4" w:space="0" w:color="auto"/>
              <w:bottom w:val="single" w:sz="4" w:space="0" w:color="auto"/>
              <w:right w:val="single" w:sz="4" w:space="0" w:color="auto"/>
            </w:tcBorders>
            <w:vAlign w:val="center"/>
          </w:tcPr>
          <w:p w14:paraId="56C086F7" w14:textId="77777777" w:rsidR="00574AE3" w:rsidRPr="000028C3" w:rsidRDefault="00574AE3" w:rsidP="00574AE3">
            <w:pPr>
              <w:rPr>
                <w:lang w:val="en-US"/>
              </w:rPr>
            </w:pPr>
            <w:r w:rsidRPr="000028C3">
              <w:rPr>
                <w:lang w:val="en-US"/>
              </w:rPr>
              <w:t>2.1.</w:t>
            </w:r>
          </w:p>
        </w:tc>
        <w:tc>
          <w:tcPr>
            <w:tcW w:w="2323" w:type="pct"/>
            <w:tcBorders>
              <w:top w:val="nil"/>
              <w:left w:val="single" w:sz="4" w:space="0" w:color="auto"/>
              <w:bottom w:val="single" w:sz="4" w:space="0" w:color="auto"/>
              <w:right w:val="single" w:sz="4" w:space="0" w:color="auto"/>
            </w:tcBorders>
            <w:shd w:val="clear" w:color="auto" w:fill="auto"/>
            <w:vAlign w:val="center"/>
          </w:tcPr>
          <w:p w14:paraId="3306A545" w14:textId="77777777" w:rsidR="00574AE3" w:rsidRPr="000028C3" w:rsidRDefault="00574AE3" w:rsidP="00574AE3">
            <w:r w:rsidRPr="000028C3">
              <w:t>Достаточность капитала и политика резервирования</w:t>
            </w:r>
          </w:p>
        </w:tc>
        <w:tc>
          <w:tcPr>
            <w:tcW w:w="758" w:type="pct"/>
            <w:tcBorders>
              <w:top w:val="nil"/>
              <w:left w:val="nil"/>
              <w:bottom w:val="single" w:sz="4" w:space="0" w:color="auto"/>
              <w:right w:val="single" w:sz="4" w:space="0" w:color="auto"/>
            </w:tcBorders>
            <w:shd w:val="clear" w:color="auto" w:fill="auto"/>
            <w:vAlign w:val="center"/>
          </w:tcPr>
          <w:p w14:paraId="20FF255B" w14:textId="77777777" w:rsidR="00574AE3" w:rsidRPr="000028C3" w:rsidRDefault="00574AE3" w:rsidP="00574AE3">
            <w:pPr>
              <w:jc w:val="center"/>
            </w:pPr>
            <w:r w:rsidRPr="000028C3">
              <w:t>10</w:t>
            </w:r>
          </w:p>
        </w:tc>
        <w:tc>
          <w:tcPr>
            <w:tcW w:w="1514" w:type="pct"/>
            <w:tcBorders>
              <w:top w:val="nil"/>
              <w:left w:val="nil"/>
              <w:bottom w:val="single" w:sz="4" w:space="0" w:color="auto"/>
              <w:right w:val="single" w:sz="4" w:space="0" w:color="auto"/>
            </w:tcBorders>
            <w:vAlign w:val="center"/>
          </w:tcPr>
          <w:p w14:paraId="3E47383E" w14:textId="2BB70616" w:rsidR="00574AE3" w:rsidRPr="000028C3" w:rsidRDefault="00574AE3" w:rsidP="005B6B71">
            <w:pPr>
              <w:jc w:val="center"/>
            </w:pPr>
            <w:r w:rsidRPr="000028C3">
              <w:t>С «длинным хвостом»</w:t>
            </w:r>
          </w:p>
        </w:tc>
      </w:tr>
      <w:tr w:rsidR="00AC51DF" w:rsidRPr="000028C3" w14:paraId="2ACB2860" w14:textId="4D456F53" w:rsidTr="00EB4C6D">
        <w:trPr>
          <w:trHeight w:val="20"/>
        </w:trPr>
        <w:tc>
          <w:tcPr>
            <w:tcW w:w="404" w:type="pct"/>
            <w:tcBorders>
              <w:top w:val="nil"/>
              <w:left w:val="single" w:sz="4" w:space="0" w:color="auto"/>
              <w:bottom w:val="single" w:sz="4" w:space="0" w:color="auto"/>
              <w:right w:val="single" w:sz="4" w:space="0" w:color="auto"/>
            </w:tcBorders>
            <w:vAlign w:val="center"/>
          </w:tcPr>
          <w:p w14:paraId="3EED7B00" w14:textId="77777777" w:rsidR="00AC51DF" w:rsidRPr="000028C3" w:rsidRDefault="00AC51DF" w:rsidP="00AC51DF">
            <w:pPr>
              <w:rPr>
                <w:lang w:val="en-US"/>
              </w:rPr>
            </w:pPr>
            <w:r w:rsidRPr="000028C3">
              <w:rPr>
                <w:lang w:val="en-US"/>
              </w:rPr>
              <w:t>2.2.</w:t>
            </w:r>
          </w:p>
        </w:tc>
        <w:tc>
          <w:tcPr>
            <w:tcW w:w="2323" w:type="pct"/>
            <w:tcBorders>
              <w:top w:val="nil"/>
              <w:left w:val="single" w:sz="4" w:space="0" w:color="auto"/>
              <w:bottom w:val="single" w:sz="4" w:space="0" w:color="auto"/>
              <w:right w:val="single" w:sz="4" w:space="0" w:color="auto"/>
            </w:tcBorders>
            <w:shd w:val="clear" w:color="auto" w:fill="auto"/>
            <w:vAlign w:val="center"/>
          </w:tcPr>
          <w:p w14:paraId="37948E89" w14:textId="77777777" w:rsidR="00AC51DF" w:rsidRPr="000028C3" w:rsidRDefault="00AC51DF" w:rsidP="00AC51DF">
            <w:r w:rsidRPr="000028C3">
              <w:t>Концентрация на объектах кредитного риска, включая внебалансовые обязательства</w:t>
            </w:r>
          </w:p>
        </w:tc>
        <w:tc>
          <w:tcPr>
            <w:tcW w:w="758" w:type="pct"/>
            <w:tcBorders>
              <w:top w:val="nil"/>
              <w:left w:val="nil"/>
              <w:bottom w:val="single" w:sz="4" w:space="0" w:color="auto"/>
              <w:right w:val="single" w:sz="4" w:space="0" w:color="auto"/>
            </w:tcBorders>
            <w:shd w:val="clear" w:color="auto" w:fill="auto"/>
            <w:vAlign w:val="center"/>
          </w:tcPr>
          <w:p w14:paraId="592CE7F3" w14:textId="77777777" w:rsidR="00AC51DF" w:rsidRPr="000028C3" w:rsidRDefault="00AC51DF" w:rsidP="00AC51DF">
            <w:pPr>
              <w:jc w:val="center"/>
              <w:rPr>
                <w:lang w:val="en-US"/>
              </w:rPr>
            </w:pPr>
            <w:r w:rsidRPr="000028C3">
              <w:rPr>
                <w:lang w:val="en-US"/>
              </w:rPr>
              <w:t>6</w:t>
            </w:r>
          </w:p>
        </w:tc>
        <w:tc>
          <w:tcPr>
            <w:tcW w:w="1514" w:type="pct"/>
            <w:tcBorders>
              <w:top w:val="nil"/>
              <w:left w:val="nil"/>
              <w:bottom w:val="single" w:sz="4" w:space="0" w:color="auto"/>
              <w:right w:val="single" w:sz="4" w:space="0" w:color="auto"/>
            </w:tcBorders>
            <w:vAlign w:val="center"/>
          </w:tcPr>
          <w:p w14:paraId="7BCCA3F5" w14:textId="578ABE64" w:rsidR="00AC51DF" w:rsidRPr="000028C3" w:rsidRDefault="00AC51DF" w:rsidP="005B6B71">
            <w:pPr>
              <w:jc w:val="center"/>
              <w:rPr>
                <w:lang w:val="en-US"/>
              </w:rPr>
            </w:pPr>
            <w:r w:rsidRPr="000028C3">
              <w:t>На последнюю дату</w:t>
            </w:r>
          </w:p>
        </w:tc>
      </w:tr>
      <w:tr w:rsidR="00AC51DF" w:rsidRPr="000028C3" w14:paraId="3E5F20FB" w14:textId="74BAE1EA" w:rsidTr="00EB4C6D">
        <w:trPr>
          <w:trHeight w:val="20"/>
        </w:trPr>
        <w:tc>
          <w:tcPr>
            <w:tcW w:w="404" w:type="pct"/>
            <w:tcBorders>
              <w:top w:val="nil"/>
              <w:left w:val="single" w:sz="4" w:space="0" w:color="auto"/>
              <w:bottom w:val="single" w:sz="4" w:space="0" w:color="auto"/>
              <w:right w:val="single" w:sz="4" w:space="0" w:color="auto"/>
            </w:tcBorders>
            <w:vAlign w:val="center"/>
          </w:tcPr>
          <w:p w14:paraId="4ED8AF36" w14:textId="77777777" w:rsidR="00AC51DF" w:rsidRPr="000028C3" w:rsidRDefault="00AC51DF" w:rsidP="00AC51DF">
            <w:pPr>
              <w:rPr>
                <w:highlight w:val="yellow"/>
                <w:lang w:val="en-US"/>
              </w:rPr>
            </w:pPr>
          </w:p>
        </w:tc>
        <w:tc>
          <w:tcPr>
            <w:tcW w:w="2323" w:type="pct"/>
            <w:tcBorders>
              <w:top w:val="nil"/>
              <w:left w:val="single" w:sz="4" w:space="0" w:color="auto"/>
              <w:bottom w:val="single" w:sz="4" w:space="0" w:color="auto"/>
              <w:right w:val="single" w:sz="4" w:space="0" w:color="auto"/>
            </w:tcBorders>
            <w:shd w:val="clear" w:color="auto" w:fill="auto"/>
            <w:vAlign w:val="center"/>
          </w:tcPr>
          <w:p w14:paraId="69C67744" w14:textId="77777777" w:rsidR="00AC51DF" w:rsidRPr="000028C3" w:rsidRDefault="00AC51DF" w:rsidP="00AC51DF">
            <w:r w:rsidRPr="000028C3">
              <w:t>Качество активов и внебалансовых обязательств, в том числе</w:t>
            </w:r>
          </w:p>
        </w:tc>
        <w:tc>
          <w:tcPr>
            <w:tcW w:w="758" w:type="pct"/>
            <w:tcBorders>
              <w:top w:val="nil"/>
              <w:left w:val="nil"/>
              <w:bottom w:val="single" w:sz="4" w:space="0" w:color="auto"/>
              <w:right w:val="single" w:sz="4" w:space="0" w:color="auto"/>
            </w:tcBorders>
            <w:shd w:val="clear" w:color="auto" w:fill="auto"/>
            <w:vAlign w:val="center"/>
          </w:tcPr>
          <w:p w14:paraId="7DDA64EF" w14:textId="77777777" w:rsidR="00AC51DF" w:rsidRPr="000028C3" w:rsidRDefault="00AC51DF" w:rsidP="00AC51DF">
            <w:pPr>
              <w:jc w:val="center"/>
              <w:rPr>
                <w:lang w:val="en-US"/>
              </w:rPr>
            </w:pPr>
            <w:r w:rsidRPr="000028C3">
              <w:rPr>
                <w:lang w:val="en-US"/>
              </w:rPr>
              <w:t>17</w:t>
            </w:r>
          </w:p>
        </w:tc>
        <w:tc>
          <w:tcPr>
            <w:tcW w:w="1514" w:type="pct"/>
            <w:tcBorders>
              <w:top w:val="nil"/>
              <w:left w:val="nil"/>
              <w:bottom w:val="single" w:sz="4" w:space="0" w:color="auto"/>
              <w:right w:val="single" w:sz="4" w:space="0" w:color="auto"/>
            </w:tcBorders>
            <w:vAlign w:val="center"/>
          </w:tcPr>
          <w:p w14:paraId="4079CE36" w14:textId="77777777" w:rsidR="00AC51DF" w:rsidRPr="000028C3" w:rsidRDefault="00AC51DF" w:rsidP="005B6B71">
            <w:pPr>
              <w:jc w:val="center"/>
              <w:rPr>
                <w:lang w:val="en-US"/>
              </w:rPr>
            </w:pPr>
          </w:p>
        </w:tc>
      </w:tr>
      <w:tr w:rsidR="00AC51DF" w:rsidRPr="000028C3" w14:paraId="3DA63CB1" w14:textId="1BE8BF5E" w:rsidTr="00EB4C6D">
        <w:trPr>
          <w:trHeight w:val="20"/>
        </w:trPr>
        <w:tc>
          <w:tcPr>
            <w:tcW w:w="404" w:type="pct"/>
            <w:tcBorders>
              <w:top w:val="nil"/>
              <w:left w:val="single" w:sz="4" w:space="0" w:color="auto"/>
              <w:bottom w:val="single" w:sz="4" w:space="0" w:color="auto"/>
              <w:right w:val="single" w:sz="4" w:space="0" w:color="auto"/>
            </w:tcBorders>
            <w:vAlign w:val="center"/>
          </w:tcPr>
          <w:p w14:paraId="62811646" w14:textId="77777777" w:rsidR="00AC51DF" w:rsidRPr="000028C3" w:rsidRDefault="00AC51DF" w:rsidP="00AC51DF">
            <w:r w:rsidRPr="000028C3">
              <w:t>2.3.</w:t>
            </w:r>
          </w:p>
        </w:tc>
        <w:tc>
          <w:tcPr>
            <w:tcW w:w="2323" w:type="pct"/>
            <w:tcBorders>
              <w:top w:val="nil"/>
              <w:left w:val="single" w:sz="4" w:space="0" w:color="auto"/>
              <w:bottom w:val="single" w:sz="4" w:space="0" w:color="auto"/>
              <w:right w:val="single" w:sz="4" w:space="0" w:color="auto"/>
            </w:tcBorders>
            <w:shd w:val="clear" w:color="auto" w:fill="auto"/>
            <w:vAlign w:val="center"/>
          </w:tcPr>
          <w:p w14:paraId="0D405426" w14:textId="77777777" w:rsidR="00AC51DF" w:rsidRPr="000028C3" w:rsidRDefault="00AC51DF" w:rsidP="00AC51DF">
            <w:pPr>
              <w:ind w:left="708"/>
            </w:pPr>
            <w:r w:rsidRPr="000028C3">
              <w:t>качество факторингового портфеля, в том числе</w:t>
            </w:r>
          </w:p>
        </w:tc>
        <w:tc>
          <w:tcPr>
            <w:tcW w:w="758" w:type="pct"/>
            <w:tcBorders>
              <w:top w:val="nil"/>
              <w:left w:val="nil"/>
              <w:bottom w:val="single" w:sz="4" w:space="0" w:color="auto"/>
              <w:right w:val="single" w:sz="4" w:space="0" w:color="auto"/>
            </w:tcBorders>
            <w:shd w:val="clear" w:color="auto" w:fill="auto"/>
            <w:vAlign w:val="center"/>
          </w:tcPr>
          <w:p w14:paraId="77E8EBAD" w14:textId="77777777" w:rsidR="00AC51DF" w:rsidRPr="000028C3" w:rsidRDefault="00AC51DF" w:rsidP="00AC51DF">
            <w:pPr>
              <w:jc w:val="center"/>
            </w:pPr>
            <w:r w:rsidRPr="000028C3">
              <w:rPr>
                <w:lang w:val="en-US"/>
              </w:rPr>
              <w:t>17</w:t>
            </w:r>
            <w:r w:rsidRPr="000028C3">
              <w:t xml:space="preserve"> * </w:t>
            </w:r>
            <w:r w:rsidRPr="000028C3">
              <w:rPr>
                <w:lang w:val="en-US"/>
              </w:rPr>
              <w:t>X</w:t>
            </w:r>
          </w:p>
        </w:tc>
        <w:tc>
          <w:tcPr>
            <w:tcW w:w="1514" w:type="pct"/>
            <w:tcBorders>
              <w:top w:val="nil"/>
              <w:left w:val="nil"/>
              <w:bottom w:val="single" w:sz="4" w:space="0" w:color="auto"/>
              <w:right w:val="single" w:sz="4" w:space="0" w:color="auto"/>
            </w:tcBorders>
            <w:vAlign w:val="center"/>
          </w:tcPr>
          <w:p w14:paraId="4B023325" w14:textId="77777777" w:rsidR="00AC51DF" w:rsidRPr="000028C3" w:rsidRDefault="00AC51DF" w:rsidP="005B6B71">
            <w:pPr>
              <w:jc w:val="center"/>
              <w:rPr>
                <w:lang w:val="en-US"/>
              </w:rPr>
            </w:pPr>
          </w:p>
        </w:tc>
      </w:tr>
      <w:tr w:rsidR="00AC51DF" w:rsidRPr="000028C3" w14:paraId="559DCA12" w14:textId="2E70DC8C" w:rsidTr="00EB4C6D">
        <w:trPr>
          <w:trHeight w:val="20"/>
        </w:trPr>
        <w:tc>
          <w:tcPr>
            <w:tcW w:w="404" w:type="pct"/>
            <w:tcBorders>
              <w:top w:val="nil"/>
              <w:left w:val="single" w:sz="4" w:space="0" w:color="auto"/>
              <w:bottom w:val="single" w:sz="4" w:space="0" w:color="auto"/>
              <w:right w:val="single" w:sz="4" w:space="0" w:color="auto"/>
            </w:tcBorders>
            <w:vAlign w:val="center"/>
          </w:tcPr>
          <w:p w14:paraId="2D731B0F" w14:textId="77777777" w:rsidR="00AC51DF" w:rsidRPr="000028C3" w:rsidRDefault="00AC51DF" w:rsidP="00AC51DF">
            <w:r w:rsidRPr="000028C3">
              <w:t>2.3.1.</w:t>
            </w:r>
          </w:p>
        </w:tc>
        <w:tc>
          <w:tcPr>
            <w:tcW w:w="2323" w:type="pct"/>
            <w:tcBorders>
              <w:top w:val="nil"/>
              <w:left w:val="single" w:sz="4" w:space="0" w:color="auto"/>
              <w:bottom w:val="single" w:sz="4" w:space="0" w:color="auto"/>
              <w:right w:val="single" w:sz="4" w:space="0" w:color="auto"/>
            </w:tcBorders>
            <w:shd w:val="clear" w:color="auto" w:fill="auto"/>
            <w:vAlign w:val="center"/>
          </w:tcPr>
          <w:p w14:paraId="33E1D03D" w14:textId="77777777" w:rsidR="00AC51DF" w:rsidRPr="000028C3" w:rsidRDefault="00AC51DF" w:rsidP="00EB4C6D">
            <w:pPr>
              <w:ind w:left="1134"/>
            </w:pPr>
            <w:r w:rsidRPr="000028C3">
              <w:t>диверсификация факторингового портфеля по отраслям</w:t>
            </w:r>
          </w:p>
        </w:tc>
        <w:tc>
          <w:tcPr>
            <w:tcW w:w="758" w:type="pct"/>
            <w:tcBorders>
              <w:top w:val="nil"/>
              <w:left w:val="nil"/>
              <w:bottom w:val="single" w:sz="4" w:space="0" w:color="auto"/>
              <w:right w:val="single" w:sz="4" w:space="0" w:color="auto"/>
            </w:tcBorders>
            <w:shd w:val="clear" w:color="auto" w:fill="auto"/>
            <w:vAlign w:val="center"/>
          </w:tcPr>
          <w:p w14:paraId="78FE7A11" w14:textId="77777777" w:rsidR="00AC51DF" w:rsidRPr="000028C3" w:rsidRDefault="00AC51DF" w:rsidP="00AC51DF">
            <w:pPr>
              <w:jc w:val="center"/>
            </w:pPr>
            <w:r w:rsidRPr="000028C3">
              <w:t xml:space="preserve">4 * </w:t>
            </w:r>
            <w:r w:rsidRPr="000028C3">
              <w:rPr>
                <w:lang w:val="en-US"/>
              </w:rPr>
              <w:t>X</w:t>
            </w:r>
          </w:p>
        </w:tc>
        <w:tc>
          <w:tcPr>
            <w:tcW w:w="1514" w:type="pct"/>
            <w:tcBorders>
              <w:top w:val="nil"/>
              <w:left w:val="nil"/>
              <w:bottom w:val="single" w:sz="4" w:space="0" w:color="auto"/>
              <w:right w:val="single" w:sz="4" w:space="0" w:color="auto"/>
            </w:tcBorders>
            <w:vAlign w:val="center"/>
          </w:tcPr>
          <w:p w14:paraId="3AC9B2FD" w14:textId="615B2018" w:rsidR="00AC51DF" w:rsidRPr="000028C3" w:rsidRDefault="00AC51DF" w:rsidP="005B6B71">
            <w:pPr>
              <w:jc w:val="center"/>
            </w:pPr>
            <w:r w:rsidRPr="000028C3">
              <w:t>С «коротким хвостом»</w:t>
            </w:r>
          </w:p>
        </w:tc>
      </w:tr>
      <w:tr w:rsidR="00AC51DF" w:rsidRPr="000028C3" w14:paraId="1B0BE5E5" w14:textId="66E45C5D" w:rsidTr="00EB4C6D">
        <w:trPr>
          <w:trHeight w:val="20"/>
        </w:trPr>
        <w:tc>
          <w:tcPr>
            <w:tcW w:w="404" w:type="pct"/>
            <w:tcBorders>
              <w:top w:val="nil"/>
              <w:left w:val="single" w:sz="4" w:space="0" w:color="auto"/>
              <w:bottom w:val="single" w:sz="4" w:space="0" w:color="auto"/>
              <w:right w:val="single" w:sz="4" w:space="0" w:color="auto"/>
            </w:tcBorders>
            <w:vAlign w:val="center"/>
          </w:tcPr>
          <w:p w14:paraId="215E03F6" w14:textId="77777777" w:rsidR="00AC51DF" w:rsidRPr="000028C3" w:rsidRDefault="00AC51DF" w:rsidP="00AC51DF">
            <w:r w:rsidRPr="000028C3">
              <w:t>2.3.2.</w:t>
            </w:r>
          </w:p>
        </w:tc>
        <w:tc>
          <w:tcPr>
            <w:tcW w:w="2323" w:type="pct"/>
            <w:tcBorders>
              <w:top w:val="nil"/>
              <w:left w:val="single" w:sz="4" w:space="0" w:color="auto"/>
              <w:bottom w:val="single" w:sz="4" w:space="0" w:color="auto"/>
              <w:right w:val="single" w:sz="4" w:space="0" w:color="auto"/>
            </w:tcBorders>
            <w:shd w:val="clear" w:color="auto" w:fill="auto"/>
            <w:vAlign w:val="center"/>
          </w:tcPr>
          <w:p w14:paraId="2ECAABAA" w14:textId="77777777" w:rsidR="00AC51DF" w:rsidRPr="000028C3" w:rsidRDefault="00AC51DF" w:rsidP="00EB4C6D">
            <w:pPr>
              <w:ind w:left="1134"/>
            </w:pPr>
            <w:r w:rsidRPr="000028C3">
              <w:t>диверсификация факторингового портфеля по клиентам</w:t>
            </w:r>
          </w:p>
        </w:tc>
        <w:tc>
          <w:tcPr>
            <w:tcW w:w="758" w:type="pct"/>
            <w:tcBorders>
              <w:top w:val="nil"/>
              <w:left w:val="nil"/>
              <w:bottom w:val="single" w:sz="4" w:space="0" w:color="auto"/>
              <w:right w:val="single" w:sz="4" w:space="0" w:color="auto"/>
            </w:tcBorders>
            <w:shd w:val="clear" w:color="auto" w:fill="auto"/>
            <w:vAlign w:val="center"/>
          </w:tcPr>
          <w:p w14:paraId="3028748C" w14:textId="77777777" w:rsidR="00AC51DF" w:rsidRPr="000028C3" w:rsidRDefault="00AC51DF" w:rsidP="00AC51DF">
            <w:pPr>
              <w:jc w:val="center"/>
            </w:pPr>
            <w:r w:rsidRPr="000028C3">
              <w:t xml:space="preserve">5 * </w:t>
            </w:r>
            <w:r w:rsidRPr="000028C3">
              <w:rPr>
                <w:lang w:val="en-US"/>
              </w:rPr>
              <w:t>X</w:t>
            </w:r>
          </w:p>
        </w:tc>
        <w:tc>
          <w:tcPr>
            <w:tcW w:w="1514" w:type="pct"/>
            <w:tcBorders>
              <w:top w:val="nil"/>
              <w:left w:val="nil"/>
              <w:bottom w:val="single" w:sz="4" w:space="0" w:color="auto"/>
              <w:right w:val="single" w:sz="4" w:space="0" w:color="auto"/>
            </w:tcBorders>
            <w:vAlign w:val="center"/>
          </w:tcPr>
          <w:p w14:paraId="61B84E6C" w14:textId="7133F913" w:rsidR="00AC51DF" w:rsidRPr="000028C3" w:rsidRDefault="00AC51DF" w:rsidP="005B6B71">
            <w:pPr>
              <w:jc w:val="center"/>
            </w:pPr>
            <w:r w:rsidRPr="000028C3">
              <w:t>С «коротким хвостом»</w:t>
            </w:r>
          </w:p>
        </w:tc>
      </w:tr>
      <w:tr w:rsidR="00AC51DF" w:rsidRPr="000028C3" w14:paraId="3E573438" w14:textId="76A581FD" w:rsidTr="00EB4C6D">
        <w:trPr>
          <w:trHeight w:val="20"/>
        </w:trPr>
        <w:tc>
          <w:tcPr>
            <w:tcW w:w="404" w:type="pct"/>
            <w:tcBorders>
              <w:top w:val="nil"/>
              <w:left w:val="single" w:sz="4" w:space="0" w:color="auto"/>
              <w:bottom w:val="single" w:sz="4" w:space="0" w:color="auto"/>
              <w:right w:val="single" w:sz="4" w:space="0" w:color="auto"/>
            </w:tcBorders>
            <w:vAlign w:val="center"/>
          </w:tcPr>
          <w:p w14:paraId="327F3D29" w14:textId="77777777" w:rsidR="00AC51DF" w:rsidRPr="000028C3" w:rsidRDefault="00AC51DF" w:rsidP="00AC51DF">
            <w:r w:rsidRPr="000028C3">
              <w:t>2.3.3.</w:t>
            </w:r>
          </w:p>
        </w:tc>
        <w:tc>
          <w:tcPr>
            <w:tcW w:w="2323" w:type="pct"/>
            <w:tcBorders>
              <w:top w:val="nil"/>
              <w:left w:val="single" w:sz="4" w:space="0" w:color="auto"/>
              <w:bottom w:val="single" w:sz="4" w:space="0" w:color="auto"/>
              <w:right w:val="single" w:sz="4" w:space="0" w:color="auto"/>
            </w:tcBorders>
            <w:shd w:val="clear" w:color="auto" w:fill="auto"/>
            <w:vAlign w:val="center"/>
          </w:tcPr>
          <w:p w14:paraId="565A25DC" w14:textId="77777777" w:rsidR="00AC51DF" w:rsidRPr="000028C3" w:rsidRDefault="00AC51DF" w:rsidP="00EB4C6D">
            <w:pPr>
              <w:ind w:left="1134"/>
            </w:pPr>
            <w:r w:rsidRPr="000028C3">
              <w:t>уровень просроченной задолженности</w:t>
            </w:r>
          </w:p>
        </w:tc>
        <w:tc>
          <w:tcPr>
            <w:tcW w:w="758" w:type="pct"/>
            <w:tcBorders>
              <w:top w:val="nil"/>
              <w:left w:val="nil"/>
              <w:bottom w:val="single" w:sz="4" w:space="0" w:color="auto"/>
              <w:right w:val="single" w:sz="4" w:space="0" w:color="auto"/>
            </w:tcBorders>
            <w:shd w:val="clear" w:color="auto" w:fill="auto"/>
            <w:vAlign w:val="center"/>
          </w:tcPr>
          <w:p w14:paraId="5B6B4C33" w14:textId="77777777" w:rsidR="00AC51DF" w:rsidRPr="000028C3" w:rsidRDefault="00AC51DF" w:rsidP="00AC51DF">
            <w:pPr>
              <w:jc w:val="center"/>
            </w:pPr>
            <w:r w:rsidRPr="000028C3">
              <w:t xml:space="preserve">8 * </w:t>
            </w:r>
            <w:r w:rsidRPr="000028C3">
              <w:rPr>
                <w:lang w:val="en-US"/>
              </w:rPr>
              <w:t>X</w:t>
            </w:r>
          </w:p>
        </w:tc>
        <w:tc>
          <w:tcPr>
            <w:tcW w:w="1514" w:type="pct"/>
            <w:tcBorders>
              <w:top w:val="nil"/>
              <w:left w:val="nil"/>
              <w:bottom w:val="single" w:sz="4" w:space="0" w:color="auto"/>
              <w:right w:val="single" w:sz="4" w:space="0" w:color="auto"/>
            </w:tcBorders>
            <w:vAlign w:val="center"/>
          </w:tcPr>
          <w:p w14:paraId="4678B14F" w14:textId="7FF85795" w:rsidR="00AC51DF" w:rsidRPr="000028C3" w:rsidRDefault="00AC51DF" w:rsidP="005B6B71">
            <w:pPr>
              <w:jc w:val="center"/>
            </w:pPr>
            <w:r w:rsidRPr="000028C3">
              <w:t>С «коротким хвостом»</w:t>
            </w:r>
          </w:p>
        </w:tc>
      </w:tr>
      <w:tr w:rsidR="00AC51DF" w:rsidRPr="000028C3" w14:paraId="4A8EE5BE" w14:textId="1F36FAD8" w:rsidTr="00EB4C6D">
        <w:trPr>
          <w:trHeight w:val="20"/>
        </w:trPr>
        <w:tc>
          <w:tcPr>
            <w:tcW w:w="404" w:type="pct"/>
            <w:tcBorders>
              <w:top w:val="nil"/>
              <w:left w:val="single" w:sz="4" w:space="0" w:color="auto"/>
              <w:bottom w:val="single" w:sz="4" w:space="0" w:color="auto"/>
              <w:right w:val="single" w:sz="4" w:space="0" w:color="auto"/>
            </w:tcBorders>
            <w:vAlign w:val="center"/>
          </w:tcPr>
          <w:p w14:paraId="327B0D34" w14:textId="77777777" w:rsidR="00AC51DF" w:rsidRPr="000028C3" w:rsidRDefault="00AC51DF" w:rsidP="00AC51DF">
            <w:r w:rsidRPr="000028C3">
              <w:t>2.4.</w:t>
            </w:r>
          </w:p>
        </w:tc>
        <w:tc>
          <w:tcPr>
            <w:tcW w:w="2323" w:type="pct"/>
            <w:tcBorders>
              <w:top w:val="nil"/>
              <w:left w:val="single" w:sz="4" w:space="0" w:color="auto"/>
              <w:bottom w:val="single" w:sz="4" w:space="0" w:color="auto"/>
              <w:right w:val="single" w:sz="4" w:space="0" w:color="auto"/>
            </w:tcBorders>
            <w:shd w:val="clear" w:color="auto" w:fill="auto"/>
            <w:vAlign w:val="center"/>
          </w:tcPr>
          <w:p w14:paraId="35B65AF5" w14:textId="77777777" w:rsidR="00AC51DF" w:rsidRPr="000028C3" w:rsidRDefault="00AC51DF" w:rsidP="00AC51DF">
            <w:pPr>
              <w:ind w:left="708"/>
            </w:pPr>
            <w:r w:rsidRPr="000028C3">
              <w:t>качество прочих активов и внебалансовых обязательств</w:t>
            </w:r>
          </w:p>
        </w:tc>
        <w:tc>
          <w:tcPr>
            <w:tcW w:w="758" w:type="pct"/>
            <w:tcBorders>
              <w:top w:val="nil"/>
              <w:left w:val="nil"/>
              <w:bottom w:val="single" w:sz="4" w:space="0" w:color="auto"/>
              <w:right w:val="single" w:sz="4" w:space="0" w:color="auto"/>
            </w:tcBorders>
            <w:shd w:val="clear" w:color="auto" w:fill="auto"/>
            <w:vAlign w:val="center"/>
          </w:tcPr>
          <w:p w14:paraId="2FCC4564" w14:textId="77777777" w:rsidR="00AC51DF" w:rsidRPr="000028C3" w:rsidRDefault="00AC51DF" w:rsidP="00AC51DF">
            <w:pPr>
              <w:jc w:val="center"/>
            </w:pPr>
            <w:r w:rsidRPr="000028C3">
              <w:t xml:space="preserve">17 * </w:t>
            </w:r>
            <w:r w:rsidRPr="000028C3">
              <w:rPr>
                <w:lang w:val="en-US"/>
              </w:rPr>
              <w:t>(1 – X)</w:t>
            </w:r>
          </w:p>
        </w:tc>
        <w:tc>
          <w:tcPr>
            <w:tcW w:w="1514" w:type="pct"/>
            <w:tcBorders>
              <w:top w:val="nil"/>
              <w:left w:val="nil"/>
              <w:bottom w:val="single" w:sz="4" w:space="0" w:color="auto"/>
              <w:right w:val="single" w:sz="4" w:space="0" w:color="auto"/>
            </w:tcBorders>
            <w:vAlign w:val="center"/>
          </w:tcPr>
          <w:p w14:paraId="1B41ED77" w14:textId="36DD5E77" w:rsidR="00AC51DF" w:rsidRPr="000028C3" w:rsidRDefault="00AC51DF" w:rsidP="005B6B71">
            <w:pPr>
              <w:jc w:val="center"/>
            </w:pPr>
            <w:r w:rsidRPr="000028C3">
              <w:t>На последнюю дату</w:t>
            </w:r>
          </w:p>
        </w:tc>
      </w:tr>
      <w:tr w:rsidR="00AC51DF" w:rsidRPr="000028C3" w14:paraId="02F159CC" w14:textId="4B3F9C29" w:rsidTr="00EB4C6D">
        <w:trPr>
          <w:trHeight w:val="20"/>
        </w:trPr>
        <w:tc>
          <w:tcPr>
            <w:tcW w:w="404" w:type="pct"/>
            <w:tcBorders>
              <w:top w:val="nil"/>
              <w:left w:val="single" w:sz="4" w:space="0" w:color="auto"/>
              <w:bottom w:val="single" w:sz="4" w:space="0" w:color="auto"/>
              <w:right w:val="single" w:sz="4" w:space="0" w:color="auto"/>
            </w:tcBorders>
            <w:vAlign w:val="center"/>
          </w:tcPr>
          <w:p w14:paraId="671090C0" w14:textId="77777777" w:rsidR="00AC51DF" w:rsidRPr="000028C3" w:rsidRDefault="00AC51DF" w:rsidP="00AC51DF">
            <w:r w:rsidRPr="000028C3">
              <w:t>2.5.</w:t>
            </w:r>
          </w:p>
        </w:tc>
        <w:tc>
          <w:tcPr>
            <w:tcW w:w="2323" w:type="pct"/>
            <w:tcBorders>
              <w:top w:val="nil"/>
              <w:left w:val="single" w:sz="4" w:space="0" w:color="auto"/>
              <w:bottom w:val="single" w:sz="4" w:space="0" w:color="auto"/>
              <w:right w:val="single" w:sz="4" w:space="0" w:color="auto"/>
            </w:tcBorders>
            <w:shd w:val="clear" w:color="auto" w:fill="auto"/>
            <w:vAlign w:val="center"/>
          </w:tcPr>
          <w:p w14:paraId="018DF0B8" w14:textId="77777777" w:rsidR="00AC51DF" w:rsidRPr="000028C3" w:rsidRDefault="00AC51DF" w:rsidP="00AC51DF">
            <w:r w:rsidRPr="000028C3">
              <w:t>Рентабельность</w:t>
            </w:r>
          </w:p>
        </w:tc>
        <w:tc>
          <w:tcPr>
            <w:tcW w:w="758" w:type="pct"/>
            <w:tcBorders>
              <w:top w:val="nil"/>
              <w:left w:val="nil"/>
              <w:bottom w:val="single" w:sz="4" w:space="0" w:color="auto"/>
              <w:right w:val="single" w:sz="4" w:space="0" w:color="auto"/>
            </w:tcBorders>
            <w:shd w:val="clear" w:color="auto" w:fill="auto"/>
            <w:vAlign w:val="center"/>
          </w:tcPr>
          <w:p w14:paraId="3D586397" w14:textId="77777777" w:rsidR="00AC51DF" w:rsidRPr="000028C3" w:rsidRDefault="00AC51DF" w:rsidP="00AC51DF">
            <w:pPr>
              <w:jc w:val="center"/>
            </w:pPr>
            <w:r w:rsidRPr="000028C3">
              <w:t>6</w:t>
            </w:r>
          </w:p>
        </w:tc>
        <w:tc>
          <w:tcPr>
            <w:tcW w:w="1514" w:type="pct"/>
            <w:tcBorders>
              <w:top w:val="nil"/>
              <w:left w:val="nil"/>
              <w:bottom w:val="single" w:sz="4" w:space="0" w:color="auto"/>
              <w:right w:val="single" w:sz="4" w:space="0" w:color="auto"/>
            </w:tcBorders>
            <w:vAlign w:val="center"/>
          </w:tcPr>
          <w:p w14:paraId="530CEDB8" w14:textId="32089BDD" w:rsidR="005B6B71" w:rsidRPr="000028C3" w:rsidRDefault="00AC51DF" w:rsidP="005B6B71">
            <w:pPr>
              <w:jc w:val="center"/>
            </w:pPr>
            <w:r w:rsidRPr="000028C3">
              <w:t>За последние 12 месяцев / 24 месяца /</w:t>
            </w:r>
          </w:p>
          <w:p w14:paraId="6256B7FE" w14:textId="70038B89" w:rsidR="00AC51DF" w:rsidRPr="000028C3" w:rsidRDefault="00AC51DF" w:rsidP="005B6B71">
            <w:pPr>
              <w:jc w:val="center"/>
            </w:pPr>
            <w:r w:rsidRPr="000028C3">
              <w:t>2 завершившихся года</w:t>
            </w:r>
            <w:r w:rsidRPr="000028C3">
              <w:rPr>
                <w:rStyle w:val="a6"/>
              </w:rPr>
              <w:footnoteReference w:id="4"/>
            </w:r>
          </w:p>
        </w:tc>
      </w:tr>
      <w:tr w:rsidR="00AC51DF" w:rsidRPr="000028C3" w14:paraId="25129055" w14:textId="33DD8914" w:rsidTr="00EB4C6D">
        <w:trPr>
          <w:trHeight w:val="20"/>
        </w:trPr>
        <w:tc>
          <w:tcPr>
            <w:tcW w:w="404" w:type="pct"/>
            <w:tcBorders>
              <w:top w:val="nil"/>
              <w:left w:val="single" w:sz="4" w:space="0" w:color="auto"/>
              <w:bottom w:val="single" w:sz="4" w:space="0" w:color="auto"/>
              <w:right w:val="single" w:sz="4" w:space="0" w:color="auto"/>
            </w:tcBorders>
            <w:vAlign w:val="center"/>
          </w:tcPr>
          <w:p w14:paraId="000EA00F" w14:textId="77777777" w:rsidR="00AC51DF" w:rsidRPr="000028C3" w:rsidRDefault="00AC51DF" w:rsidP="00AC51DF">
            <w:r w:rsidRPr="000028C3">
              <w:t>2.6.</w:t>
            </w:r>
          </w:p>
        </w:tc>
        <w:tc>
          <w:tcPr>
            <w:tcW w:w="2323" w:type="pct"/>
            <w:tcBorders>
              <w:top w:val="nil"/>
              <w:left w:val="single" w:sz="4" w:space="0" w:color="auto"/>
              <w:bottom w:val="single" w:sz="4" w:space="0" w:color="auto"/>
              <w:right w:val="single" w:sz="4" w:space="0" w:color="auto"/>
            </w:tcBorders>
            <w:shd w:val="clear" w:color="auto" w:fill="auto"/>
            <w:vAlign w:val="center"/>
          </w:tcPr>
          <w:p w14:paraId="4C1F14BA" w14:textId="77777777" w:rsidR="00AC51DF" w:rsidRPr="000028C3" w:rsidRDefault="00AC51DF" w:rsidP="00AC51DF">
            <w:r w:rsidRPr="000028C3">
              <w:t>Ресурсная база, в том числе</w:t>
            </w:r>
          </w:p>
        </w:tc>
        <w:tc>
          <w:tcPr>
            <w:tcW w:w="758" w:type="pct"/>
            <w:tcBorders>
              <w:top w:val="nil"/>
              <w:left w:val="nil"/>
              <w:bottom w:val="single" w:sz="4" w:space="0" w:color="auto"/>
              <w:right w:val="single" w:sz="4" w:space="0" w:color="auto"/>
            </w:tcBorders>
            <w:shd w:val="clear" w:color="auto" w:fill="auto"/>
            <w:vAlign w:val="center"/>
          </w:tcPr>
          <w:p w14:paraId="5F6AF3A9" w14:textId="77777777" w:rsidR="00AC51DF" w:rsidRPr="000028C3" w:rsidRDefault="00AC51DF" w:rsidP="00AC51DF">
            <w:pPr>
              <w:jc w:val="center"/>
              <w:rPr>
                <w:lang w:val="en-US"/>
              </w:rPr>
            </w:pPr>
            <w:r w:rsidRPr="000028C3">
              <w:rPr>
                <w:lang w:val="en-US"/>
              </w:rPr>
              <w:t>11</w:t>
            </w:r>
          </w:p>
        </w:tc>
        <w:tc>
          <w:tcPr>
            <w:tcW w:w="1514" w:type="pct"/>
            <w:tcBorders>
              <w:top w:val="nil"/>
              <w:left w:val="nil"/>
              <w:bottom w:val="single" w:sz="4" w:space="0" w:color="auto"/>
              <w:right w:val="single" w:sz="4" w:space="0" w:color="auto"/>
            </w:tcBorders>
            <w:vAlign w:val="center"/>
          </w:tcPr>
          <w:p w14:paraId="54E09D21" w14:textId="77777777" w:rsidR="00AC51DF" w:rsidRPr="000028C3" w:rsidRDefault="00AC51DF" w:rsidP="005B6B71">
            <w:pPr>
              <w:jc w:val="center"/>
              <w:rPr>
                <w:lang w:val="en-US"/>
              </w:rPr>
            </w:pPr>
          </w:p>
        </w:tc>
      </w:tr>
      <w:tr w:rsidR="005B6B71" w:rsidRPr="000028C3" w14:paraId="4C44D321" w14:textId="47F8E529" w:rsidTr="00EB4C6D">
        <w:trPr>
          <w:trHeight w:val="20"/>
        </w:trPr>
        <w:tc>
          <w:tcPr>
            <w:tcW w:w="404" w:type="pct"/>
            <w:tcBorders>
              <w:top w:val="nil"/>
              <w:left w:val="single" w:sz="4" w:space="0" w:color="auto"/>
              <w:bottom w:val="single" w:sz="4" w:space="0" w:color="auto"/>
              <w:right w:val="single" w:sz="4" w:space="0" w:color="auto"/>
            </w:tcBorders>
            <w:vAlign w:val="center"/>
          </w:tcPr>
          <w:p w14:paraId="5437E2F8" w14:textId="77777777" w:rsidR="005B6B71" w:rsidRPr="000028C3" w:rsidRDefault="005B6B71" w:rsidP="005B6B71">
            <w:r w:rsidRPr="000028C3">
              <w:t>2.6.1.</w:t>
            </w:r>
          </w:p>
        </w:tc>
        <w:tc>
          <w:tcPr>
            <w:tcW w:w="2323" w:type="pct"/>
            <w:tcBorders>
              <w:top w:val="nil"/>
              <w:left w:val="single" w:sz="4" w:space="0" w:color="auto"/>
              <w:bottom w:val="single" w:sz="4" w:space="0" w:color="auto"/>
              <w:right w:val="single" w:sz="4" w:space="0" w:color="auto"/>
            </w:tcBorders>
            <w:shd w:val="clear" w:color="auto" w:fill="auto"/>
            <w:vAlign w:val="center"/>
          </w:tcPr>
          <w:p w14:paraId="7F0B38FA" w14:textId="77777777" w:rsidR="005B6B71" w:rsidRPr="000028C3" w:rsidRDefault="005B6B71" w:rsidP="005B6B71">
            <w:pPr>
              <w:ind w:left="708"/>
            </w:pPr>
            <w:r w:rsidRPr="000028C3">
              <w:t>диверсификация ресурсной базы по кредиторам</w:t>
            </w:r>
          </w:p>
        </w:tc>
        <w:tc>
          <w:tcPr>
            <w:tcW w:w="758" w:type="pct"/>
            <w:tcBorders>
              <w:top w:val="nil"/>
              <w:left w:val="nil"/>
              <w:bottom w:val="single" w:sz="4" w:space="0" w:color="auto"/>
              <w:right w:val="single" w:sz="4" w:space="0" w:color="auto"/>
            </w:tcBorders>
            <w:shd w:val="clear" w:color="auto" w:fill="auto"/>
            <w:vAlign w:val="center"/>
          </w:tcPr>
          <w:p w14:paraId="6C95DCCF" w14:textId="77777777" w:rsidR="005B6B71" w:rsidRPr="000028C3" w:rsidRDefault="005B6B71" w:rsidP="005B6B71">
            <w:pPr>
              <w:jc w:val="center"/>
            </w:pPr>
            <w:r w:rsidRPr="000028C3">
              <w:t>5</w:t>
            </w:r>
          </w:p>
        </w:tc>
        <w:tc>
          <w:tcPr>
            <w:tcW w:w="1514" w:type="pct"/>
            <w:tcBorders>
              <w:top w:val="nil"/>
              <w:left w:val="nil"/>
              <w:bottom w:val="single" w:sz="4" w:space="0" w:color="auto"/>
              <w:right w:val="single" w:sz="4" w:space="0" w:color="auto"/>
            </w:tcBorders>
            <w:vAlign w:val="center"/>
          </w:tcPr>
          <w:p w14:paraId="327C3E7F" w14:textId="4B09690B" w:rsidR="005B6B71" w:rsidRPr="000028C3" w:rsidRDefault="005B6B71" w:rsidP="005B6B71">
            <w:pPr>
              <w:jc w:val="center"/>
            </w:pPr>
            <w:r w:rsidRPr="000028C3">
              <w:t>С «коротким хвостом»</w:t>
            </w:r>
          </w:p>
        </w:tc>
      </w:tr>
      <w:tr w:rsidR="005B6B71" w:rsidRPr="000028C3" w14:paraId="379643EB" w14:textId="6376577D" w:rsidTr="00EB4C6D">
        <w:trPr>
          <w:trHeight w:val="20"/>
        </w:trPr>
        <w:tc>
          <w:tcPr>
            <w:tcW w:w="404" w:type="pct"/>
            <w:tcBorders>
              <w:top w:val="nil"/>
              <w:left w:val="single" w:sz="4" w:space="0" w:color="auto"/>
              <w:bottom w:val="single" w:sz="4" w:space="0" w:color="auto"/>
              <w:right w:val="single" w:sz="4" w:space="0" w:color="auto"/>
            </w:tcBorders>
            <w:vAlign w:val="center"/>
          </w:tcPr>
          <w:p w14:paraId="0764826B" w14:textId="77777777" w:rsidR="005B6B71" w:rsidRPr="000028C3" w:rsidRDefault="005B6B71" w:rsidP="005B6B71">
            <w:r w:rsidRPr="000028C3">
              <w:t>2.6.2</w:t>
            </w:r>
          </w:p>
        </w:tc>
        <w:tc>
          <w:tcPr>
            <w:tcW w:w="2323" w:type="pct"/>
            <w:tcBorders>
              <w:top w:val="nil"/>
              <w:left w:val="single" w:sz="4" w:space="0" w:color="auto"/>
              <w:bottom w:val="single" w:sz="4" w:space="0" w:color="auto"/>
              <w:right w:val="single" w:sz="4" w:space="0" w:color="auto"/>
            </w:tcBorders>
            <w:shd w:val="clear" w:color="auto" w:fill="auto"/>
            <w:vAlign w:val="center"/>
          </w:tcPr>
          <w:p w14:paraId="35EBE5CA" w14:textId="77777777" w:rsidR="005B6B71" w:rsidRPr="000028C3" w:rsidRDefault="005B6B71" w:rsidP="005B6B71">
            <w:pPr>
              <w:ind w:left="708"/>
            </w:pPr>
            <w:r w:rsidRPr="000028C3">
              <w:t>влияние крупных выплат</w:t>
            </w:r>
          </w:p>
        </w:tc>
        <w:tc>
          <w:tcPr>
            <w:tcW w:w="758" w:type="pct"/>
            <w:tcBorders>
              <w:top w:val="nil"/>
              <w:left w:val="nil"/>
              <w:bottom w:val="single" w:sz="4" w:space="0" w:color="auto"/>
              <w:right w:val="single" w:sz="4" w:space="0" w:color="auto"/>
            </w:tcBorders>
            <w:shd w:val="clear" w:color="auto" w:fill="auto"/>
            <w:vAlign w:val="center"/>
          </w:tcPr>
          <w:p w14:paraId="35DB4296" w14:textId="77777777" w:rsidR="005B6B71" w:rsidRPr="000028C3" w:rsidRDefault="005B6B71" w:rsidP="005B6B71">
            <w:pPr>
              <w:jc w:val="center"/>
              <w:rPr>
                <w:lang w:val="en-US"/>
              </w:rPr>
            </w:pPr>
            <w:r w:rsidRPr="000028C3">
              <w:rPr>
                <w:lang w:val="en-US"/>
              </w:rPr>
              <w:t>3</w:t>
            </w:r>
          </w:p>
        </w:tc>
        <w:tc>
          <w:tcPr>
            <w:tcW w:w="1514" w:type="pct"/>
            <w:tcBorders>
              <w:top w:val="nil"/>
              <w:left w:val="nil"/>
              <w:bottom w:val="single" w:sz="4" w:space="0" w:color="auto"/>
              <w:right w:val="single" w:sz="4" w:space="0" w:color="auto"/>
            </w:tcBorders>
            <w:vAlign w:val="center"/>
          </w:tcPr>
          <w:p w14:paraId="4E074FF1" w14:textId="0C0774F8" w:rsidR="005B6B71" w:rsidRPr="000028C3" w:rsidRDefault="005B6B71" w:rsidP="005B6B71">
            <w:pPr>
              <w:jc w:val="center"/>
              <w:rPr>
                <w:lang w:val="en-US"/>
              </w:rPr>
            </w:pPr>
            <w:r w:rsidRPr="000028C3">
              <w:t>На последнюю дату</w:t>
            </w:r>
          </w:p>
        </w:tc>
      </w:tr>
      <w:tr w:rsidR="005B6B71" w:rsidRPr="000028C3" w14:paraId="4F5984CD" w14:textId="0992C238" w:rsidTr="00EB4C6D">
        <w:trPr>
          <w:trHeight w:val="20"/>
        </w:trPr>
        <w:tc>
          <w:tcPr>
            <w:tcW w:w="404" w:type="pct"/>
            <w:tcBorders>
              <w:top w:val="nil"/>
              <w:left w:val="single" w:sz="4" w:space="0" w:color="auto"/>
              <w:bottom w:val="single" w:sz="4" w:space="0" w:color="auto"/>
              <w:right w:val="single" w:sz="4" w:space="0" w:color="auto"/>
            </w:tcBorders>
            <w:vAlign w:val="center"/>
          </w:tcPr>
          <w:p w14:paraId="1AB85688" w14:textId="77777777" w:rsidR="005B6B71" w:rsidRPr="000028C3" w:rsidRDefault="005B6B71" w:rsidP="005B6B71">
            <w:r w:rsidRPr="000028C3">
              <w:t>2.6.3.</w:t>
            </w:r>
          </w:p>
        </w:tc>
        <w:tc>
          <w:tcPr>
            <w:tcW w:w="2323" w:type="pct"/>
            <w:tcBorders>
              <w:top w:val="nil"/>
              <w:left w:val="single" w:sz="4" w:space="0" w:color="auto"/>
              <w:bottom w:val="single" w:sz="4" w:space="0" w:color="auto"/>
              <w:right w:val="single" w:sz="4" w:space="0" w:color="auto"/>
            </w:tcBorders>
            <w:shd w:val="clear" w:color="auto" w:fill="auto"/>
            <w:vAlign w:val="center"/>
          </w:tcPr>
          <w:p w14:paraId="2CDC4FD0" w14:textId="77777777" w:rsidR="005B6B71" w:rsidRPr="000028C3" w:rsidRDefault="005B6B71" w:rsidP="005B6B71">
            <w:pPr>
              <w:ind w:left="708"/>
            </w:pPr>
            <w:r w:rsidRPr="000028C3">
              <w:t>доступность источников дополнительной ликвидности</w:t>
            </w:r>
          </w:p>
        </w:tc>
        <w:tc>
          <w:tcPr>
            <w:tcW w:w="758" w:type="pct"/>
            <w:tcBorders>
              <w:top w:val="nil"/>
              <w:left w:val="nil"/>
              <w:bottom w:val="single" w:sz="4" w:space="0" w:color="auto"/>
              <w:right w:val="single" w:sz="4" w:space="0" w:color="auto"/>
            </w:tcBorders>
            <w:shd w:val="clear" w:color="auto" w:fill="auto"/>
            <w:vAlign w:val="center"/>
          </w:tcPr>
          <w:p w14:paraId="1AEE9F14" w14:textId="77777777" w:rsidR="005B6B71" w:rsidRPr="000028C3" w:rsidRDefault="005B6B71" w:rsidP="005B6B71">
            <w:pPr>
              <w:jc w:val="center"/>
              <w:rPr>
                <w:lang w:val="en-US"/>
              </w:rPr>
            </w:pPr>
            <w:r w:rsidRPr="000028C3">
              <w:t>3</w:t>
            </w:r>
          </w:p>
        </w:tc>
        <w:tc>
          <w:tcPr>
            <w:tcW w:w="1514" w:type="pct"/>
            <w:tcBorders>
              <w:top w:val="nil"/>
              <w:left w:val="nil"/>
              <w:bottom w:val="single" w:sz="4" w:space="0" w:color="auto"/>
              <w:right w:val="single" w:sz="4" w:space="0" w:color="auto"/>
            </w:tcBorders>
            <w:vAlign w:val="center"/>
          </w:tcPr>
          <w:p w14:paraId="5E31A6DF" w14:textId="435F3D3E" w:rsidR="005B6B71" w:rsidRPr="000028C3" w:rsidRDefault="005B6B71" w:rsidP="005B6B71">
            <w:pPr>
              <w:jc w:val="center"/>
            </w:pPr>
            <w:r w:rsidRPr="000028C3">
              <w:t>На последнюю дату</w:t>
            </w:r>
          </w:p>
        </w:tc>
      </w:tr>
      <w:tr w:rsidR="005B6B71" w:rsidRPr="000028C3" w14:paraId="01C5F9FD" w14:textId="31DBB29F" w:rsidTr="00EB4C6D">
        <w:trPr>
          <w:trHeight w:val="20"/>
        </w:trPr>
        <w:tc>
          <w:tcPr>
            <w:tcW w:w="404" w:type="pct"/>
            <w:tcBorders>
              <w:top w:val="nil"/>
              <w:left w:val="single" w:sz="4" w:space="0" w:color="auto"/>
              <w:bottom w:val="single" w:sz="4" w:space="0" w:color="auto"/>
              <w:right w:val="single" w:sz="4" w:space="0" w:color="auto"/>
            </w:tcBorders>
            <w:vAlign w:val="center"/>
          </w:tcPr>
          <w:p w14:paraId="384891B4" w14:textId="77777777" w:rsidR="005B6B71" w:rsidRPr="000028C3" w:rsidRDefault="005B6B71" w:rsidP="005B6B71">
            <w:r w:rsidRPr="000028C3">
              <w:t>2.7.</w:t>
            </w:r>
          </w:p>
        </w:tc>
        <w:tc>
          <w:tcPr>
            <w:tcW w:w="2323" w:type="pct"/>
            <w:tcBorders>
              <w:top w:val="nil"/>
              <w:left w:val="single" w:sz="4" w:space="0" w:color="auto"/>
              <w:bottom w:val="single" w:sz="4" w:space="0" w:color="auto"/>
              <w:right w:val="single" w:sz="4" w:space="0" w:color="auto"/>
            </w:tcBorders>
            <w:shd w:val="clear" w:color="auto" w:fill="auto"/>
            <w:vAlign w:val="center"/>
          </w:tcPr>
          <w:p w14:paraId="530A6913" w14:textId="77777777" w:rsidR="005B6B71" w:rsidRPr="000028C3" w:rsidRDefault="005B6B71" w:rsidP="005B6B71">
            <w:r w:rsidRPr="000028C3">
              <w:t>Ликвидность, в том числе</w:t>
            </w:r>
          </w:p>
        </w:tc>
        <w:tc>
          <w:tcPr>
            <w:tcW w:w="758" w:type="pct"/>
            <w:tcBorders>
              <w:top w:val="nil"/>
              <w:left w:val="nil"/>
              <w:bottom w:val="single" w:sz="4" w:space="0" w:color="auto"/>
              <w:right w:val="single" w:sz="4" w:space="0" w:color="auto"/>
            </w:tcBorders>
            <w:shd w:val="clear" w:color="auto" w:fill="auto"/>
            <w:vAlign w:val="center"/>
          </w:tcPr>
          <w:p w14:paraId="516DF111" w14:textId="77777777" w:rsidR="005B6B71" w:rsidRPr="000028C3" w:rsidRDefault="005B6B71" w:rsidP="005B6B71">
            <w:pPr>
              <w:jc w:val="center"/>
            </w:pPr>
            <w:r w:rsidRPr="000028C3">
              <w:t>7</w:t>
            </w:r>
          </w:p>
        </w:tc>
        <w:tc>
          <w:tcPr>
            <w:tcW w:w="1514" w:type="pct"/>
            <w:tcBorders>
              <w:top w:val="nil"/>
              <w:left w:val="nil"/>
              <w:bottom w:val="single" w:sz="4" w:space="0" w:color="auto"/>
              <w:right w:val="single" w:sz="4" w:space="0" w:color="auto"/>
            </w:tcBorders>
            <w:vAlign w:val="center"/>
          </w:tcPr>
          <w:p w14:paraId="54605008" w14:textId="77777777" w:rsidR="005B6B71" w:rsidRPr="000028C3" w:rsidRDefault="005B6B71" w:rsidP="005B6B71">
            <w:pPr>
              <w:jc w:val="center"/>
            </w:pPr>
          </w:p>
        </w:tc>
      </w:tr>
      <w:tr w:rsidR="005B6B71" w:rsidRPr="000028C3" w14:paraId="66170693" w14:textId="0DEB2DAF" w:rsidTr="00EB4C6D">
        <w:trPr>
          <w:trHeight w:val="20"/>
        </w:trPr>
        <w:tc>
          <w:tcPr>
            <w:tcW w:w="404" w:type="pct"/>
            <w:tcBorders>
              <w:top w:val="nil"/>
              <w:left w:val="single" w:sz="4" w:space="0" w:color="auto"/>
              <w:bottom w:val="single" w:sz="4" w:space="0" w:color="auto"/>
              <w:right w:val="single" w:sz="4" w:space="0" w:color="auto"/>
            </w:tcBorders>
            <w:vAlign w:val="center"/>
          </w:tcPr>
          <w:p w14:paraId="2314061A" w14:textId="77777777" w:rsidR="005B6B71" w:rsidRPr="000028C3" w:rsidRDefault="005B6B71" w:rsidP="005B6B71">
            <w:r w:rsidRPr="000028C3">
              <w:lastRenderedPageBreak/>
              <w:t>2.7.1.</w:t>
            </w:r>
          </w:p>
        </w:tc>
        <w:tc>
          <w:tcPr>
            <w:tcW w:w="2323" w:type="pct"/>
            <w:tcBorders>
              <w:top w:val="nil"/>
              <w:left w:val="single" w:sz="4" w:space="0" w:color="auto"/>
              <w:bottom w:val="single" w:sz="4" w:space="0" w:color="auto"/>
              <w:right w:val="single" w:sz="4" w:space="0" w:color="auto"/>
            </w:tcBorders>
            <w:shd w:val="clear" w:color="auto" w:fill="auto"/>
            <w:vAlign w:val="center"/>
          </w:tcPr>
          <w:p w14:paraId="523AC6D9" w14:textId="77777777" w:rsidR="005B6B71" w:rsidRPr="000028C3" w:rsidRDefault="005B6B71" w:rsidP="005B6B71">
            <w:pPr>
              <w:ind w:left="708"/>
            </w:pPr>
            <w:r w:rsidRPr="000028C3">
              <w:t>коэффициент текущей ликвидности</w:t>
            </w:r>
          </w:p>
        </w:tc>
        <w:tc>
          <w:tcPr>
            <w:tcW w:w="758" w:type="pct"/>
            <w:tcBorders>
              <w:top w:val="nil"/>
              <w:left w:val="nil"/>
              <w:bottom w:val="single" w:sz="4" w:space="0" w:color="auto"/>
              <w:right w:val="single" w:sz="4" w:space="0" w:color="auto"/>
            </w:tcBorders>
            <w:shd w:val="clear" w:color="auto" w:fill="auto"/>
            <w:vAlign w:val="center"/>
          </w:tcPr>
          <w:p w14:paraId="33EB548A" w14:textId="77777777" w:rsidR="005B6B71" w:rsidRPr="000028C3" w:rsidRDefault="005B6B71" w:rsidP="005B6B71">
            <w:pPr>
              <w:jc w:val="center"/>
              <w:rPr>
                <w:lang w:val="en-US"/>
              </w:rPr>
            </w:pPr>
            <w:r w:rsidRPr="000028C3">
              <w:t>2</w:t>
            </w:r>
          </w:p>
        </w:tc>
        <w:tc>
          <w:tcPr>
            <w:tcW w:w="1514" w:type="pct"/>
            <w:tcBorders>
              <w:top w:val="nil"/>
              <w:left w:val="nil"/>
              <w:bottom w:val="single" w:sz="4" w:space="0" w:color="auto"/>
              <w:right w:val="single" w:sz="4" w:space="0" w:color="auto"/>
            </w:tcBorders>
            <w:vAlign w:val="center"/>
          </w:tcPr>
          <w:p w14:paraId="12443FD6" w14:textId="669FBB9E" w:rsidR="005B6B71" w:rsidRPr="000028C3" w:rsidRDefault="005B6B71" w:rsidP="005B6B71">
            <w:pPr>
              <w:jc w:val="center"/>
            </w:pPr>
            <w:r w:rsidRPr="000028C3">
              <w:t>С «коротким хвостом»</w:t>
            </w:r>
          </w:p>
        </w:tc>
      </w:tr>
      <w:tr w:rsidR="005B6B71" w:rsidRPr="000028C3" w14:paraId="3559B16B" w14:textId="5F519D21" w:rsidTr="00EB4C6D">
        <w:trPr>
          <w:trHeight w:val="20"/>
        </w:trPr>
        <w:tc>
          <w:tcPr>
            <w:tcW w:w="404" w:type="pct"/>
            <w:tcBorders>
              <w:top w:val="nil"/>
              <w:left w:val="single" w:sz="4" w:space="0" w:color="auto"/>
              <w:bottom w:val="single" w:sz="4" w:space="0" w:color="auto"/>
              <w:right w:val="single" w:sz="4" w:space="0" w:color="auto"/>
            </w:tcBorders>
            <w:vAlign w:val="center"/>
          </w:tcPr>
          <w:p w14:paraId="1C642A71" w14:textId="77777777" w:rsidR="005B6B71" w:rsidRPr="000028C3" w:rsidRDefault="005B6B71" w:rsidP="005B6B71">
            <w:r w:rsidRPr="000028C3">
              <w:t>2.7.2.</w:t>
            </w:r>
          </w:p>
        </w:tc>
        <w:tc>
          <w:tcPr>
            <w:tcW w:w="2323" w:type="pct"/>
            <w:tcBorders>
              <w:top w:val="nil"/>
              <w:left w:val="single" w:sz="4" w:space="0" w:color="auto"/>
              <w:bottom w:val="single" w:sz="4" w:space="0" w:color="auto"/>
              <w:right w:val="single" w:sz="4" w:space="0" w:color="auto"/>
            </w:tcBorders>
            <w:shd w:val="clear" w:color="auto" w:fill="auto"/>
            <w:vAlign w:val="center"/>
          </w:tcPr>
          <w:p w14:paraId="49BD0040" w14:textId="77777777" w:rsidR="005B6B71" w:rsidRPr="000028C3" w:rsidRDefault="005B6B71" w:rsidP="005B6B71">
            <w:pPr>
              <w:ind w:left="708"/>
            </w:pPr>
            <w:r w:rsidRPr="000028C3">
              <w:t>коэффициент абсолютной ликвидности</w:t>
            </w:r>
          </w:p>
        </w:tc>
        <w:tc>
          <w:tcPr>
            <w:tcW w:w="758" w:type="pct"/>
            <w:tcBorders>
              <w:top w:val="nil"/>
              <w:left w:val="nil"/>
              <w:bottom w:val="single" w:sz="4" w:space="0" w:color="auto"/>
              <w:right w:val="single" w:sz="4" w:space="0" w:color="auto"/>
            </w:tcBorders>
            <w:shd w:val="clear" w:color="auto" w:fill="auto"/>
            <w:vAlign w:val="center"/>
          </w:tcPr>
          <w:p w14:paraId="72BF70DD" w14:textId="77777777" w:rsidR="005B6B71" w:rsidRPr="000028C3" w:rsidRDefault="005B6B71" w:rsidP="005B6B71">
            <w:pPr>
              <w:jc w:val="center"/>
              <w:rPr>
                <w:lang w:val="en-US"/>
              </w:rPr>
            </w:pPr>
            <w:r w:rsidRPr="000028C3">
              <w:t>2</w:t>
            </w:r>
          </w:p>
        </w:tc>
        <w:tc>
          <w:tcPr>
            <w:tcW w:w="1514" w:type="pct"/>
            <w:tcBorders>
              <w:top w:val="nil"/>
              <w:left w:val="nil"/>
              <w:bottom w:val="single" w:sz="4" w:space="0" w:color="auto"/>
              <w:right w:val="single" w:sz="4" w:space="0" w:color="auto"/>
            </w:tcBorders>
            <w:vAlign w:val="center"/>
          </w:tcPr>
          <w:p w14:paraId="5905D128" w14:textId="08F5C486" w:rsidR="005B6B71" w:rsidRPr="000028C3" w:rsidRDefault="005B6B71" w:rsidP="005B6B71">
            <w:pPr>
              <w:jc w:val="center"/>
            </w:pPr>
            <w:r w:rsidRPr="000028C3">
              <w:t>С «коротким хвостом»</w:t>
            </w:r>
          </w:p>
        </w:tc>
      </w:tr>
      <w:tr w:rsidR="005B6B71" w:rsidRPr="000028C3" w14:paraId="0E6012C9" w14:textId="4F35C106" w:rsidTr="00EB4C6D">
        <w:trPr>
          <w:trHeight w:val="20"/>
        </w:trPr>
        <w:tc>
          <w:tcPr>
            <w:tcW w:w="404" w:type="pct"/>
            <w:tcBorders>
              <w:top w:val="nil"/>
              <w:left w:val="single" w:sz="4" w:space="0" w:color="auto"/>
              <w:bottom w:val="single" w:sz="4" w:space="0" w:color="auto"/>
              <w:right w:val="single" w:sz="4" w:space="0" w:color="auto"/>
            </w:tcBorders>
            <w:vAlign w:val="center"/>
          </w:tcPr>
          <w:p w14:paraId="4CF81556" w14:textId="77777777" w:rsidR="005B6B71" w:rsidRPr="000028C3" w:rsidRDefault="005B6B71" w:rsidP="005B6B71">
            <w:r w:rsidRPr="000028C3">
              <w:t>2.7.3</w:t>
            </w:r>
          </w:p>
        </w:tc>
        <w:tc>
          <w:tcPr>
            <w:tcW w:w="2323" w:type="pct"/>
            <w:tcBorders>
              <w:top w:val="nil"/>
              <w:left w:val="single" w:sz="4" w:space="0" w:color="auto"/>
              <w:bottom w:val="single" w:sz="4" w:space="0" w:color="auto"/>
              <w:right w:val="single" w:sz="4" w:space="0" w:color="auto"/>
            </w:tcBorders>
            <w:shd w:val="clear" w:color="auto" w:fill="auto"/>
            <w:vAlign w:val="center"/>
          </w:tcPr>
          <w:p w14:paraId="6457584F" w14:textId="77777777" w:rsidR="005B6B71" w:rsidRPr="000028C3" w:rsidRDefault="005B6B71" w:rsidP="005B6B71">
            <w:pPr>
              <w:ind w:left="708"/>
            </w:pPr>
            <w:r w:rsidRPr="000028C3">
              <w:t>прогнозная ликвидность</w:t>
            </w:r>
          </w:p>
        </w:tc>
        <w:tc>
          <w:tcPr>
            <w:tcW w:w="758" w:type="pct"/>
            <w:tcBorders>
              <w:top w:val="nil"/>
              <w:left w:val="nil"/>
              <w:bottom w:val="single" w:sz="4" w:space="0" w:color="auto"/>
              <w:right w:val="single" w:sz="4" w:space="0" w:color="auto"/>
            </w:tcBorders>
            <w:shd w:val="clear" w:color="auto" w:fill="auto"/>
            <w:vAlign w:val="center"/>
          </w:tcPr>
          <w:p w14:paraId="05E3C743" w14:textId="77777777" w:rsidR="005B6B71" w:rsidRPr="000028C3" w:rsidRDefault="005B6B71" w:rsidP="005B6B71">
            <w:pPr>
              <w:jc w:val="center"/>
              <w:rPr>
                <w:lang w:val="en-US"/>
              </w:rPr>
            </w:pPr>
            <w:r w:rsidRPr="000028C3">
              <w:t>3</w:t>
            </w:r>
          </w:p>
        </w:tc>
        <w:tc>
          <w:tcPr>
            <w:tcW w:w="1514" w:type="pct"/>
            <w:tcBorders>
              <w:top w:val="nil"/>
              <w:left w:val="nil"/>
              <w:bottom w:val="single" w:sz="4" w:space="0" w:color="auto"/>
              <w:right w:val="single" w:sz="4" w:space="0" w:color="auto"/>
            </w:tcBorders>
            <w:vAlign w:val="center"/>
          </w:tcPr>
          <w:p w14:paraId="5C3AE6AF" w14:textId="07B548C6" w:rsidR="005B6B71" w:rsidRPr="000028C3" w:rsidRDefault="005B6B71" w:rsidP="005B6B71">
            <w:pPr>
              <w:jc w:val="center"/>
            </w:pPr>
            <w:r w:rsidRPr="000028C3">
              <w:rPr>
                <w:color w:val="000000"/>
              </w:rPr>
              <w:t>Будущие 12 месяцев</w:t>
            </w:r>
          </w:p>
        </w:tc>
      </w:tr>
      <w:tr w:rsidR="005B6B71" w:rsidRPr="000028C3" w14:paraId="0C777C7B" w14:textId="5AB0A9CE" w:rsidTr="00EB4C6D">
        <w:trPr>
          <w:trHeight w:val="20"/>
        </w:trPr>
        <w:tc>
          <w:tcPr>
            <w:tcW w:w="404" w:type="pct"/>
            <w:tcBorders>
              <w:top w:val="nil"/>
              <w:left w:val="single" w:sz="4" w:space="0" w:color="auto"/>
              <w:bottom w:val="single" w:sz="4" w:space="0" w:color="auto"/>
              <w:right w:val="single" w:sz="4" w:space="0" w:color="auto"/>
            </w:tcBorders>
            <w:vAlign w:val="center"/>
          </w:tcPr>
          <w:p w14:paraId="16BD5A66" w14:textId="77777777" w:rsidR="005B6B71" w:rsidRPr="000028C3" w:rsidRDefault="005B6B71" w:rsidP="005B6B71">
            <w:r w:rsidRPr="000028C3">
              <w:t>2.8.</w:t>
            </w:r>
          </w:p>
        </w:tc>
        <w:tc>
          <w:tcPr>
            <w:tcW w:w="2323" w:type="pct"/>
            <w:tcBorders>
              <w:top w:val="nil"/>
              <w:left w:val="single" w:sz="4" w:space="0" w:color="auto"/>
              <w:bottom w:val="single" w:sz="4" w:space="0" w:color="auto"/>
              <w:right w:val="single" w:sz="4" w:space="0" w:color="auto"/>
            </w:tcBorders>
            <w:shd w:val="clear" w:color="auto" w:fill="auto"/>
            <w:vAlign w:val="center"/>
          </w:tcPr>
          <w:p w14:paraId="7941C96D" w14:textId="77777777" w:rsidR="005B6B71" w:rsidRPr="000028C3" w:rsidRDefault="005B6B71" w:rsidP="005B6B71">
            <w:r w:rsidRPr="000028C3">
              <w:t>Валютные риски</w:t>
            </w:r>
          </w:p>
        </w:tc>
        <w:tc>
          <w:tcPr>
            <w:tcW w:w="758" w:type="pct"/>
            <w:tcBorders>
              <w:top w:val="nil"/>
              <w:left w:val="nil"/>
              <w:bottom w:val="single" w:sz="4" w:space="0" w:color="auto"/>
              <w:right w:val="single" w:sz="4" w:space="0" w:color="auto"/>
            </w:tcBorders>
            <w:shd w:val="clear" w:color="auto" w:fill="auto"/>
            <w:vAlign w:val="center"/>
          </w:tcPr>
          <w:p w14:paraId="6BD95AA6" w14:textId="77777777" w:rsidR="005B6B71" w:rsidRPr="000028C3" w:rsidRDefault="005B6B71" w:rsidP="005B6B71">
            <w:pPr>
              <w:jc w:val="center"/>
            </w:pPr>
            <w:r w:rsidRPr="000028C3">
              <w:t>3</w:t>
            </w:r>
          </w:p>
        </w:tc>
        <w:tc>
          <w:tcPr>
            <w:tcW w:w="1514" w:type="pct"/>
            <w:tcBorders>
              <w:top w:val="nil"/>
              <w:left w:val="nil"/>
              <w:bottom w:val="single" w:sz="4" w:space="0" w:color="auto"/>
              <w:right w:val="single" w:sz="4" w:space="0" w:color="auto"/>
            </w:tcBorders>
            <w:vAlign w:val="center"/>
          </w:tcPr>
          <w:p w14:paraId="466F22B2" w14:textId="36A214A8" w:rsidR="005B6B71" w:rsidRPr="000028C3" w:rsidRDefault="005B6B71" w:rsidP="005B6B71">
            <w:pPr>
              <w:jc w:val="center"/>
            </w:pPr>
            <w:r w:rsidRPr="000028C3">
              <w:t>С «длинным хвостом»</w:t>
            </w:r>
          </w:p>
        </w:tc>
      </w:tr>
      <w:tr w:rsidR="005B6B71" w:rsidRPr="000028C3" w14:paraId="11BA328D" w14:textId="3092DEDB" w:rsidTr="00EB4C6D">
        <w:trPr>
          <w:trHeight w:val="20"/>
        </w:trPr>
        <w:tc>
          <w:tcPr>
            <w:tcW w:w="404" w:type="pct"/>
            <w:tcBorders>
              <w:top w:val="nil"/>
              <w:left w:val="single" w:sz="4" w:space="0" w:color="auto"/>
              <w:bottom w:val="single" w:sz="4" w:space="0" w:color="auto"/>
              <w:right w:val="single" w:sz="4" w:space="0" w:color="auto"/>
            </w:tcBorders>
            <w:shd w:val="clear" w:color="auto" w:fill="D9D9D9"/>
            <w:vAlign w:val="center"/>
          </w:tcPr>
          <w:p w14:paraId="5EEF3CFE" w14:textId="77777777" w:rsidR="005B6B71" w:rsidRPr="000028C3" w:rsidRDefault="005B6B71" w:rsidP="005B6B71">
            <w:pPr>
              <w:rPr>
                <w:bCs/>
                <w:lang w:val="en-US"/>
              </w:rPr>
            </w:pPr>
            <w:r w:rsidRPr="000028C3">
              <w:rPr>
                <w:bCs/>
                <w:lang w:val="en-US"/>
              </w:rPr>
              <w:t>III</w:t>
            </w:r>
          </w:p>
        </w:tc>
        <w:tc>
          <w:tcPr>
            <w:tcW w:w="2323" w:type="pct"/>
            <w:tcBorders>
              <w:top w:val="nil"/>
              <w:left w:val="single" w:sz="4" w:space="0" w:color="auto"/>
              <w:bottom w:val="single" w:sz="4" w:space="0" w:color="auto"/>
              <w:right w:val="single" w:sz="4" w:space="0" w:color="auto"/>
            </w:tcBorders>
            <w:shd w:val="clear" w:color="auto" w:fill="D9D9D9"/>
            <w:vAlign w:val="center"/>
          </w:tcPr>
          <w:p w14:paraId="1B03D2F6" w14:textId="77777777" w:rsidR="005B6B71" w:rsidRPr="000028C3" w:rsidRDefault="005B6B71" w:rsidP="005B6B71">
            <w:pPr>
              <w:rPr>
                <w:bCs/>
              </w:rPr>
            </w:pPr>
            <w:r w:rsidRPr="000028C3">
              <w:rPr>
                <w:bCs/>
              </w:rPr>
              <w:t>Управление рисками и корпоративное управление</w:t>
            </w:r>
          </w:p>
        </w:tc>
        <w:tc>
          <w:tcPr>
            <w:tcW w:w="758" w:type="pct"/>
            <w:tcBorders>
              <w:top w:val="nil"/>
              <w:left w:val="nil"/>
              <w:bottom w:val="single" w:sz="4" w:space="0" w:color="auto"/>
              <w:right w:val="single" w:sz="4" w:space="0" w:color="auto"/>
            </w:tcBorders>
            <w:shd w:val="clear" w:color="auto" w:fill="D9D9D9"/>
            <w:vAlign w:val="center"/>
          </w:tcPr>
          <w:p w14:paraId="7CC0F66A" w14:textId="77777777" w:rsidR="005B6B71" w:rsidRPr="000028C3" w:rsidRDefault="005B6B71" w:rsidP="005B6B71">
            <w:pPr>
              <w:jc w:val="center"/>
              <w:rPr>
                <w:iCs/>
              </w:rPr>
            </w:pPr>
            <w:r w:rsidRPr="000028C3">
              <w:rPr>
                <w:iCs/>
              </w:rPr>
              <w:t>20</w:t>
            </w:r>
          </w:p>
        </w:tc>
        <w:tc>
          <w:tcPr>
            <w:tcW w:w="1514" w:type="pct"/>
            <w:tcBorders>
              <w:top w:val="nil"/>
              <w:left w:val="nil"/>
              <w:bottom w:val="single" w:sz="4" w:space="0" w:color="auto"/>
              <w:right w:val="single" w:sz="4" w:space="0" w:color="auto"/>
            </w:tcBorders>
            <w:shd w:val="clear" w:color="auto" w:fill="D9D9D9"/>
            <w:vAlign w:val="center"/>
          </w:tcPr>
          <w:p w14:paraId="0D7C4962" w14:textId="77777777" w:rsidR="005B6B71" w:rsidRPr="000028C3" w:rsidRDefault="005B6B71" w:rsidP="005B6B71">
            <w:pPr>
              <w:jc w:val="center"/>
              <w:rPr>
                <w:iCs/>
              </w:rPr>
            </w:pPr>
          </w:p>
        </w:tc>
      </w:tr>
      <w:tr w:rsidR="005B6B71" w:rsidRPr="000028C3" w14:paraId="2D05FCF3" w14:textId="7417F590" w:rsidTr="00EB4C6D">
        <w:trPr>
          <w:trHeight w:val="20"/>
        </w:trPr>
        <w:tc>
          <w:tcPr>
            <w:tcW w:w="404" w:type="pct"/>
            <w:tcBorders>
              <w:top w:val="nil"/>
              <w:left w:val="single" w:sz="4" w:space="0" w:color="auto"/>
              <w:bottom w:val="single" w:sz="4" w:space="0" w:color="auto"/>
              <w:right w:val="single" w:sz="4" w:space="0" w:color="auto"/>
            </w:tcBorders>
            <w:vAlign w:val="center"/>
          </w:tcPr>
          <w:p w14:paraId="2F321062" w14:textId="77777777" w:rsidR="005B6B71" w:rsidRPr="000028C3" w:rsidRDefault="005B6B71" w:rsidP="005B6B71">
            <w:pPr>
              <w:rPr>
                <w:bCs/>
                <w:lang w:val="en-US"/>
              </w:rPr>
            </w:pPr>
            <w:r w:rsidRPr="000028C3">
              <w:rPr>
                <w:bCs/>
                <w:lang w:val="en-US"/>
              </w:rPr>
              <w:t>3.1.</w:t>
            </w:r>
          </w:p>
        </w:tc>
        <w:tc>
          <w:tcPr>
            <w:tcW w:w="2323" w:type="pct"/>
            <w:tcBorders>
              <w:top w:val="nil"/>
              <w:left w:val="single" w:sz="4" w:space="0" w:color="auto"/>
              <w:bottom w:val="single" w:sz="4" w:space="0" w:color="auto"/>
              <w:right w:val="single" w:sz="4" w:space="0" w:color="auto"/>
            </w:tcBorders>
            <w:shd w:val="clear" w:color="auto" w:fill="auto"/>
            <w:vAlign w:val="center"/>
          </w:tcPr>
          <w:p w14:paraId="2EAB4C2E" w14:textId="77777777" w:rsidR="005B6B71" w:rsidRPr="000028C3" w:rsidRDefault="005B6B71" w:rsidP="005B6B71">
            <w:r w:rsidRPr="000028C3">
              <w:t>Корпоративное управление, ИТ-обеспечение и информационная прозрачность</w:t>
            </w:r>
          </w:p>
        </w:tc>
        <w:tc>
          <w:tcPr>
            <w:tcW w:w="758" w:type="pct"/>
            <w:tcBorders>
              <w:top w:val="nil"/>
              <w:left w:val="nil"/>
              <w:bottom w:val="single" w:sz="4" w:space="0" w:color="auto"/>
              <w:right w:val="single" w:sz="4" w:space="0" w:color="auto"/>
            </w:tcBorders>
            <w:shd w:val="clear" w:color="auto" w:fill="auto"/>
            <w:vAlign w:val="center"/>
          </w:tcPr>
          <w:p w14:paraId="7C964C9C" w14:textId="77777777" w:rsidR="005B6B71" w:rsidRPr="000028C3" w:rsidRDefault="005B6B71" w:rsidP="005B6B71">
            <w:pPr>
              <w:jc w:val="center"/>
            </w:pPr>
            <w:r w:rsidRPr="000028C3">
              <w:t>10</w:t>
            </w:r>
          </w:p>
        </w:tc>
        <w:tc>
          <w:tcPr>
            <w:tcW w:w="1514" w:type="pct"/>
            <w:tcBorders>
              <w:top w:val="nil"/>
              <w:left w:val="nil"/>
              <w:bottom w:val="single" w:sz="4" w:space="0" w:color="auto"/>
              <w:right w:val="single" w:sz="4" w:space="0" w:color="auto"/>
            </w:tcBorders>
            <w:vAlign w:val="center"/>
          </w:tcPr>
          <w:p w14:paraId="563481A8" w14:textId="0CB5BD11" w:rsidR="005B6B71" w:rsidRPr="000028C3" w:rsidRDefault="005B6B71" w:rsidP="005B6B71">
            <w:pPr>
              <w:jc w:val="center"/>
            </w:pPr>
            <w:r w:rsidRPr="000028C3">
              <w:t>На последнюю дату</w:t>
            </w:r>
          </w:p>
        </w:tc>
      </w:tr>
      <w:tr w:rsidR="005B6B71" w:rsidRPr="000028C3" w14:paraId="5D96B8F1" w14:textId="375EFD0C" w:rsidTr="00EB4C6D">
        <w:trPr>
          <w:trHeight w:val="20"/>
        </w:trPr>
        <w:tc>
          <w:tcPr>
            <w:tcW w:w="404" w:type="pct"/>
            <w:tcBorders>
              <w:top w:val="nil"/>
              <w:left w:val="single" w:sz="4" w:space="0" w:color="auto"/>
              <w:bottom w:val="single" w:sz="4" w:space="0" w:color="auto"/>
              <w:right w:val="single" w:sz="4" w:space="0" w:color="auto"/>
            </w:tcBorders>
            <w:vAlign w:val="center"/>
          </w:tcPr>
          <w:p w14:paraId="59C5CEEB" w14:textId="77777777" w:rsidR="005B6B71" w:rsidRPr="000028C3" w:rsidRDefault="005B6B71" w:rsidP="005B6B71">
            <w:pPr>
              <w:rPr>
                <w:lang w:val="en-US"/>
              </w:rPr>
            </w:pPr>
            <w:r w:rsidRPr="000028C3">
              <w:rPr>
                <w:lang w:val="en-US"/>
              </w:rPr>
              <w:t>3.2.</w:t>
            </w:r>
          </w:p>
        </w:tc>
        <w:tc>
          <w:tcPr>
            <w:tcW w:w="2323" w:type="pct"/>
            <w:tcBorders>
              <w:top w:val="nil"/>
              <w:left w:val="single" w:sz="4" w:space="0" w:color="auto"/>
              <w:bottom w:val="single" w:sz="4" w:space="0" w:color="auto"/>
              <w:right w:val="single" w:sz="4" w:space="0" w:color="auto"/>
            </w:tcBorders>
            <w:shd w:val="clear" w:color="auto" w:fill="auto"/>
            <w:vAlign w:val="center"/>
          </w:tcPr>
          <w:p w14:paraId="149FE2A4" w14:textId="77777777" w:rsidR="005B6B71" w:rsidRPr="000028C3" w:rsidRDefault="005B6B71" w:rsidP="005B6B71">
            <w:r w:rsidRPr="000028C3">
              <w:t>Стратегическое обеспечение</w:t>
            </w:r>
          </w:p>
        </w:tc>
        <w:tc>
          <w:tcPr>
            <w:tcW w:w="758" w:type="pct"/>
            <w:tcBorders>
              <w:top w:val="nil"/>
              <w:left w:val="nil"/>
              <w:bottom w:val="single" w:sz="4" w:space="0" w:color="auto"/>
              <w:right w:val="single" w:sz="4" w:space="0" w:color="auto"/>
            </w:tcBorders>
            <w:shd w:val="clear" w:color="auto" w:fill="auto"/>
            <w:vAlign w:val="center"/>
          </w:tcPr>
          <w:p w14:paraId="54C67C2D" w14:textId="77777777" w:rsidR="005B6B71" w:rsidRPr="000028C3" w:rsidRDefault="005B6B71" w:rsidP="005B6B71">
            <w:pPr>
              <w:jc w:val="center"/>
            </w:pPr>
            <w:r w:rsidRPr="000028C3">
              <w:rPr>
                <w:lang w:val="en-US"/>
              </w:rPr>
              <w:t>2</w:t>
            </w:r>
          </w:p>
        </w:tc>
        <w:tc>
          <w:tcPr>
            <w:tcW w:w="1514" w:type="pct"/>
            <w:tcBorders>
              <w:top w:val="nil"/>
              <w:left w:val="nil"/>
              <w:bottom w:val="single" w:sz="4" w:space="0" w:color="auto"/>
              <w:right w:val="single" w:sz="4" w:space="0" w:color="auto"/>
            </w:tcBorders>
            <w:vAlign w:val="center"/>
          </w:tcPr>
          <w:p w14:paraId="521E883B" w14:textId="0561E234" w:rsidR="005B6B71" w:rsidRPr="000028C3" w:rsidRDefault="005B6B71" w:rsidP="005B6B71">
            <w:pPr>
              <w:jc w:val="center"/>
              <w:rPr>
                <w:lang w:val="en-US"/>
              </w:rPr>
            </w:pPr>
            <w:r w:rsidRPr="000028C3">
              <w:t>На последнюю дату</w:t>
            </w:r>
          </w:p>
        </w:tc>
      </w:tr>
      <w:tr w:rsidR="005B6B71" w:rsidRPr="000028C3" w14:paraId="6E6E72D6" w14:textId="785D1539" w:rsidTr="00EB4C6D">
        <w:trPr>
          <w:trHeight w:val="20"/>
        </w:trPr>
        <w:tc>
          <w:tcPr>
            <w:tcW w:w="404" w:type="pct"/>
            <w:tcBorders>
              <w:top w:val="nil"/>
              <w:left w:val="single" w:sz="4" w:space="0" w:color="auto"/>
              <w:bottom w:val="single" w:sz="4" w:space="0" w:color="auto"/>
              <w:right w:val="single" w:sz="4" w:space="0" w:color="auto"/>
            </w:tcBorders>
            <w:vAlign w:val="center"/>
          </w:tcPr>
          <w:p w14:paraId="7A41D348" w14:textId="77777777" w:rsidR="005B6B71" w:rsidRPr="000028C3" w:rsidRDefault="005B6B71" w:rsidP="005B6B71">
            <w:pPr>
              <w:rPr>
                <w:bCs/>
                <w:lang w:val="en-US"/>
              </w:rPr>
            </w:pPr>
            <w:r w:rsidRPr="000028C3">
              <w:rPr>
                <w:bCs/>
                <w:lang w:val="en-US"/>
              </w:rPr>
              <w:t>3.3.</w:t>
            </w:r>
          </w:p>
        </w:tc>
        <w:tc>
          <w:tcPr>
            <w:tcW w:w="2323" w:type="pct"/>
            <w:tcBorders>
              <w:top w:val="nil"/>
              <w:left w:val="single" w:sz="4" w:space="0" w:color="auto"/>
              <w:bottom w:val="single" w:sz="4" w:space="0" w:color="auto"/>
              <w:right w:val="single" w:sz="4" w:space="0" w:color="auto"/>
            </w:tcBorders>
            <w:shd w:val="clear" w:color="auto" w:fill="auto"/>
            <w:vAlign w:val="center"/>
          </w:tcPr>
          <w:p w14:paraId="4A537A46" w14:textId="77777777" w:rsidR="005B6B71" w:rsidRPr="000028C3" w:rsidRDefault="005B6B71" w:rsidP="005B6B71">
            <w:pPr>
              <w:rPr>
                <w:bCs/>
              </w:rPr>
            </w:pPr>
            <w:r w:rsidRPr="000028C3">
              <w:rPr>
                <w:bCs/>
              </w:rPr>
              <w:t>Структура собственности</w:t>
            </w:r>
          </w:p>
        </w:tc>
        <w:tc>
          <w:tcPr>
            <w:tcW w:w="758" w:type="pct"/>
            <w:tcBorders>
              <w:top w:val="nil"/>
              <w:left w:val="nil"/>
              <w:bottom w:val="single" w:sz="4" w:space="0" w:color="auto"/>
              <w:right w:val="single" w:sz="4" w:space="0" w:color="auto"/>
            </w:tcBorders>
            <w:shd w:val="clear" w:color="auto" w:fill="auto"/>
            <w:vAlign w:val="center"/>
          </w:tcPr>
          <w:p w14:paraId="7F86B8DA" w14:textId="77777777" w:rsidR="005B6B71" w:rsidRPr="000028C3" w:rsidRDefault="005B6B71" w:rsidP="005B6B71">
            <w:pPr>
              <w:jc w:val="center"/>
              <w:rPr>
                <w:lang w:val="en-US"/>
              </w:rPr>
            </w:pPr>
            <w:r w:rsidRPr="000028C3">
              <w:t>2</w:t>
            </w:r>
          </w:p>
        </w:tc>
        <w:tc>
          <w:tcPr>
            <w:tcW w:w="1514" w:type="pct"/>
            <w:tcBorders>
              <w:top w:val="nil"/>
              <w:left w:val="nil"/>
              <w:bottom w:val="single" w:sz="4" w:space="0" w:color="auto"/>
              <w:right w:val="single" w:sz="4" w:space="0" w:color="auto"/>
            </w:tcBorders>
            <w:vAlign w:val="center"/>
          </w:tcPr>
          <w:p w14:paraId="26042B16" w14:textId="4C7F342D" w:rsidR="005B6B71" w:rsidRPr="000028C3" w:rsidRDefault="005B6B71" w:rsidP="005B6B71">
            <w:pPr>
              <w:jc w:val="center"/>
            </w:pPr>
            <w:r w:rsidRPr="000028C3">
              <w:t>На последнюю дату</w:t>
            </w:r>
          </w:p>
        </w:tc>
      </w:tr>
      <w:tr w:rsidR="005B6B71" w:rsidRPr="000028C3" w14:paraId="2B30BCDF" w14:textId="08F5BCBE" w:rsidTr="00EB4C6D">
        <w:trPr>
          <w:trHeight w:val="20"/>
        </w:trPr>
        <w:tc>
          <w:tcPr>
            <w:tcW w:w="404" w:type="pct"/>
            <w:tcBorders>
              <w:top w:val="nil"/>
              <w:left w:val="single" w:sz="4" w:space="0" w:color="auto"/>
              <w:bottom w:val="single" w:sz="4" w:space="0" w:color="auto"/>
              <w:right w:val="single" w:sz="4" w:space="0" w:color="auto"/>
            </w:tcBorders>
            <w:vAlign w:val="center"/>
          </w:tcPr>
          <w:p w14:paraId="1E386E76" w14:textId="77777777" w:rsidR="005B6B71" w:rsidRPr="000028C3" w:rsidRDefault="005B6B71" w:rsidP="005B6B71">
            <w:pPr>
              <w:rPr>
                <w:bCs/>
                <w:lang w:val="en-US"/>
              </w:rPr>
            </w:pPr>
            <w:r w:rsidRPr="000028C3">
              <w:rPr>
                <w:bCs/>
                <w:lang w:val="en-US"/>
              </w:rPr>
              <w:t>3.4.</w:t>
            </w:r>
          </w:p>
        </w:tc>
        <w:tc>
          <w:tcPr>
            <w:tcW w:w="2323" w:type="pct"/>
            <w:tcBorders>
              <w:top w:val="nil"/>
              <w:left w:val="single" w:sz="4" w:space="0" w:color="auto"/>
              <w:bottom w:val="single" w:sz="4" w:space="0" w:color="auto"/>
              <w:right w:val="single" w:sz="4" w:space="0" w:color="auto"/>
            </w:tcBorders>
            <w:shd w:val="clear" w:color="auto" w:fill="auto"/>
            <w:vAlign w:val="center"/>
          </w:tcPr>
          <w:p w14:paraId="75F25BF0" w14:textId="77777777" w:rsidR="005B6B71" w:rsidRPr="000028C3" w:rsidRDefault="005B6B71" w:rsidP="005B6B71">
            <w:r w:rsidRPr="000028C3">
              <w:rPr>
                <w:bCs/>
              </w:rPr>
              <w:t>Управление рисками</w:t>
            </w:r>
          </w:p>
        </w:tc>
        <w:tc>
          <w:tcPr>
            <w:tcW w:w="758" w:type="pct"/>
            <w:tcBorders>
              <w:top w:val="nil"/>
              <w:left w:val="nil"/>
              <w:bottom w:val="single" w:sz="4" w:space="0" w:color="auto"/>
              <w:right w:val="single" w:sz="4" w:space="0" w:color="auto"/>
            </w:tcBorders>
            <w:shd w:val="clear" w:color="auto" w:fill="auto"/>
            <w:vAlign w:val="center"/>
          </w:tcPr>
          <w:p w14:paraId="6DBDF36E" w14:textId="77777777" w:rsidR="005B6B71" w:rsidRPr="000028C3" w:rsidRDefault="005B6B71" w:rsidP="005B6B71">
            <w:pPr>
              <w:jc w:val="center"/>
            </w:pPr>
            <w:r w:rsidRPr="000028C3">
              <w:t>6</w:t>
            </w:r>
          </w:p>
        </w:tc>
        <w:tc>
          <w:tcPr>
            <w:tcW w:w="1514" w:type="pct"/>
            <w:tcBorders>
              <w:top w:val="nil"/>
              <w:left w:val="nil"/>
              <w:bottom w:val="single" w:sz="4" w:space="0" w:color="auto"/>
              <w:right w:val="single" w:sz="4" w:space="0" w:color="auto"/>
            </w:tcBorders>
            <w:vAlign w:val="center"/>
          </w:tcPr>
          <w:p w14:paraId="56567F04" w14:textId="51B5FAE5" w:rsidR="005B6B71" w:rsidRPr="000028C3" w:rsidRDefault="005B6B71" w:rsidP="005B6B71">
            <w:pPr>
              <w:jc w:val="center"/>
            </w:pPr>
            <w:r w:rsidRPr="000028C3">
              <w:t>На последнюю дату</w:t>
            </w:r>
          </w:p>
        </w:tc>
      </w:tr>
    </w:tbl>
    <w:p w14:paraId="07CA7EDF" w14:textId="77777777" w:rsidR="002B49F7" w:rsidRPr="000028C3" w:rsidRDefault="002B49F7" w:rsidP="0039664F">
      <w:pPr>
        <w:jc w:val="both"/>
        <w:rPr>
          <w:rFonts w:eastAsia="Calibri"/>
          <w:szCs w:val="22"/>
          <w:lang w:eastAsia="en-US"/>
        </w:rPr>
      </w:pPr>
    </w:p>
    <w:p w14:paraId="7E71EBE7" w14:textId="77777777" w:rsidR="00815FAC" w:rsidRPr="000028C3" w:rsidRDefault="002B49F7" w:rsidP="0039664F">
      <w:pPr>
        <w:ind w:left="709"/>
        <w:jc w:val="both"/>
      </w:pPr>
      <w:r w:rsidRPr="000028C3">
        <w:rPr>
          <w:rFonts w:eastAsia="Calibri"/>
          <w:szCs w:val="22"/>
          <w:lang w:eastAsia="en-US"/>
        </w:rPr>
        <w:t xml:space="preserve">Где </w:t>
      </w:r>
      <w:r w:rsidRPr="000028C3">
        <w:rPr>
          <w:rFonts w:eastAsia="Calibri"/>
          <w:szCs w:val="22"/>
          <w:lang w:val="en-US" w:eastAsia="en-US"/>
        </w:rPr>
        <w:t>X</w:t>
      </w:r>
      <w:r w:rsidRPr="000028C3">
        <w:rPr>
          <w:rFonts w:eastAsia="Calibri"/>
          <w:szCs w:val="22"/>
          <w:lang w:eastAsia="en-US"/>
        </w:rPr>
        <w:t xml:space="preserve"> – доля факторингового портфеля в </w:t>
      </w:r>
      <w:r w:rsidR="0050323E" w:rsidRPr="000028C3">
        <w:rPr>
          <w:rFonts w:eastAsia="Calibri"/>
          <w:szCs w:val="22"/>
          <w:lang w:eastAsia="en-US"/>
        </w:rPr>
        <w:t xml:space="preserve">сумме </w:t>
      </w:r>
      <w:r w:rsidRPr="000028C3">
        <w:rPr>
          <w:rFonts w:eastAsia="Calibri"/>
          <w:szCs w:val="22"/>
          <w:lang w:eastAsia="en-US"/>
        </w:rPr>
        <w:t>актив</w:t>
      </w:r>
      <w:r w:rsidR="0050323E" w:rsidRPr="000028C3">
        <w:rPr>
          <w:rFonts w:eastAsia="Calibri"/>
          <w:szCs w:val="22"/>
          <w:lang w:eastAsia="en-US"/>
        </w:rPr>
        <w:t>ов и внебалансовых обязательств</w:t>
      </w:r>
      <w:r w:rsidRPr="000028C3">
        <w:rPr>
          <w:rFonts w:eastAsia="Calibri"/>
          <w:szCs w:val="22"/>
          <w:lang w:eastAsia="en-US"/>
        </w:rPr>
        <w:t xml:space="preserve"> компании на последнюю отчетную дату.</w:t>
      </w:r>
    </w:p>
    <w:p w14:paraId="7373F447" w14:textId="77777777" w:rsidR="002B49F7" w:rsidRPr="000028C3" w:rsidRDefault="002B49F7" w:rsidP="0039664F">
      <w:pPr>
        <w:jc w:val="both"/>
        <w:rPr>
          <w:highlight w:val="yellow"/>
        </w:rPr>
      </w:pPr>
    </w:p>
    <w:p w14:paraId="426F2F45" w14:textId="77777777" w:rsidR="00815FAC" w:rsidRPr="000028C3" w:rsidRDefault="00815FAC" w:rsidP="0098669D">
      <w:pPr>
        <w:numPr>
          <w:ilvl w:val="0"/>
          <w:numId w:val="5"/>
        </w:numPr>
        <w:jc w:val="both"/>
      </w:pPr>
      <w:r w:rsidRPr="000028C3">
        <w:t>При оценке показателей учитываются данные как на последнюю отчетную дату, так и на предыдущие даты.</w:t>
      </w:r>
      <w:r w:rsidR="00D31696" w:rsidRPr="000028C3">
        <w:t xml:space="preserve"> </w:t>
      </w:r>
      <w:r w:rsidRPr="000028C3">
        <w:t xml:space="preserve">Все показатели, используемые </w:t>
      </w:r>
      <w:r w:rsidR="000B5207" w:rsidRPr="000028C3">
        <w:t xml:space="preserve">в </w:t>
      </w:r>
      <w:r w:rsidRPr="000028C3">
        <w:t>метод</w:t>
      </w:r>
      <w:r w:rsidR="002E5502" w:rsidRPr="000028C3">
        <w:t>ологии</w:t>
      </w:r>
      <w:r w:rsidRPr="000028C3">
        <w:t>, делятся на три группы:</w:t>
      </w:r>
    </w:p>
    <w:p w14:paraId="3E753E10" w14:textId="77777777" w:rsidR="00815FAC" w:rsidRPr="000028C3" w:rsidRDefault="00D31696" w:rsidP="0098669D">
      <w:pPr>
        <w:numPr>
          <w:ilvl w:val="0"/>
          <w:numId w:val="14"/>
        </w:numPr>
        <w:tabs>
          <w:tab w:val="clear" w:pos="1080"/>
        </w:tabs>
        <w:ind w:left="1418"/>
        <w:jc w:val="both"/>
      </w:pPr>
      <w:r w:rsidRPr="000028C3">
        <w:t>п</w:t>
      </w:r>
      <w:r w:rsidR="00815FAC" w:rsidRPr="000028C3">
        <w:t xml:space="preserve">оказатели, итоговая оценка которых базируется на анализе динамики в течение продолжительного периода (как правило, данные за </w:t>
      </w:r>
      <w:r w:rsidRPr="000028C3">
        <w:t>четыре</w:t>
      </w:r>
      <w:r w:rsidR="00815FAC" w:rsidRPr="000028C3">
        <w:t xml:space="preserve"> квартальны</w:t>
      </w:r>
      <w:r w:rsidR="00964FEF" w:rsidRPr="000028C3">
        <w:t>е</w:t>
      </w:r>
      <w:r w:rsidR="00815FAC" w:rsidRPr="000028C3">
        <w:t xml:space="preserve"> дат</w:t>
      </w:r>
      <w:r w:rsidR="00964FEF" w:rsidRPr="000028C3">
        <w:t>ы</w:t>
      </w:r>
      <w:r w:rsidR="00815FAC" w:rsidRPr="000028C3">
        <w:t>)</w:t>
      </w:r>
      <w:r w:rsidR="00F23761" w:rsidRPr="000028C3">
        <w:t>,</w:t>
      </w:r>
      <w:r w:rsidR="00815FAC" w:rsidRPr="000028C3">
        <w:t xml:space="preserve"> – т</w:t>
      </w:r>
      <w:r w:rsidRPr="000028C3">
        <w:t>ак называемые</w:t>
      </w:r>
      <w:r w:rsidR="008746BA" w:rsidRPr="000028C3">
        <w:t>,</w:t>
      </w:r>
      <w:r w:rsidR="00815FAC" w:rsidRPr="000028C3">
        <w:t xml:space="preserve"> показатели с длинным </w:t>
      </w:r>
      <w:r w:rsidRPr="000028C3">
        <w:t>хвостом</w:t>
      </w:r>
      <w:r w:rsidR="00815FAC" w:rsidRPr="000028C3">
        <w:t>;</w:t>
      </w:r>
    </w:p>
    <w:p w14:paraId="32DAB70B" w14:textId="77777777" w:rsidR="006823D7" w:rsidRPr="000028C3" w:rsidRDefault="006823D7" w:rsidP="0039664F">
      <w:pPr>
        <w:ind w:left="720"/>
        <w:jc w:val="right"/>
      </w:pPr>
    </w:p>
    <w:p w14:paraId="0BACE290" w14:textId="77777777" w:rsidR="006823D7" w:rsidRPr="000028C3" w:rsidRDefault="006823D7" w:rsidP="0039664F">
      <w:pPr>
        <w:ind w:left="720"/>
        <w:jc w:val="right"/>
      </w:pPr>
      <w:r w:rsidRPr="000028C3">
        <w:t>Стандартное распределение весов для показателей с длинным хвостом</w:t>
      </w:r>
    </w:p>
    <w:tbl>
      <w:tblPr>
        <w:tblW w:w="49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217"/>
        <w:gridCol w:w="1256"/>
        <w:gridCol w:w="1271"/>
      </w:tblGrid>
      <w:tr w:rsidR="006823D7" w:rsidRPr="000028C3" w14:paraId="6A31FF9A" w14:textId="77777777" w:rsidTr="006823D7">
        <w:trPr>
          <w:trHeight w:val="20"/>
          <w:jc w:val="right"/>
        </w:trPr>
        <w:tc>
          <w:tcPr>
            <w:tcW w:w="1217" w:type="dxa"/>
            <w:shd w:val="clear" w:color="auto" w:fill="auto"/>
            <w:noWrap/>
            <w:vAlign w:val="center"/>
          </w:tcPr>
          <w:p w14:paraId="027C5F52" w14:textId="77777777" w:rsidR="006823D7" w:rsidRPr="000028C3" w:rsidRDefault="006823D7" w:rsidP="0039664F">
            <w:pPr>
              <w:jc w:val="center"/>
              <w:rPr>
                <w:b/>
                <w:bCs/>
                <w:sz w:val="20"/>
                <w:szCs w:val="20"/>
              </w:rPr>
            </w:pPr>
            <w:r w:rsidRPr="000028C3">
              <w:rPr>
                <w:b/>
                <w:bCs/>
                <w:sz w:val="20"/>
                <w:szCs w:val="20"/>
              </w:rPr>
              <w:t>Т-3</w:t>
            </w:r>
          </w:p>
        </w:tc>
        <w:tc>
          <w:tcPr>
            <w:tcW w:w="1217" w:type="dxa"/>
            <w:shd w:val="clear" w:color="auto" w:fill="auto"/>
            <w:noWrap/>
            <w:vAlign w:val="center"/>
          </w:tcPr>
          <w:p w14:paraId="78617852" w14:textId="77777777" w:rsidR="006823D7" w:rsidRPr="000028C3" w:rsidRDefault="006823D7" w:rsidP="0039664F">
            <w:pPr>
              <w:jc w:val="center"/>
              <w:rPr>
                <w:b/>
                <w:bCs/>
                <w:sz w:val="20"/>
                <w:szCs w:val="20"/>
              </w:rPr>
            </w:pPr>
            <w:r w:rsidRPr="000028C3">
              <w:rPr>
                <w:b/>
                <w:bCs/>
                <w:sz w:val="20"/>
                <w:szCs w:val="20"/>
              </w:rPr>
              <w:t>Т-2</w:t>
            </w:r>
          </w:p>
        </w:tc>
        <w:tc>
          <w:tcPr>
            <w:tcW w:w="1256" w:type="dxa"/>
            <w:shd w:val="clear" w:color="auto" w:fill="auto"/>
            <w:noWrap/>
            <w:vAlign w:val="center"/>
          </w:tcPr>
          <w:p w14:paraId="4E51D016" w14:textId="77777777" w:rsidR="006823D7" w:rsidRPr="000028C3" w:rsidRDefault="006823D7" w:rsidP="0039664F">
            <w:pPr>
              <w:jc w:val="center"/>
              <w:rPr>
                <w:b/>
                <w:bCs/>
                <w:sz w:val="20"/>
                <w:szCs w:val="20"/>
              </w:rPr>
            </w:pPr>
            <w:r w:rsidRPr="000028C3">
              <w:rPr>
                <w:b/>
                <w:bCs/>
                <w:sz w:val="20"/>
                <w:szCs w:val="20"/>
              </w:rPr>
              <w:t>Т-1</w:t>
            </w:r>
          </w:p>
        </w:tc>
        <w:tc>
          <w:tcPr>
            <w:tcW w:w="1271" w:type="dxa"/>
            <w:shd w:val="clear" w:color="auto" w:fill="auto"/>
            <w:noWrap/>
            <w:vAlign w:val="center"/>
          </w:tcPr>
          <w:p w14:paraId="33A8B4EF" w14:textId="77777777" w:rsidR="006823D7" w:rsidRPr="000028C3" w:rsidRDefault="006823D7" w:rsidP="0039664F">
            <w:pPr>
              <w:jc w:val="center"/>
              <w:rPr>
                <w:b/>
                <w:bCs/>
                <w:sz w:val="20"/>
                <w:szCs w:val="20"/>
              </w:rPr>
            </w:pPr>
            <w:r w:rsidRPr="000028C3">
              <w:rPr>
                <w:b/>
                <w:bCs/>
                <w:sz w:val="20"/>
                <w:szCs w:val="20"/>
              </w:rPr>
              <w:t>Т</w:t>
            </w:r>
          </w:p>
        </w:tc>
      </w:tr>
      <w:tr w:rsidR="006823D7" w:rsidRPr="000028C3" w14:paraId="39B9D858" w14:textId="77777777" w:rsidTr="006823D7">
        <w:trPr>
          <w:trHeight w:val="20"/>
          <w:jc w:val="right"/>
        </w:trPr>
        <w:tc>
          <w:tcPr>
            <w:tcW w:w="1217" w:type="dxa"/>
            <w:shd w:val="clear" w:color="auto" w:fill="auto"/>
            <w:noWrap/>
            <w:vAlign w:val="center"/>
          </w:tcPr>
          <w:p w14:paraId="1B279B6D" w14:textId="77777777" w:rsidR="006823D7" w:rsidRPr="000028C3" w:rsidRDefault="006823D7" w:rsidP="0039664F">
            <w:pPr>
              <w:jc w:val="center"/>
              <w:rPr>
                <w:bCs/>
                <w:iCs/>
                <w:sz w:val="20"/>
                <w:szCs w:val="20"/>
              </w:rPr>
            </w:pPr>
            <w:r w:rsidRPr="000028C3">
              <w:rPr>
                <w:bCs/>
                <w:iCs/>
                <w:sz w:val="20"/>
                <w:szCs w:val="20"/>
              </w:rPr>
              <w:t>0,1</w:t>
            </w:r>
          </w:p>
        </w:tc>
        <w:tc>
          <w:tcPr>
            <w:tcW w:w="1217" w:type="dxa"/>
            <w:shd w:val="clear" w:color="auto" w:fill="auto"/>
            <w:noWrap/>
            <w:vAlign w:val="center"/>
          </w:tcPr>
          <w:p w14:paraId="59826E53" w14:textId="77777777" w:rsidR="006823D7" w:rsidRPr="000028C3" w:rsidRDefault="006823D7" w:rsidP="0039664F">
            <w:pPr>
              <w:jc w:val="center"/>
              <w:rPr>
                <w:bCs/>
                <w:iCs/>
                <w:sz w:val="20"/>
                <w:szCs w:val="20"/>
              </w:rPr>
            </w:pPr>
            <w:r w:rsidRPr="000028C3">
              <w:rPr>
                <w:bCs/>
                <w:iCs/>
                <w:sz w:val="20"/>
                <w:szCs w:val="20"/>
              </w:rPr>
              <w:t>0,1</w:t>
            </w:r>
          </w:p>
        </w:tc>
        <w:tc>
          <w:tcPr>
            <w:tcW w:w="1256" w:type="dxa"/>
            <w:shd w:val="clear" w:color="auto" w:fill="auto"/>
            <w:noWrap/>
            <w:vAlign w:val="center"/>
          </w:tcPr>
          <w:p w14:paraId="7BCF5C29" w14:textId="77777777" w:rsidR="006823D7" w:rsidRPr="000028C3" w:rsidRDefault="006823D7" w:rsidP="0039664F">
            <w:pPr>
              <w:jc w:val="center"/>
              <w:rPr>
                <w:bCs/>
                <w:iCs/>
                <w:sz w:val="20"/>
                <w:szCs w:val="20"/>
              </w:rPr>
            </w:pPr>
            <w:r w:rsidRPr="000028C3">
              <w:rPr>
                <w:bCs/>
                <w:iCs/>
                <w:sz w:val="20"/>
                <w:szCs w:val="20"/>
              </w:rPr>
              <w:t>0,2</w:t>
            </w:r>
          </w:p>
        </w:tc>
        <w:tc>
          <w:tcPr>
            <w:tcW w:w="1271" w:type="dxa"/>
            <w:shd w:val="clear" w:color="auto" w:fill="auto"/>
            <w:noWrap/>
            <w:vAlign w:val="center"/>
          </w:tcPr>
          <w:p w14:paraId="5D0F9451" w14:textId="77777777" w:rsidR="006823D7" w:rsidRPr="000028C3" w:rsidRDefault="006823D7" w:rsidP="0039664F">
            <w:pPr>
              <w:jc w:val="center"/>
              <w:rPr>
                <w:bCs/>
                <w:iCs/>
                <w:sz w:val="20"/>
                <w:szCs w:val="20"/>
              </w:rPr>
            </w:pPr>
            <w:r w:rsidRPr="000028C3">
              <w:rPr>
                <w:bCs/>
                <w:iCs/>
                <w:sz w:val="20"/>
                <w:szCs w:val="20"/>
              </w:rPr>
              <w:t>0,6</w:t>
            </w:r>
          </w:p>
        </w:tc>
      </w:tr>
    </w:tbl>
    <w:p w14:paraId="29AD778B" w14:textId="77777777" w:rsidR="006823D7" w:rsidRPr="000028C3" w:rsidRDefault="006823D7" w:rsidP="0039664F">
      <w:pPr>
        <w:ind w:left="1843" w:hanging="142"/>
        <w:jc w:val="right"/>
      </w:pPr>
      <w:r w:rsidRPr="000028C3">
        <w:t>Т – последняя квартальная дата, Т-</w:t>
      </w:r>
      <w:r w:rsidRPr="000028C3">
        <w:rPr>
          <w:lang w:val="en-US"/>
        </w:rPr>
        <w:t>N</w:t>
      </w:r>
      <w:r w:rsidRPr="000028C3">
        <w:t xml:space="preserve"> – предыдущие квартальные даты</w:t>
      </w:r>
    </w:p>
    <w:p w14:paraId="7ECFE596" w14:textId="77777777" w:rsidR="006823D7" w:rsidRPr="000028C3" w:rsidRDefault="006823D7" w:rsidP="0039664F">
      <w:pPr>
        <w:ind w:left="1418"/>
        <w:jc w:val="both"/>
      </w:pPr>
    </w:p>
    <w:p w14:paraId="08A7A062" w14:textId="77777777" w:rsidR="00815FAC" w:rsidRPr="000028C3" w:rsidRDefault="00D31696" w:rsidP="0098669D">
      <w:pPr>
        <w:numPr>
          <w:ilvl w:val="0"/>
          <w:numId w:val="14"/>
        </w:numPr>
        <w:tabs>
          <w:tab w:val="clear" w:pos="1080"/>
        </w:tabs>
        <w:ind w:left="1418"/>
        <w:jc w:val="both"/>
      </w:pPr>
      <w:r w:rsidRPr="000028C3">
        <w:t>п</w:t>
      </w:r>
      <w:r w:rsidR="00815FAC" w:rsidRPr="000028C3">
        <w:t>оказатели, итоговая оценка которых базируется на анализе динамики в течение сравнительно короткого периода (</w:t>
      </w:r>
      <w:r w:rsidRPr="000028C3">
        <w:t>две</w:t>
      </w:r>
      <w:r w:rsidR="00815FAC" w:rsidRPr="000028C3">
        <w:t xml:space="preserve"> квартальные даты)</w:t>
      </w:r>
      <w:r w:rsidR="00F23761" w:rsidRPr="000028C3">
        <w:t>,</w:t>
      </w:r>
      <w:r w:rsidR="00815FAC" w:rsidRPr="000028C3">
        <w:t xml:space="preserve"> </w:t>
      </w:r>
      <w:r w:rsidRPr="000028C3">
        <w:t>– так называемые</w:t>
      </w:r>
      <w:r w:rsidR="008746BA" w:rsidRPr="000028C3">
        <w:t>,</w:t>
      </w:r>
      <w:r w:rsidRPr="000028C3">
        <w:t xml:space="preserve"> </w:t>
      </w:r>
      <w:r w:rsidR="00815FAC" w:rsidRPr="000028C3">
        <w:t>показатели с коротким хвостом;</w:t>
      </w:r>
    </w:p>
    <w:p w14:paraId="21C090DE" w14:textId="77777777" w:rsidR="006823D7" w:rsidRPr="000028C3" w:rsidRDefault="006823D7" w:rsidP="0039664F">
      <w:pPr>
        <w:ind w:left="720"/>
        <w:jc w:val="right"/>
      </w:pPr>
    </w:p>
    <w:p w14:paraId="73825024" w14:textId="77777777" w:rsidR="006823D7" w:rsidRPr="000028C3" w:rsidRDefault="006823D7" w:rsidP="0039664F">
      <w:pPr>
        <w:ind w:left="720"/>
        <w:jc w:val="right"/>
      </w:pPr>
      <w:r w:rsidRPr="000028C3">
        <w:t>Стандартное распределение весов для показателей с коротким хвостом</w:t>
      </w:r>
    </w:p>
    <w:tbl>
      <w:tblPr>
        <w:tblW w:w="2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1205"/>
      </w:tblGrid>
      <w:tr w:rsidR="006823D7" w:rsidRPr="000028C3" w14:paraId="335A09CB" w14:textId="77777777" w:rsidTr="006823D7">
        <w:trPr>
          <w:trHeight w:val="20"/>
          <w:jc w:val="right"/>
        </w:trPr>
        <w:tc>
          <w:tcPr>
            <w:tcW w:w="1204" w:type="dxa"/>
            <w:shd w:val="clear" w:color="auto" w:fill="auto"/>
            <w:noWrap/>
            <w:vAlign w:val="center"/>
          </w:tcPr>
          <w:p w14:paraId="69495775" w14:textId="77777777" w:rsidR="006823D7" w:rsidRPr="000028C3" w:rsidRDefault="006823D7" w:rsidP="0039664F">
            <w:pPr>
              <w:jc w:val="center"/>
              <w:rPr>
                <w:b/>
                <w:bCs/>
                <w:sz w:val="20"/>
                <w:szCs w:val="20"/>
              </w:rPr>
            </w:pPr>
            <w:r w:rsidRPr="000028C3">
              <w:rPr>
                <w:b/>
                <w:bCs/>
                <w:sz w:val="20"/>
                <w:szCs w:val="20"/>
              </w:rPr>
              <w:t>Т-1</w:t>
            </w:r>
          </w:p>
        </w:tc>
        <w:tc>
          <w:tcPr>
            <w:tcW w:w="1205" w:type="dxa"/>
            <w:shd w:val="clear" w:color="auto" w:fill="auto"/>
            <w:noWrap/>
            <w:vAlign w:val="center"/>
          </w:tcPr>
          <w:p w14:paraId="3DAD1060" w14:textId="77777777" w:rsidR="006823D7" w:rsidRPr="000028C3" w:rsidRDefault="006823D7" w:rsidP="0039664F">
            <w:pPr>
              <w:jc w:val="center"/>
              <w:rPr>
                <w:b/>
                <w:bCs/>
                <w:sz w:val="20"/>
                <w:szCs w:val="20"/>
              </w:rPr>
            </w:pPr>
            <w:r w:rsidRPr="000028C3">
              <w:rPr>
                <w:b/>
                <w:bCs/>
                <w:sz w:val="20"/>
                <w:szCs w:val="20"/>
              </w:rPr>
              <w:t>Т</w:t>
            </w:r>
          </w:p>
        </w:tc>
      </w:tr>
      <w:tr w:rsidR="006823D7" w:rsidRPr="000028C3" w14:paraId="3F133B44" w14:textId="77777777" w:rsidTr="006823D7">
        <w:trPr>
          <w:trHeight w:val="20"/>
          <w:jc w:val="right"/>
        </w:trPr>
        <w:tc>
          <w:tcPr>
            <w:tcW w:w="1204" w:type="dxa"/>
            <w:shd w:val="clear" w:color="auto" w:fill="auto"/>
            <w:noWrap/>
            <w:vAlign w:val="center"/>
          </w:tcPr>
          <w:p w14:paraId="20367F33" w14:textId="77777777" w:rsidR="006823D7" w:rsidRPr="000028C3" w:rsidRDefault="006823D7" w:rsidP="0039664F">
            <w:pPr>
              <w:jc w:val="center"/>
              <w:rPr>
                <w:bCs/>
                <w:iCs/>
                <w:sz w:val="20"/>
                <w:szCs w:val="20"/>
              </w:rPr>
            </w:pPr>
            <w:r w:rsidRPr="000028C3">
              <w:rPr>
                <w:bCs/>
                <w:iCs/>
                <w:sz w:val="20"/>
                <w:szCs w:val="20"/>
              </w:rPr>
              <w:t>0,5</w:t>
            </w:r>
          </w:p>
        </w:tc>
        <w:tc>
          <w:tcPr>
            <w:tcW w:w="1205" w:type="dxa"/>
            <w:shd w:val="clear" w:color="auto" w:fill="auto"/>
            <w:noWrap/>
            <w:vAlign w:val="center"/>
          </w:tcPr>
          <w:p w14:paraId="65BA81D2" w14:textId="77777777" w:rsidR="006823D7" w:rsidRPr="000028C3" w:rsidRDefault="006823D7" w:rsidP="0039664F">
            <w:pPr>
              <w:jc w:val="center"/>
              <w:rPr>
                <w:bCs/>
                <w:iCs/>
                <w:sz w:val="20"/>
                <w:szCs w:val="20"/>
              </w:rPr>
            </w:pPr>
            <w:r w:rsidRPr="000028C3">
              <w:rPr>
                <w:bCs/>
                <w:iCs/>
                <w:sz w:val="20"/>
                <w:szCs w:val="20"/>
              </w:rPr>
              <w:t>0,5</w:t>
            </w:r>
          </w:p>
        </w:tc>
      </w:tr>
    </w:tbl>
    <w:p w14:paraId="5FD581B5" w14:textId="77777777" w:rsidR="006823D7" w:rsidRPr="000028C3" w:rsidRDefault="006823D7" w:rsidP="0039664F">
      <w:pPr>
        <w:ind w:left="1843" w:hanging="142"/>
        <w:jc w:val="right"/>
      </w:pPr>
      <w:r w:rsidRPr="000028C3">
        <w:t>Т – последняя квартальная дата, Т-1 – предыдущая квартальная дата</w:t>
      </w:r>
    </w:p>
    <w:p w14:paraId="1CDDED13" w14:textId="77777777" w:rsidR="006823D7" w:rsidRPr="000028C3" w:rsidRDefault="006823D7" w:rsidP="0039664F">
      <w:pPr>
        <w:jc w:val="both"/>
      </w:pPr>
    </w:p>
    <w:p w14:paraId="08DCB019" w14:textId="77777777" w:rsidR="00815FAC" w:rsidRPr="000028C3" w:rsidRDefault="00D31696" w:rsidP="0098669D">
      <w:pPr>
        <w:numPr>
          <w:ilvl w:val="0"/>
          <w:numId w:val="14"/>
        </w:numPr>
        <w:tabs>
          <w:tab w:val="clear" w:pos="1080"/>
        </w:tabs>
        <w:ind w:left="1418"/>
        <w:jc w:val="both"/>
      </w:pPr>
      <w:r w:rsidRPr="000028C3">
        <w:t>п</w:t>
      </w:r>
      <w:r w:rsidR="00815FAC" w:rsidRPr="000028C3">
        <w:t xml:space="preserve">оказатели, итоговая оценка которых базируется на анализе </w:t>
      </w:r>
      <w:r w:rsidR="00964FEF" w:rsidRPr="000028C3">
        <w:t>данных на последнюю квартальную дату</w:t>
      </w:r>
      <w:r w:rsidR="00F23761" w:rsidRPr="000028C3">
        <w:t>,</w:t>
      </w:r>
      <w:r w:rsidR="00815FAC" w:rsidRPr="000028C3">
        <w:t xml:space="preserve"> </w:t>
      </w:r>
      <w:r w:rsidRPr="000028C3">
        <w:t>– так называемые</w:t>
      </w:r>
      <w:r w:rsidR="008746BA" w:rsidRPr="000028C3">
        <w:t>,</w:t>
      </w:r>
      <w:r w:rsidRPr="000028C3">
        <w:t xml:space="preserve"> </w:t>
      </w:r>
      <w:r w:rsidR="00964FEF" w:rsidRPr="000028C3">
        <w:t>показатели без хвоста</w:t>
      </w:r>
      <w:r w:rsidR="00815FAC" w:rsidRPr="000028C3">
        <w:t>.</w:t>
      </w:r>
    </w:p>
    <w:p w14:paraId="155C596B" w14:textId="77777777" w:rsidR="00636EC3" w:rsidRPr="000028C3" w:rsidRDefault="0034659D" w:rsidP="0039664F">
      <w:pPr>
        <w:ind w:left="720"/>
        <w:jc w:val="right"/>
      </w:pPr>
      <w:r w:rsidRPr="000028C3">
        <w:t xml:space="preserve">Стандартное распределение весов для показателей </w:t>
      </w:r>
      <w:r w:rsidR="00636EC3" w:rsidRPr="000028C3">
        <w:t>без хвоста</w:t>
      </w:r>
    </w:p>
    <w:tbl>
      <w:tblPr>
        <w:tblW w:w="11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tblGrid>
      <w:tr w:rsidR="00636EC3" w:rsidRPr="000028C3" w14:paraId="16440B7E" w14:textId="77777777" w:rsidTr="006823D7">
        <w:trPr>
          <w:trHeight w:val="20"/>
          <w:jc w:val="right"/>
        </w:trPr>
        <w:tc>
          <w:tcPr>
            <w:tcW w:w="1134" w:type="dxa"/>
            <w:shd w:val="clear" w:color="auto" w:fill="auto"/>
            <w:noWrap/>
            <w:vAlign w:val="bottom"/>
          </w:tcPr>
          <w:p w14:paraId="12DF2967" w14:textId="77777777" w:rsidR="00636EC3" w:rsidRPr="000028C3" w:rsidRDefault="00636EC3" w:rsidP="0039664F">
            <w:pPr>
              <w:jc w:val="center"/>
              <w:rPr>
                <w:b/>
                <w:bCs/>
                <w:sz w:val="20"/>
                <w:szCs w:val="20"/>
              </w:rPr>
            </w:pPr>
            <w:r w:rsidRPr="000028C3">
              <w:rPr>
                <w:b/>
                <w:bCs/>
                <w:sz w:val="20"/>
                <w:szCs w:val="20"/>
              </w:rPr>
              <w:t>Т</w:t>
            </w:r>
          </w:p>
        </w:tc>
      </w:tr>
      <w:tr w:rsidR="00636EC3" w:rsidRPr="000028C3" w14:paraId="1521AB6E" w14:textId="77777777" w:rsidTr="006823D7">
        <w:trPr>
          <w:trHeight w:val="20"/>
          <w:jc w:val="right"/>
        </w:trPr>
        <w:tc>
          <w:tcPr>
            <w:tcW w:w="1134" w:type="dxa"/>
            <w:shd w:val="clear" w:color="auto" w:fill="auto"/>
            <w:noWrap/>
            <w:vAlign w:val="bottom"/>
          </w:tcPr>
          <w:p w14:paraId="4B79A7A8" w14:textId="77777777" w:rsidR="00636EC3" w:rsidRPr="000028C3" w:rsidRDefault="00636EC3" w:rsidP="0039664F">
            <w:pPr>
              <w:jc w:val="center"/>
              <w:rPr>
                <w:bCs/>
                <w:iCs/>
                <w:sz w:val="20"/>
                <w:szCs w:val="20"/>
              </w:rPr>
            </w:pPr>
            <w:r w:rsidRPr="000028C3">
              <w:rPr>
                <w:bCs/>
                <w:iCs/>
                <w:sz w:val="20"/>
                <w:szCs w:val="20"/>
              </w:rPr>
              <w:t>1,0</w:t>
            </w:r>
          </w:p>
        </w:tc>
      </w:tr>
    </w:tbl>
    <w:p w14:paraId="47BA54CE" w14:textId="77777777" w:rsidR="006823D7" w:rsidRPr="000028C3" w:rsidRDefault="006823D7" w:rsidP="0039664F">
      <w:pPr>
        <w:ind w:left="1843" w:hanging="142"/>
        <w:jc w:val="right"/>
      </w:pPr>
      <w:r w:rsidRPr="000028C3">
        <w:t>Т – последняя квартальная дата</w:t>
      </w:r>
    </w:p>
    <w:p w14:paraId="5254455E" w14:textId="77777777" w:rsidR="00D31696" w:rsidRPr="000028C3" w:rsidRDefault="00D31696" w:rsidP="0039664F">
      <w:pPr>
        <w:jc w:val="both"/>
      </w:pPr>
    </w:p>
    <w:p w14:paraId="05F5FB86" w14:textId="77777777" w:rsidR="006823D7" w:rsidRPr="000028C3" w:rsidRDefault="006823D7" w:rsidP="00370679">
      <w:pPr>
        <w:ind w:left="709"/>
        <w:jc w:val="both"/>
      </w:pPr>
      <w:r w:rsidRPr="000028C3">
        <w:t>К показателям с коротким хвостом и показателям без хвоста, как правило, относятся параметры, которые характеризуются определенной инертностью.</w:t>
      </w:r>
    </w:p>
    <w:p w14:paraId="48BEE506" w14:textId="77777777" w:rsidR="006823D7" w:rsidRPr="000028C3" w:rsidRDefault="006823D7" w:rsidP="0039664F">
      <w:pPr>
        <w:jc w:val="both"/>
      </w:pPr>
    </w:p>
    <w:p w14:paraId="5E64EA80" w14:textId="77777777" w:rsidR="00815FAC" w:rsidRPr="000028C3" w:rsidRDefault="00636EC3" w:rsidP="00370679">
      <w:pPr>
        <w:ind w:left="709"/>
        <w:jc w:val="both"/>
      </w:pPr>
      <w:r w:rsidRPr="000028C3">
        <w:t>О</w:t>
      </w:r>
      <w:r w:rsidR="00815FAC" w:rsidRPr="000028C3">
        <w:t>сновани</w:t>
      </w:r>
      <w:r w:rsidRPr="000028C3">
        <w:t>ем</w:t>
      </w:r>
      <w:r w:rsidR="00815FAC" w:rsidRPr="000028C3">
        <w:t xml:space="preserve"> для отклонений от с</w:t>
      </w:r>
      <w:r w:rsidRPr="000028C3">
        <w:t>тандартного распределения весов является н</w:t>
      </w:r>
      <w:r w:rsidR="00815FAC" w:rsidRPr="000028C3">
        <w:t>еобходимость учет</w:t>
      </w:r>
      <w:r w:rsidR="00D31696" w:rsidRPr="000028C3">
        <w:t>а</w:t>
      </w:r>
      <w:r w:rsidR="00C95826" w:rsidRPr="000028C3">
        <w:t xml:space="preserve"> существенных изменений показателей, произошедших</w:t>
      </w:r>
      <w:r w:rsidR="00815FAC" w:rsidRPr="000028C3">
        <w:t xml:space="preserve"> </w:t>
      </w:r>
      <w:r w:rsidRPr="000028C3">
        <w:t xml:space="preserve">в </w:t>
      </w:r>
      <w:r w:rsidRPr="000028C3">
        <w:lastRenderedPageBreak/>
        <w:t>отдельных кварталах</w:t>
      </w:r>
      <w:r w:rsidR="00815FAC" w:rsidRPr="000028C3">
        <w:t xml:space="preserve">. В этом случае </w:t>
      </w:r>
      <w:r w:rsidR="001435CA" w:rsidRPr="000028C3">
        <w:t xml:space="preserve">указанные </w:t>
      </w:r>
      <w:r w:rsidR="00815FAC" w:rsidRPr="000028C3">
        <w:t>квартальны</w:t>
      </w:r>
      <w:r w:rsidR="001435CA" w:rsidRPr="000028C3">
        <w:t xml:space="preserve">е даты </w:t>
      </w:r>
      <w:r w:rsidR="00815FAC" w:rsidRPr="000028C3">
        <w:t xml:space="preserve">исключаются из расчетов. Вес исключенных дат перераспределяется в пользу последней квартальной даты. </w:t>
      </w:r>
    </w:p>
    <w:p w14:paraId="608509BD" w14:textId="77777777" w:rsidR="008B1955" w:rsidRPr="000028C3" w:rsidRDefault="008B1955" w:rsidP="0039664F"/>
    <w:p w14:paraId="6AD37E4F" w14:textId="7446038A" w:rsidR="00916419" w:rsidRPr="000028C3" w:rsidRDefault="00916419" w:rsidP="0098669D">
      <w:pPr>
        <w:numPr>
          <w:ilvl w:val="0"/>
          <w:numId w:val="5"/>
        </w:numPr>
        <w:jc w:val="both"/>
      </w:pPr>
      <w:r w:rsidRPr="000028C3">
        <w:t>В непрерывных оценках, описанных в последующих разделах, зависимость баллов от значений параметров определяется линейными функциями. Если значение параметра находится вне заданного бенчмарками диапазона, соответствующий ему балл устанавливается на уровне -1 или 1 без учета указанной выше функциональной зависимости.</w:t>
      </w:r>
    </w:p>
    <w:p w14:paraId="3D02CCD4" w14:textId="77777777" w:rsidR="00370679" w:rsidRPr="000028C3" w:rsidRDefault="00370679" w:rsidP="00370679">
      <w:pPr>
        <w:ind w:left="720"/>
        <w:jc w:val="both"/>
      </w:pPr>
    </w:p>
    <w:p w14:paraId="4EA1970E" w14:textId="2F78B90F" w:rsidR="00916419" w:rsidRPr="000028C3" w:rsidRDefault="00916419" w:rsidP="00370679">
      <w:pPr>
        <w:ind w:left="709"/>
        <w:jc w:val="both"/>
      </w:pPr>
      <w:r w:rsidRPr="000028C3">
        <w:t>В случае линейной зависимости балла от значения параметра, балл определяется следующей формулой:</w:t>
      </w:r>
    </w:p>
    <w:p w14:paraId="282CE5C1" w14:textId="2255626C" w:rsidR="00916419" w:rsidRDefault="00916419" w:rsidP="0039664F">
      <w:pPr>
        <w:ind w:left="720"/>
        <w:jc w:val="both"/>
      </w:pPr>
      <w:r w:rsidRPr="000028C3">
        <w:t>z = 2 * (x – a) / (b – a) – 1, где z – балл, x – значение параметра, a – значение параметра, соответствующее минимальному баллу, b – значение параметра, соответствующее максимальному баллу.</w:t>
      </w:r>
    </w:p>
    <w:p w14:paraId="40AD8BC5" w14:textId="0BEBD3EA" w:rsidR="00EB4C6D" w:rsidRDefault="00EB4C6D">
      <w:r>
        <w:br w:type="page"/>
      </w:r>
    </w:p>
    <w:p w14:paraId="2DBEBE11" w14:textId="77777777" w:rsidR="006823D7" w:rsidRPr="000028C3" w:rsidRDefault="006823D7" w:rsidP="0098669D">
      <w:pPr>
        <w:pStyle w:val="1"/>
        <w:numPr>
          <w:ilvl w:val="0"/>
          <w:numId w:val="8"/>
        </w:numPr>
        <w:suppressAutoHyphens/>
        <w:spacing w:before="0" w:after="0"/>
        <w:ind w:left="426" w:hanging="426"/>
        <w:rPr>
          <w:rFonts w:ascii="Times New Roman" w:hAnsi="Times New Roman" w:cs="Times New Roman"/>
        </w:rPr>
      </w:pPr>
      <w:bookmarkStart w:id="19" w:name="_Toc39667609"/>
      <w:r w:rsidRPr="000028C3">
        <w:rPr>
          <w:rFonts w:ascii="Times New Roman" w:hAnsi="Times New Roman" w:cs="Times New Roman"/>
          <w:sz w:val="28"/>
          <w:szCs w:val="28"/>
        </w:rPr>
        <w:lastRenderedPageBreak/>
        <w:t>Логическая схема анализа кредитоспособности</w:t>
      </w:r>
      <w:bookmarkEnd w:id="19"/>
    </w:p>
    <w:p w14:paraId="098E57CA" w14:textId="77777777" w:rsidR="008B1955" w:rsidRPr="000028C3" w:rsidRDefault="002877B3" w:rsidP="0039664F">
      <w:r w:rsidRPr="000028C3">
        <w:rPr>
          <w:noProof/>
        </w:rPr>
        <mc:AlternateContent>
          <mc:Choice Requires="wpg">
            <w:drawing>
              <wp:anchor distT="0" distB="0" distL="114300" distR="114300" simplePos="0" relativeHeight="251688448" behindDoc="0" locked="0" layoutInCell="1" allowOverlap="1" wp14:anchorId="2D9E6A51" wp14:editId="31617A3F">
                <wp:simplePos x="0" y="0"/>
                <wp:positionH relativeFrom="column">
                  <wp:posOffset>6793</wp:posOffset>
                </wp:positionH>
                <wp:positionV relativeFrom="paragraph">
                  <wp:posOffset>163147</wp:posOffset>
                </wp:positionV>
                <wp:extent cx="5913120" cy="2063750"/>
                <wp:effectExtent l="0" t="0" r="11430" b="12700"/>
                <wp:wrapSquare wrapText="bothSides"/>
                <wp:docPr id="32" name="Группа 32"/>
                <wp:cNvGraphicFramePr/>
                <a:graphic xmlns:a="http://schemas.openxmlformats.org/drawingml/2006/main">
                  <a:graphicData uri="http://schemas.microsoft.com/office/word/2010/wordprocessingGroup">
                    <wpg:wgp>
                      <wpg:cNvGrpSpPr/>
                      <wpg:grpSpPr>
                        <a:xfrm>
                          <a:off x="0" y="0"/>
                          <a:ext cx="5913120" cy="2063750"/>
                          <a:chOff x="0" y="0"/>
                          <a:chExt cx="5913120" cy="2063750"/>
                        </a:xfrm>
                      </wpg:grpSpPr>
                      <wps:wsp>
                        <wps:cNvPr id="34" name="Блок-схема: процесс 34"/>
                        <wps:cNvSpPr/>
                        <wps:spPr>
                          <a:xfrm>
                            <a:off x="0" y="0"/>
                            <a:ext cx="5913120" cy="2063750"/>
                          </a:xfrm>
                          <a:prstGeom prst="flowChartProcess">
                            <a:avLst/>
                          </a:prstGeom>
                          <a:ln w="9525">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Блок-схема: процесс 35"/>
                        <wps:cNvSpPr/>
                        <wps:spPr>
                          <a:xfrm>
                            <a:off x="1130060" y="0"/>
                            <a:ext cx="3562709" cy="368300"/>
                          </a:xfrm>
                          <a:prstGeom prst="flowChartProcess">
                            <a:avLst/>
                          </a:prstGeom>
                          <a:solidFill>
                            <a:schemeClr val="tx1"/>
                          </a:solidFill>
                          <a:ln>
                            <a:solidFill>
                              <a:schemeClr val="tx1"/>
                            </a:solidFill>
                          </a:ln>
                        </wps:spPr>
                        <wps:style>
                          <a:lnRef idx="1">
                            <a:schemeClr val="accent2"/>
                          </a:lnRef>
                          <a:fillRef idx="3">
                            <a:schemeClr val="accent2"/>
                          </a:fillRef>
                          <a:effectRef idx="2">
                            <a:schemeClr val="accent2"/>
                          </a:effectRef>
                          <a:fontRef idx="minor">
                            <a:schemeClr val="lt1"/>
                          </a:fontRef>
                        </wps:style>
                        <wps:txbx>
                          <w:txbxContent>
                            <w:p w14:paraId="787A9CE1" w14:textId="77777777" w:rsidR="00E3095C" w:rsidRPr="00DD219E" w:rsidRDefault="00E3095C" w:rsidP="006823D7">
                              <w:pPr>
                                <w:jc w:val="center"/>
                                <w:rPr>
                                  <w:b/>
                                  <w:color w:val="FFFFFF" w:themeColor="background1"/>
                                </w:rPr>
                              </w:pPr>
                              <w:r w:rsidRPr="00DD219E">
                                <w:rPr>
                                  <w:b/>
                                  <w:color w:val="FFFFFF" w:themeColor="background1"/>
                                  <w14:textOutline w14:w="0" w14:cap="flat" w14:cmpd="sng" w14:algn="ctr">
                                    <w14:noFill/>
                                    <w14:prstDash w14:val="solid"/>
                                    <w14:round/>
                                  </w14:textOutline>
                                </w:rPr>
                                <w:t xml:space="preserve">рейтинг </w:t>
                              </w:r>
                              <w:r>
                                <w:rPr>
                                  <w:b/>
                                  <w:color w:val="FFFFFF" w:themeColor="background1"/>
                                  <w14:textOutline w14:w="0" w14:cap="flat" w14:cmpd="sng" w14:algn="ctr">
                                    <w14:noFill/>
                                    <w14:prstDash w14:val="solid"/>
                                    <w14:round/>
                                  </w14:textOutline>
                                </w:rPr>
                                <w:t>кредитоспособности Фактора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 name="Группа 36"/>
                        <wpg:cNvGrpSpPr/>
                        <wpg:grpSpPr>
                          <a:xfrm>
                            <a:off x="215900" y="431800"/>
                            <a:ext cx="5593715" cy="1499235"/>
                            <a:chOff x="0" y="0"/>
                            <a:chExt cx="5593715" cy="1499235"/>
                          </a:xfrm>
                        </wpg:grpSpPr>
                        <wps:wsp>
                          <wps:cNvPr id="37" name="Блок-схема: процесс 37"/>
                          <wps:cNvSpPr/>
                          <wps:spPr>
                            <a:xfrm>
                              <a:off x="0" y="742950"/>
                              <a:ext cx="1802765" cy="756285"/>
                            </a:xfrm>
                            <a:prstGeom prst="flowChartProcess">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81510B7" w14:textId="77777777" w:rsidR="00E3095C" w:rsidRPr="00E174AB" w:rsidRDefault="00E3095C" w:rsidP="006823D7">
                                <w:pPr>
                                  <w:jc w:val="center"/>
                                  <w:rPr>
                                    <w:color w:val="FFFFFF" w:themeColor="background1"/>
                                    <w:sz w:val="20"/>
                                  </w:rPr>
                                </w:pPr>
                                <w:r>
                                  <w:rPr>
                                    <w:b/>
                                    <w:sz w:val="20"/>
                                    <w:szCs w:val="20"/>
                                  </w:rPr>
                                  <w:t>РЫНОЧНЫЕ ПОЗИЦИИ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Блок-схема: процесс 38"/>
                          <wps:cNvSpPr/>
                          <wps:spPr>
                            <a:xfrm>
                              <a:off x="1885950" y="742950"/>
                              <a:ext cx="1802765" cy="756285"/>
                            </a:xfrm>
                            <a:prstGeom prst="flowChartProcess">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ACB1EB1" w14:textId="77777777" w:rsidR="00E3095C" w:rsidRPr="00E174AB" w:rsidRDefault="00E3095C" w:rsidP="006823D7">
                                <w:pPr>
                                  <w:jc w:val="center"/>
                                  <w:rPr>
                                    <w:color w:val="FFFFFF" w:themeColor="background1"/>
                                    <w:sz w:val="20"/>
                                  </w:rPr>
                                </w:pPr>
                                <w:r>
                                  <w:rPr>
                                    <w:b/>
                                    <w:sz w:val="20"/>
                                    <w:szCs w:val="20"/>
                                  </w:rPr>
                                  <w:t>ФИНАНСОВЫЙ АНАЛИЗ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Блок-схема: процесс 39"/>
                          <wps:cNvSpPr/>
                          <wps:spPr>
                            <a:xfrm>
                              <a:off x="3790950" y="742950"/>
                              <a:ext cx="1802765" cy="756285"/>
                            </a:xfrm>
                            <a:prstGeom prst="flowChartProcess">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FD3952D" w14:textId="77777777" w:rsidR="00E3095C" w:rsidRPr="00E174AB" w:rsidRDefault="00E3095C" w:rsidP="006823D7">
                                <w:pPr>
                                  <w:jc w:val="center"/>
                                  <w:rPr>
                                    <w:color w:val="FFFFFF" w:themeColor="background1"/>
                                    <w:sz w:val="20"/>
                                  </w:rPr>
                                </w:pPr>
                                <w:r>
                                  <w:rPr>
                                    <w:b/>
                                    <w:sz w:val="20"/>
                                    <w:szCs w:val="20"/>
                                  </w:rPr>
                                  <w:t>УПРАВЛЕНИЕ РИСКАМИ И КОРПОРАТИВНОЕ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Блок-схема: процесс 40"/>
                          <wps:cNvSpPr/>
                          <wps:spPr>
                            <a:xfrm>
                              <a:off x="1086689" y="374650"/>
                              <a:ext cx="3269411" cy="297180"/>
                            </a:xfrm>
                            <a:prstGeom prst="flowChartProcess">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4C3F08D" w14:textId="77777777" w:rsidR="00E3095C" w:rsidRPr="00E174AB" w:rsidRDefault="00E3095C" w:rsidP="006823D7">
                                <w:pPr>
                                  <w:jc w:val="center"/>
                                  <w:rPr>
                                    <w:color w:val="FFFFFF" w:themeColor="background1"/>
                                    <w:sz w:val="20"/>
                                  </w:rPr>
                                </w:pPr>
                                <w:r>
                                  <w:rPr>
                                    <w:b/>
                                    <w:sz w:val="20"/>
                                    <w:szCs w:val="20"/>
                                  </w:rPr>
                                  <w:t>внутренние факторы поддержки и стресс-факторы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Блок-схема: процесс 41"/>
                          <wps:cNvSpPr/>
                          <wps:spPr>
                            <a:xfrm>
                              <a:off x="1086689" y="0"/>
                              <a:ext cx="3269411" cy="291465"/>
                            </a:xfrm>
                            <a:prstGeom prst="flowChartProcess">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95D2337" w14:textId="77777777" w:rsidR="00E3095C" w:rsidRPr="00E174AB" w:rsidRDefault="00E3095C" w:rsidP="006823D7">
                                <w:pPr>
                                  <w:jc w:val="center"/>
                                  <w:rPr>
                                    <w:color w:val="FFFFFF" w:themeColor="background1"/>
                                    <w:sz w:val="20"/>
                                  </w:rPr>
                                </w:pPr>
                                <w:r>
                                  <w:rPr>
                                    <w:b/>
                                    <w:sz w:val="20"/>
                                    <w:szCs w:val="20"/>
                                  </w:rPr>
                                  <w:t>внешние факторы поддержки и стресс-факторы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D9E6A51" id="Группа 32" o:spid="_x0000_s1026" style="position:absolute;margin-left:.55pt;margin-top:12.85pt;width:465.6pt;height:162.5pt;z-index:251688448" coordsize="59131,20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">
                <v:shapetype id="_x0000_t109" coordsize="21600,21600" o:spt="109" path="m,l,21600r21600,l21600,xe">
                  <v:stroke joinstyle="miter"/>
                  <v:path gradientshapeok="t" o:connecttype="rect"/>
                </v:shapetype>
                <v:shape id="Блок-схема: процесс 34" o:spid="_x0000_s1027" type="#_x0000_t109" style="position:absolute;width:59131;height:20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" fillcolor="white [3201]" strokecolor="white [3212]"/>
                <v:shape id="Блок-схема: процесс 35" o:spid="_x0000_s1028" type="#_x0000_t109" style="position:absolute;left:11300;width:35627;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" fillcolor="black [3213]" strokecolor="black [3213]" strokeweight=".5pt">
                  <v:textbox>
                    <w:txbxContent>
                      <w:p w14:paraId="787A9CE1" w14:textId="77777777" w:rsidR="00E3095C" w:rsidRPr="00DD219E" w:rsidRDefault="00E3095C" w:rsidP="006823D7">
                        <w:pPr>
                          <w:jc w:val="center"/>
                          <w:rPr>
                            <w:b/>
                            <w:color w:val="FFFFFF" w:themeColor="background1"/>
                          </w:rPr>
                        </w:pPr>
                        <w:r w:rsidRPr="00DD219E">
                          <w:rPr>
                            <w:b/>
                            <w:color w:val="FFFFFF" w:themeColor="background1"/>
                            <w14:textOutline w14:w="0" w14:cap="flat" w14:cmpd="sng" w14:algn="ctr">
                              <w14:noFill/>
                              <w14:prstDash w14:val="solid"/>
                              <w14:round/>
                            </w14:textOutline>
                          </w:rPr>
                          <w:t xml:space="preserve">рейтинг </w:t>
                        </w:r>
                        <w:r>
                          <w:rPr>
                            <w:b/>
                            <w:color w:val="FFFFFF" w:themeColor="background1"/>
                            <w14:textOutline w14:w="0" w14:cap="flat" w14:cmpd="sng" w14:algn="ctr">
                              <w14:noFill/>
                              <w14:prstDash w14:val="solid"/>
                              <w14:round/>
                            </w14:textOutline>
                          </w:rPr>
                          <w:t>кредитоспособности Фактора</w:t>
                        </w:r>
                      </w:p>
                    </w:txbxContent>
                  </v:textbox>
                </v:shape>
                <v:group id="Группа 36" o:spid="_x0000_s1029" style="position:absolute;left:2159;top:4318;width:55937;height:14992" coordsize="55937,1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Блок-схема: процесс 37" o:spid="_x0000_s1030" type="#_x0000_t109" style="position:absolute;top:7429;width:18027;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" fillcolor="black [3200]" stroked="f">
                    <v:fill opacity="32896f"/>
                    <v:textbox>
                      <w:txbxContent>
                        <w:p w14:paraId="681510B7" w14:textId="77777777" w:rsidR="00E3095C" w:rsidRPr="00E174AB" w:rsidRDefault="00E3095C" w:rsidP="006823D7">
                          <w:pPr>
                            <w:jc w:val="center"/>
                            <w:rPr>
                              <w:color w:val="FFFFFF" w:themeColor="background1"/>
                              <w:sz w:val="20"/>
                            </w:rPr>
                          </w:pPr>
                          <w:r>
                            <w:rPr>
                              <w:b/>
                              <w:sz w:val="20"/>
                              <w:szCs w:val="20"/>
                            </w:rPr>
                            <w:t>РЫНОЧНЫЕ ПОЗИЦИИ</w:t>
                          </w:r>
                        </w:p>
                      </w:txbxContent>
                    </v:textbox>
                  </v:shape>
                  <v:shape id="Блок-схема: процесс 38" o:spid="_x0000_s1031" type="#_x0000_t109" style="position:absolute;left:18859;top:7429;width:18028;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" fillcolor="black [3200]" stroked="f">
                    <v:fill opacity="32896f"/>
                    <v:textbox>
                      <w:txbxContent>
                        <w:p w14:paraId="2ACB1EB1" w14:textId="77777777" w:rsidR="00E3095C" w:rsidRPr="00E174AB" w:rsidRDefault="00E3095C" w:rsidP="006823D7">
                          <w:pPr>
                            <w:jc w:val="center"/>
                            <w:rPr>
                              <w:color w:val="FFFFFF" w:themeColor="background1"/>
                              <w:sz w:val="20"/>
                            </w:rPr>
                          </w:pPr>
                          <w:r>
                            <w:rPr>
                              <w:b/>
                              <w:sz w:val="20"/>
                              <w:szCs w:val="20"/>
                            </w:rPr>
                            <w:t>ФИНАНСОВЫЙ АНАЛИЗ</w:t>
                          </w:r>
                        </w:p>
                      </w:txbxContent>
                    </v:textbox>
                  </v:shape>
                  <v:shape id="Блок-схема: процесс 39" o:spid="_x0000_s1032" type="#_x0000_t109" style="position:absolute;left:37909;top:7429;width:18028;height:7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" fillcolor="black [3200]" stroked="f">
                    <v:fill opacity="32896f"/>
                    <v:textbox>
                      <w:txbxContent>
                        <w:p w14:paraId="3FD3952D" w14:textId="77777777" w:rsidR="00E3095C" w:rsidRPr="00E174AB" w:rsidRDefault="00E3095C" w:rsidP="006823D7">
                          <w:pPr>
                            <w:jc w:val="center"/>
                            <w:rPr>
                              <w:color w:val="FFFFFF" w:themeColor="background1"/>
                              <w:sz w:val="20"/>
                            </w:rPr>
                          </w:pPr>
                          <w:r>
                            <w:rPr>
                              <w:b/>
                              <w:sz w:val="20"/>
                              <w:szCs w:val="20"/>
                            </w:rPr>
                            <w:t>УПРАВЛЕНИЕ РИСКАМИ И КОРПОРАТИВНОЕ УПРАВЛЕНИЕ</w:t>
                          </w:r>
                        </w:p>
                      </w:txbxContent>
                    </v:textbox>
                  </v:shape>
                  <v:shape id="Блок-схема: процесс 40" o:spid="_x0000_s1033" type="#_x0000_t109" style="position:absolute;left:10866;top:3746;width:32695;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" fillcolor="black [3200]" stroked="f">
                    <v:fill opacity="32896f"/>
                    <v:textbox>
                      <w:txbxContent>
                        <w:p w14:paraId="54C3F08D" w14:textId="77777777" w:rsidR="00E3095C" w:rsidRPr="00E174AB" w:rsidRDefault="00E3095C" w:rsidP="006823D7">
                          <w:pPr>
                            <w:jc w:val="center"/>
                            <w:rPr>
                              <w:color w:val="FFFFFF" w:themeColor="background1"/>
                              <w:sz w:val="20"/>
                            </w:rPr>
                          </w:pPr>
                          <w:r>
                            <w:rPr>
                              <w:b/>
                              <w:sz w:val="20"/>
                              <w:szCs w:val="20"/>
                            </w:rPr>
                            <w:t>внутренние факторы поддержки и стресс-факторы</w:t>
                          </w:r>
                        </w:p>
                      </w:txbxContent>
                    </v:textbox>
                  </v:shape>
                  <v:shape id="Блок-схема: процесс 41" o:spid="_x0000_s1034" type="#_x0000_t109" style="position:absolute;left:10866;width:32695;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" fillcolor="black [3200]" stroked="f">
                    <v:fill opacity="32896f"/>
                    <v:textbox>
                      <w:txbxContent>
                        <w:p w14:paraId="495D2337" w14:textId="77777777" w:rsidR="00E3095C" w:rsidRPr="00E174AB" w:rsidRDefault="00E3095C" w:rsidP="006823D7">
                          <w:pPr>
                            <w:jc w:val="center"/>
                            <w:rPr>
                              <w:color w:val="FFFFFF" w:themeColor="background1"/>
                              <w:sz w:val="20"/>
                            </w:rPr>
                          </w:pPr>
                          <w:r>
                            <w:rPr>
                              <w:b/>
                              <w:sz w:val="20"/>
                              <w:szCs w:val="20"/>
                            </w:rPr>
                            <w:t>внешние факторы поддержки и стресс-факторы</w:t>
                          </w:r>
                        </w:p>
                      </w:txbxContent>
                    </v:textbox>
                  </v:shape>
                </v:group>
                <w10:wrap type="square"/>
              </v:group>
            </w:pict>
          </mc:Fallback>
        </mc:AlternateContent>
      </w:r>
    </w:p>
    <w:p w14:paraId="70F43BAF" w14:textId="77777777" w:rsidR="0061096C" w:rsidRPr="000028C3" w:rsidRDefault="0061096C">
      <w:pPr>
        <w:rPr>
          <w:b/>
          <w:bCs/>
          <w:kern w:val="32"/>
          <w:sz w:val="28"/>
          <w:szCs w:val="28"/>
        </w:rPr>
      </w:pPr>
      <w:bookmarkStart w:id="20" w:name="_Toc447270426"/>
      <w:r w:rsidRPr="000028C3">
        <w:rPr>
          <w:sz w:val="28"/>
          <w:szCs w:val="28"/>
        </w:rPr>
        <w:br w:type="page"/>
      </w:r>
    </w:p>
    <w:p w14:paraId="34CA8A0B" w14:textId="20FEFB1D" w:rsidR="00C95FF2" w:rsidRPr="000028C3" w:rsidRDefault="00C95FF2" w:rsidP="0098669D">
      <w:pPr>
        <w:pStyle w:val="1"/>
        <w:numPr>
          <w:ilvl w:val="0"/>
          <w:numId w:val="27"/>
        </w:numPr>
        <w:tabs>
          <w:tab w:val="clear" w:pos="0"/>
        </w:tabs>
        <w:suppressAutoHyphens/>
        <w:spacing w:before="0" w:after="0"/>
        <w:ind w:left="426" w:hanging="425"/>
        <w:rPr>
          <w:rFonts w:ascii="Times New Roman" w:hAnsi="Times New Roman" w:cs="Times New Roman"/>
          <w:sz w:val="28"/>
          <w:szCs w:val="28"/>
        </w:rPr>
      </w:pPr>
      <w:bookmarkStart w:id="21" w:name="_Toc39667610"/>
      <w:r w:rsidRPr="000028C3">
        <w:rPr>
          <w:rFonts w:ascii="Times New Roman" w:hAnsi="Times New Roman" w:cs="Times New Roman"/>
          <w:sz w:val="28"/>
          <w:szCs w:val="28"/>
        </w:rPr>
        <w:lastRenderedPageBreak/>
        <w:t>Условные рейтинговые классы</w:t>
      </w:r>
      <w:bookmarkEnd w:id="21"/>
    </w:p>
    <w:p w14:paraId="591EA189" w14:textId="77777777" w:rsidR="00C95FF2" w:rsidRPr="000028C3" w:rsidRDefault="00C95FF2" w:rsidP="0039664F"/>
    <w:p w14:paraId="0727E0EF" w14:textId="77777777" w:rsidR="00C95FF2" w:rsidRPr="000028C3" w:rsidRDefault="00C95FF2" w:rsidP="00F92373">
      <w:pPr>
        <w:pStyle w:val="ad"/>
        <w:spacing w:before="0" w:beforeAutospacing="0" w:after="0" w:afterAutospacing="0"/>
        <w:jc w:val="both"/>
      </w:pPr>
      <w:r w:rsidRPr="000028C3">
        <w:t>В методологии используются условные рейтинговые классы, которые соот</w:t>
      </w:r>
      <w:r w:rsidR="003738BB" w:rsidRPr="000028C3">
        <w:t>ветствуют уровням рейтингов</w:t>
      </w:r>
      <w:r w:rsidRPr="000028C3">
        <w:t xml:space="preserve"> по национальной рейтинговой шкале «Эксперт РА» и определяются по всей совокупности имеющейся у кредитного рейтингового агентства информации с учетом консервативного подхода. К этой информации относятся:</w:t>
      </w:r>
    </w:p>
    <w:p w14:paraId="1FECF456" w14:textId="555271D3" w:rsidR="00C95FF2" w:rsidRPr="000028C3" w:rsidRDefault="00C95FF2" w:rsidP="0098669D">
      <w:pPr>
        <w:pStyle w:val="ad"/>
        <w:numPr>
          <w:ilvl w:val="0"/>
          <w:numId w:val="23"/>
        </w:numPr>
        <w:suppressAutoHyphens/>
        <w:spacing w:before="0" w:beforeAutospacing="0" w:after="0" w:afterAutospacing="0"/>
        <w:ind w:left="709"/>
        <w:jc w:val="both"/>
      </w:pPr>
      <w:r w:rsidRPr="000028C3">
        <w:t xml:space="preserve">присвоенные контрагентам </w:t>
      </w:r>
      <w:r w:rsidR="0061096C" w:rsidRPr="000028C3">
        <w:t xml:space="preserve">(долговым инструментам) </w:t>
      </w:r>
      <w:r w:rsidRPr="000028C3">
        <w:t>кредитные рейтинги;</w:t>
      </w:r>
    </w:p>
    <w:p w14:paraId="606653F8" w14:textId="77777777" w:rsidR="00C95FF2" w:rsidRPr="000028C3" w:rsidRDefault="00C95FF2" w:rsidP="0098669D">
      <w:pPr>
        <w:pStyle w:val="ad"/>
        <w:numPr>
          <w:ilvl w:val="0"/>
          <w:numId w:val="23"/>
        </w:numPr>
        <w:suppressAutoHyphens/>
        <w:spacing w:before="0" w:beforeAutospacing="0" w:after="0" w:afterAutospacing="0"/>
        <w:ind w:left="709"/>
        <w:jc w:val="both"/>
      </w:pPr>
      <w:r w:rsidRPr="000028C3">
        <w:t>публичная финансовая отчетность контрагентов;</w:t>
      </w:r>
    </w:p>
    <w:p w14:paraId="50B02AEF" w14:textId="77777777" w:rsidR="00C95FF2" w:rsidRPr="000028C3" w:rsidRDefault="00C95FF2" w:rsidP="0098669D">
      <w:pPr>
        <w:pStyle w:val="ad"/>
        <w:numPr>
          <w:ilvl w:val="0"/>
          <w:numId w:val="23"/>
        </w:numPr>
        <w:tabs>
          <w:tab w:val="clear" w:pos="0"/>
        </w:tabs>
        <w:suppressAutoHyphens/>
        <w:spacing w:before="0" w:beforeAutospacing="0" w:after="0" w:afterAutospacing="0"/>
        <w:ind w:left="709"/>
        <w:jc w:val="both"/>
      </w:pPr>
      <w:r w:rsidRPr="000028C3">
        <w:t>непубличная финансовая отчетность контрагентов (при ее наличии у кредитного рейтингового агентства);</w:t>
      </w:r>
    </w:p>
    <w:p w14:paraId="116BE480" w14:textId="77777777" w:rsidR="00C95FF2" w:rsidRPr="000028C3" w:rsidRDefault="00C95FF2" w:rsidP="0098669D">
      <w:pPr>
        <w:pStyle w:val="ad"/>
        <w:numPr>
          <w:ilvl w:val="0"/>
          <w:numId w:val="23"/>
        </w:numPr>
        <w:suppressAutoHyphens/>
        <w:spacing w:before="0" w:beforeAutospacing="0" w:after="0" w:afterAutospacing="0"/>
        <w:ind w:left="709"/>
        <w:jc w:val="both"/>
      </w:pPr>
      <w:r w:rsidRPr="000028C3">
        <w:t>наличие обеспечения / поручительства / гарантии по долговым инструментам контрагента (для целей оценки качества активов). Если долговые инструменты имеют обеспечение в виде долговых инструментов других контрагентов, имеющих условный рейтинговый класс выше оцениваемого, возможно повышение условного рейтингового класса оцениваемого контрагента до уровня обеспечения;</w:t>
      </w:r>
    </w:p>
    <w:p w14:paraId="7329B586" w14:textId="77777777" w:rsidR="00C95FF2" w:rsidRPr="000028C3" w:rsidRDefault="00C95FF2" w:rsidP="0098669D">
      <w:pPr>
        <w:pStyle w:val="ad"/>
        <w:numPr>
          <w:ilvl w:val="0"/>
          <w:numId w:val="23"/>
        </w:numPr>
        <w:suppressAutoHyphens/>
        <w:spacing w:before="0" w:beforeAutospacing="0" w:after="0" w:afterAutospacing="0"/>
        <w:ind w:left="709"/>
        <w:jc w:val="both"/>
      </w:pPr>
      <w:r w:rsidRPr="000028C3">
        <w:t>другая информация из открытых источников, определяющая тенденции в деятельности контрагентов, которые могут оказать существенное влияние на вероятность их дефолта.</w:t>
      </w:r>
    </w:p>
    <w:p w14:paraId="2225CA45" w14:textId="77777777" w:rsidR="00C95FF2" w:rsidRPr="000028C3" w:rsidRDefault="00C95FF2" w:rsidP="0039664F">
      <w:pPr>
        <w:pStyle w:val="ad"/>
        <w:spacing w:before="0" w:beforeAutospacing="0" w:after="0" w:afterAutospacing="0"/>
        <w:ind w:firstLine="567"/>
        <w:jc w:val="both"/>
        <w:rPr>
          <w:highlight w:val="yellow"/>
        </w:rPr>
      </w:pPr>
    </w:p>
    <w:p w14:paraId="1ECD84D2" w14:textId="6B73C0C7" w:rsidR="00C95FF2" w:rsidRPr="000028C3" w:rsidRDefault="00C95FF2" w:rsidP="0039664F">
      <w:pPr>
        <w:pStyle w:val="ad"/>
        <w:spacing w:before="0" w:beforeAutospacing="0" w:after="0" w:afterAutospacing="0"/>
        <w:ind w:firstLine="567"/>
        <w:jc w:val="both"/>
        <w:rPr>
          <w:shd w:val="clear" w:color="auto" w:fill="FFFF00"/>
        </w:rPr>
      </w:pPr>
      <w:r w:rsidRPr="000028C3">
        <w:t>При определении условного рейтингового класса необходимо опираться на методологию Агентства, соответствующую типу рассматриваемого объекта, в той мере, в какой это позволяет имеющаяся информация. Условные рейтинговые классы могут быть скорректированы относительно фактически присвоенных компаниям</w:t>
      </w:r>
      <w:r w:rsidR="0061096C" w:rsidRPr="000028C3">
        <w:t xml:space="preserve"> (долговым инструментам)</w:t>
      </w:r>
      <w:r w:rsidRPr="000028C3">
        <w:t xml:space="preserve"> кредитных рейтингов. Корректировка осуществляется при выявлении на основе имеющейся информации фактов, которые привели бы к присвоению отличного от фактически присвоенного компании</w:t>
      </w:r>
      <w:r w:rsidR="0061096C" w:rsidRPr="000028C3">
        <w:t xml:space="preserve"> (долговому инструменту)</w:t>
      </w:r>
      <w:r w:rsidRPr="000028C3">
        <w:t xml:space="preserve"> уров</w:t>
      </w:r>
      <w:r w:rsidR="003738BB" w:rsidRPr="000028C3">
        <w:t>ня рейтинга.</w:t>
      </w:r>
    </w:p>
    <w:p w14:paraId="4D6D3844" w14:textId="77777777" w:rsidR="00C95FF2" w:rsidRPr="000028C3" w:rsidRDefault="00C95FF2" w:rsidP="0039664F"/>
    <w:p w14:paraId="72146995" w14:textId="77777777" w:rsidR="00C95FF2" w:rsidRPr="000028C3" w:rsidRDefault="00C95FF2" w:rsidP="0039664F"/>
    <w:p w14:paraId="14237404" w14:textId="77777777" w:rsidR="00C95FF2" w:rsidRPr="000028C3" w:rsidRDefault="00C95FF2" w:rsidP="0039664F"/>
    <w:p w14:paraId="2F266CBC" w14:textId="77777777" w:rsidR="00C95FF2" w:rsidRPr="000028C3" w:rsidRDefault="00C95FF2" w:rsidP="0039664F"/>
    <w:p w14:paraId="7026335F" w14:textId="77777777" w:rsidR="00FF52B6" w:rsidRPr="000028C3" w:rsidRDefault="00FF52B6" w:rsidP="0039664F">
      <w:pPr>
        <w:rPr>
          <w:b/>
          <w:bCs/>
          <w:kern w:val="32"/>
          <w:sz w:val="28"/>
          <w:szCs w:val="28"/>
        </w:rPr>
      </w:pPr>
      <w:r w:rsidRPr="000028C3">
        <w:rPr>
          <w:sz w:val="28"/>
          <w:szCs w:val="28"/>
        </w:rPr>
        <w:br w:type="page"/>
      </w:r>
    </w:p>
    <w:p w14:paraId="048DC3DE" w14:textId="77777777" w:rsidR="008B1955" w:rsidRPr="000028C3" w:rsidRDefault="007C458E" w:rsidP="0098669D">
      <w:pPr>
        <w:pStyle w:val="1"/>
        <w:numPr>
          <w:ilvl w:val="0"/>
          <w:numId w:val="27"/>
        </w:numPr>
        <w:tabs>
          <w:tab w:val="clear" w:pos="0"/>
        </w:tabs>
        <w:suppressAutoHyphens/>
        <w:spacing w:before="0" w:after="0"/>
        <w:ind w:left="426" w:hanging="425"/>
        <w:rPr>
          <w:rFonts w:ascii="Times New Roman" w:hAnsi="Times New Roman" w:cs="Times New Roman"/>
          <w:sz w:val="28"/>
          <w:szCs w:val="28"/>
        </w:rPr>
      </w:pPr>
      <w:bookmarkStart w:id="22" w:name="_Toc39667611"/>
      <w:bookmarkEnd w:id="20"/>
      <w:r w:rsidRPr="000028C3">
        <w:rPr>
          <w:rFonts w:ascii="Times New Roman" w:hAnsi="Times New Roman" w:cs="Times New Roman"/>
          <w:sz w:val="28"/>
          <w:szCs w:val="28"/>
        </w:rPr>
        <w:lastRenderedPageBreak/>
        <w:t>Ключевые количественные и качественные факторы</w:t>
      </w:r>
      <w:bookmarkEnd w:id="22"/>
    </w:p>
    <w:p w14:paraId="4D9FD4F8" w14:textId="77777777" w:rsidR="008B1955" w:rsidRPr="000028C3" w:rsidRDefault="008B1955" w:rsidP="0039664F">
      <w:pPr>
        <w:tabs>
          <w:tab w:val="left" w:pos="1710"/>
        </w:tabs>
      </w:pPr>
    </w:p>
    <w:p w14:paraId="07BA0637" w14:textId="77777777" w:rsidR="008B1955" w:rsidRPr="000028C3" w:rsidRDefault="008B1955" w:rsidP="0039664F">
      <w:pPr>
        <w:pStyle w:val="2"/>
        <w:tabs>
          <w:tab w:val="num" w:pos="576"/>
        </w:tabs>
        <w:suppressAutoHyphens/>
        <w:spacing w:before="0" w:after="0"/>
        <w:ind w:left="576" w:hanging="576"/>
        <w:rPr>
          <w:rFonts w:ascii="Times New Roman" w:hAnsi="Times New Roman" w:cs="Times New Roman"/>
          <w:i w:val="0"/>
          <w:lang w:eastAsia="ar-SA"/>
        </w:rPr>
      </w:pPr>
      <w:bookmarkStart w:id="23" w:name="_Toc447270427"/>
      <w:bookmarkStart w:id="24" w:name="_Toc39667612"/>
      <w:r w:rsidRPr="000028C3">
        <w:rPr>
          <w:rFonts w:ascii="Times New Roman" w:hAnsi="Times New Roman" w:cs="Times New Roman"/>
          <w:i w:val="0"/>
          <w:lang w:eastAsia="ar-SA"/>
        </w:rPr>
        <w:t>РАЗДЕЛ I. РЫНОЧНЫЕ ПОЗИЦИИ</w:t>
      </w:r>
      <w:bookmarkEnd w:id="23"/>
      <w:bookmarkEnd w:id="24"/>
    </w:p>
    <w:p w14:paraId="068D1079" w14:textId="77777777" w:rsidR="0029780D" w:rsidRPr="000028C3" w:rsidRDefault="0029780D" w:rsidP="0039664F">
      <w:pPr>
        <w:rPr>
          <w:lang w:eastAsia="ar-SA"/>
        </w:rPr>
      </w:pPr>
    </w:p>
    <w:p w14:paraId="6CBDB70A" w14:textId="77777777" w:rsidR="00B32A34" w:rsidRPr="000028C3" w:rsidRDefault="00B32A34" w:rsidP="0000231B">
      <w:pPr>
        <w:pStyle w:val="ad"/>
        <w:spacing w:before="0" w:beforeAutospacing="0" w:after="0" w:afterAutospacing="0"/>
        <w:ind w:firstLine="567"/>
        <w:jc w:val="both"/>
      </w:pPr>
      <w:r w:rsidRPr="000028C3">
        <w:rPr>
          <w:u w:val="single"/>
        </w:rPr>
        <w:t xml:space="preserve">Источники информации для раздела </w:t>
      </w:r>
      <w:r w:rsidRPr="000028C3">
        <w:rPr>
          <w:u w:val="single"/>
          <w:lang w:val="en-US"/>
        </w:rPr>
        <w:t>I</w:t>
      </w:r>
      <w:r w:rsidRPr="000028C3">
        <w:t>:</w:t>
      </w:r>
    </w:p>
    <w:p w14:paraId="4523E69B" w14:textId="77777777" w:rsidR="00AE1CC1" w:rsidRPr="000028C3" w:rsidRDefault="00AE1CC1" w:rsidP="0098669D">
      <w:pPr>
        <w:pStyle w:val="af7"/>
        <w:numPr>
          <w:ilvl w:val="0"/>
          <w:numId w:val="26"/>
        </w:numPr>
        <w:ind w:left="851" w:hanging="284"/>
        <w:jc w:val="both"/>
        <w:rPr>
          <w:rFonts w:ascii="Times New Roman" w:hAnsi="Times New Roman" w:cs="Times New Roman"/>
          <w:lang w:eastAsia="ar-SA"/>
        </w:rPr>
      </w:pPr>
      <w:r w:rsidRPr="000028C3">
        <w:rPr>
          <w:rFonts w:ascii="Times New Roman" w:hAnsi="Times New Roman" w:cs="Times New Roman"/>
          <w:lang w:eastAsia="ar-SA"/>
        </w:rPr>
        <w:t>Анкета.</w:t>
      </w:r>
    </w:p>
    <w:p w14:paraId="0D529869" w14:textId="77777777" w:rsidR="00AE1CC1" w:rsidRPr="000028C3" w:rsidRDefault="00AE1CC1" w:rsidP="0098669D">
      <w:pPr>
        <w:pStyle w:val="af7"/>
        <w:numPr>
          <w:ilvl w:val="0"/>
          <w:numId w:val="26"/>
        </w:numPr>
        <w:ind w:left="851" w:hanging="284"/>
        <w:jc w:val="both"/>
        <w:rPr>
          <w:rFonts w:ascii="Times New Roman" w:hAnsi="Times New Roman" w:cs="Times New Roman"/>
          <w:lang w:eastAsia="ar-SA"/>
        </w:rPr>
      </w:pPr>
      <w:r w:rsidRPr="000028C3">
        <w:rPr>
          <w:rFonts w:ascii="Times New Roman" w:hAnsi="Times New Roman" w:cs="Times New Roman"/>
          <w:lang w:eastAsia="ar-SA"/>
        </w:rPr>
        <w:t>Бухгалтерский баланс.</w:t>
      </w:r>
    </w:p>
    <w:p w14:paraId="34ADAE4A" w14:textId="77777777" w:rsidR="00AE1CC1" w:rsidRPr="000028C3" w:rsidRDefault="00AE1CC1" w:rsidP="0098669D">
      <w:pPr>
        <w:pStyle w:val="af7"/>
        <w:numPr>
          <w:ilvl w:val="0"/>
          <w:numId w:val="26"/>
        </w:numPr>
        <w:ind w:left="851" w:hanging="284"/>
        <w:jc w:val="both"/>
        <w:rPr>
          <w:rFonts w:ascii="Times New Roman" w:hAnsi="Times New Roman" w:cs="Times New Roman"/>
          <w:lang w:eastAsia="ar-SA"/>
        </w:rPr>
      </w:pPr>
      <w:r w:rsidRPr="000028C3">
        <w:rPr>
          <w:rFonts w:ascii="Times New Roman" w:hAnsi="Times New Roman" w:cs="Times New Roman"/>
          <w:lang w:eastAsia="ar-SA"/>
        </w:rPr>
        <w:t>Аудиторские заключения к отчетности.</w:t>
      </w:r>
    </w:p>
    <w:p w14:paraId="4A1A9BC0" w14:textId="77777777" w:rsidR="00AE1CC1" w:rsidRPr="000028C3" w:rsidRDefault="00AE1CC1" w:rsidP="0098669D">
      <w:pPr>
        <w:pStyle w:val="af7"/>
        <w:numPr>
          <w:ilvl w:val="0"/>
          <w:numId w:val="26"/>
        </w:numPr>
        <w:ind w:left="851" w:hanging="284"/>
        <w:jc w:val="both"/>
        <w:rPr>
          <w:rFonts w:ascii="Times New Roman" w:hAnsi="Times New Roman" w:cs="Times New Roman"/>
          <w:lang w:eastAsia="ar-SA"/>
        </w:rPr>
      </w:pPr>
      <w:r w:rsidRPr="000028C3">
        <w:rPr>
          <w:rFonts w:ascii="Times New Roman" w:hAnsi="Times New Roman" w:cs="Times New Roman"/>
          <w:lang w:eastAsia="ar-SA"/>
        </w:rPr>
        <w:t>Информация, полученная в ходе рейтингового интервью.</w:t>
      </w:r>
    </w:p>
    <w:p w14:paraId="79D60058" w14:textId="77777777" w:rsidR="009E59FF" w:rsidRPr="000028C3" w:rsidRDefault="00AE1CC1" w:rsidP="0098669D">
      <w:pPr>
        <w:pStyle w:val="af7"/>
        <w:numPr>
          <w:ilvl w:val="0"/>
          <w:numId w:val="26"/>
        </w:numPr>
        <w:ind w:left="851" w:hanging="284"/>
        <w:jc w:val="both"/>
        <w:rPr>
          <w:rFonts w:ascii="Times New Roman" w:hAnsi="Times New Roman" w:cs="Times New Roman"/>
          <w:lang w:eastAsia="ar-SA"/>
        </w:rPr>
      </w:pPr>
      <w:r w:rsidRPr="000028C3">
        <w:rPr>
          <w:rFonts w:ascii="Times New Roman" w:hAnsi="Times New Roman" w:cs="Times New Roman"/>
          <w:lang w:eastAsia="ar-SA"/>
        </w:rPr>
        <w:t>Информация из СМИ и других открытых источников.</w:t>
      </w:r>
    </w:p>
    <w:p w14:paraId="21D829E1" w14:textId="77777777" w:rsidR="00B32A34" w:rsidRPr="000028C3" w:rsidRDefault="009E59FF" w:rsidP="0098669D">
      <w:pPr>
        <w:pStyle w:val="af7"/>
        <w:numPr>
          <w:ilvl w:val="0"/>
          <w:numId w:val="26"/>
        </w:numPr>
        <w:ind w:left="851" w:hanging="284"/>
        <w:jc w:val="both"/>
        <w:rPr>
          <w:rFonts w:ascii="Times New Roman" w:hAnsi="Times New Roman" w:cs="Times New Roman"/>
          <w:lang w:eastAsia="ar-SA"/>
        </w:rPr>
      </w:pPr>
      <w:r w:rsidRPr="000028C3">
        <w:rPr>
          <w:rFonts w:ascii="Times New Roman" w:hAnsi="Times New Roman" w:cs="Times New Roman"/>
        </w:rPr>
        <w:t>Информационный ресурс «СПАРК-Интерфакс».</w:t>
      </w:r>
    </w:p>
    <w:p w14:paraId="7CCB6497" w14:textId="77777777" w:rsidR="00B32A34" w:rsidRPr="000028C3" w:rsidRDefault="00B32A34" w:rsidP="0039664F">
      <w:pPr>
        <w:rPr>
          <w:lang w:eastAsia="ar-SA"/>
        </w:rPr>
      </w:pPr>
    </w:p>
    <w:p w14:paraId="21DEFC7A" w14:textId="058CE7F1" w:rsidR="008B1955" w:rsidRPr="000028C3" w:rsidRDefault="002877B3" w:rsidP="0098669D">
      <w:pPr>
        <w:pStyle w:val="3"/>
        <w:numPr>
          <w:ilvl w:val="1"/>
          <w:numId w:val="15"/>
        </w:numPr>
        <w:spacing w:before="0" w:after="0"/>
        <w:rPr>
          <w:rFonts w:ascii="Times New Roman" w:hAnsi="Times New Roman" w:cs="Times New Roman"/>
        </w:rPr>
      </w:pPr>
      <w:bookmarkStart w:id="25" w:name="_Toc447270428"/>
      <w:bookmarkStart w:id="26" w:name="_Toc39667613"/>
      <w:r w:rsidRPr="000028C3">
        <w:rPr>
          <w:rFonts w:ascii="Times New Roman" w:hAnsi="Times New Roman" w:cs="Times New Roman"/>
        </w:rPr>
        <w:t>Деловая</w:t>
      </w:r>
      <w:r w:rsidR="008B1955" w:rsidRPr="000028C3">
        <w:rPr>
          <w:rFonts w:ascii="Times New Roman" w:hAnsi="Times New Roman" w:cs="Times New Roman"/>
        </w:rPr>
        <w:t xml:space="preserve"> репутация</w:t>
      </w:r>
      <w:bookmarkEnd w:id="25"/>
      <w:bookmarkEnd w:id="26"/>
    </w:p>
    <w:p w14:paraId="0288A579" w14:textId="77777777" w:rsidR="002877B3" w:rsidRPr="000028C3" w:rsidRDefault="002877B3" w:rsidP="0039664F">
      <w:pPr>
        <w:pStyle w:val="ad"/>
        <w:spacing w:before="0" w:beforeAutospacing="0" w:after="0" w:afterAutospacing="0"/>
        <w:ind w:firstLine="567"/>
        <w:jc w:val="both"/>
        <w:rPr>
          <w:u w:val="single"/>
        </w:rPr>
      </w:pPr>
    </w:p>
    <w:p w14:paraId="4F40BB91" w14:textId="2BC7A878" w:rsidR="007861F2" w:rsidRPr="000028C3" w:rsidRDefault="007861F2" w:rsidP="0039664F">
      <w:pPr>
        <w:pStyle w:val="ad"/>
        <w:spacing w:before="0" w:beforeAutospacing="0" w:after="0" w:afterAutospacing="0"/>
        <w:ind w:firstLine="567"/>
        <w:jc w:val="both"/>
        <w:rPr>
          <w:u w:val="single"/>
        </w:rPr>
      </w:pPr>
      <w:r w:rsidRPr="000028C3">
        <w:rPr>
          <w:u w:val="single"/>
        </w:rPr>
        <w:t>Цель оценки</w:t>
      </w:r>
      <w:r w:rsidRPr="000028C3">
        <w:t xml:space="preserve"> </w:t>
      </w:r>
    </w:p>
    <w:p w14:paraId="241F69E3" w14:textId="35ECEFFF" w:rsidR="002877B3" w:rsidRPr="000028C3" w:rsidRDefault="007861F2" w:rsidP="0039664F">
      <w:pPr>
        <w:rPr>
          <w:u w:val="single"/>
        </w:rPr>
      </w:pPr>
      <w:r w:rsidRPr="000028C3">
        <w:t>Определить возможности и риски, связанные с историей развития компании и е</w:t>
      </w:r>
      <w:r w:rsidR="00371380" w:rsidRPr="000028C3">
        <w:t>е</w:t>
      </w:r>
      <w:r w:rsidRPr="000028C3">
        <w:t xml:space="preserve"> </w:t>
      </w:r>
      <w:r w:rsidR="002877B3" w:rsidRPr="000028C3">
        <w:t xml:space="preserve">деловой </w:t>
      </w:r>
      <w:r w:rsidRPr="000028C3">
        <w:t xml:space="preserve">репутацией среди клиентов и контрагентов. </w:t>
      </w:r>
      <w:r w:rsidR="002877B3" w:rsidRPr="000028C3">
        <w:t>Репутационные скандалы оказывают негативное влияние на рейтинг факторинговой компании, поскольку могут привести к снижению качественной клиентской базы, ограничить возможности по привлечению рыночного фондирования. Оценка деловой репутации относится к объекту рейтинга, ее топ-менеджменту, собственникам. Деловая репутация оценивается на основе истории взаимоотношений объекта рейтинга с регулятором, партнерами, сотрудниками компании, а также с учетом новостного фона.</w:t>
      </w:r>
    </w:p>
    <w:p w14:paraId="642DDEAA" w14:textId="2596C588" w:rsidR="00597906" w:rsidRPr="000028C3" w:rsidRDefault="008B1955" w:rsidP="0039664F">
      <w:pPr>
        <w:pStyle w:val="ad"/>
        <w:spacing w:before="0" w:beforeAutospacing="0" w:after="0" w:afterAutospacing="0"/>
        <w:ind w:firstLine="567"/>
        <w:jc w:val="both"/>
        <w:rPr>
          <w:u w:val="single"/>
        </w:rPr>
      </w:pPr>
      <w:r w:rsidRPr="000028C3">
        <w:rPr>
          <w:u w:val="single"/>
        </w:rPr>
        <w:t>Алгоритм выставления оценки</w:t>
      </w:r>
      <w:r w:rsidRPr="000028C3">
        <w:t xml:space="preserve"> </w:t>
      </w:r>
    </w:p>
    <w:p w14:paraId="4EC403C0" w14:textId="256132AD" w:rsidR="002877B3" w:rsidRPr="000028C3" w:rsidRDefault="0061096C" w:rsidP="0039664F">
      <w:pPr>
        <w:pStyle w:val="ad"/>
        <w:spacing w:before="0" w:beforeAutospacing="0" w:after="0" w:afterAutospacing="0"/>
        <w:ind w:firstLine="567"/>
        <w:jc w:val="both"/>
      </w:pPr>
      <w:r w:rsidRPr="000028C3">
        <w:t>Оценка фактора</w:t>
      </w:r>
      <w:r w:rsidR="002877B3" w:rsidRPr="000028C3">
        <w:t xml:space="preserve"> изначально приравнивается к 1. При этом он</w:t>
      </w:r>
      <w:r w:rsidRPr="000028C3">
        <w:t>а</w:t>
      </w:r>
      <w:r w:rsidR="002877B3" w:rsidRPr="000028C3">
        <w:t xml:space="preserve"> уменьшается при выявлении оснований для негативных корректировок оценки деловой репутации.</w:t>
      </w:r>
    </w:p>
    <w:p w14:paraId="50D0B2C4" w14:textId="77777777" w:rsidR="002877B3" w:rsidRPr="000028C3" w:rsidRDefault="002877B3" w:rsidP="0039664F">
      <w:pPr>
        <w:pStyle w:val="ad"/>
        <w:spacing w:before="0" w:beforeAutospacing="0" w:after="0" w:afterAutospacing="0"/>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442"/>
        <w:gridCol w:w="3963"/>
      </w:tblGrid>
      <w:tr w:rsidR="002877B3" w:rsidRPr="000028C3" w14:paraId="088AF8E7" w14:textId="77777777" w:rsidTr="00146B29">
        <w:trPr>
          <w:trHeight w:val="20"/>
        </w:trPr>
        <w:tc>
          <w:tcPr>
            <w:tcW w:w="940" w:type="dxa"/>
            <w:shd w:val="clear" w:color="auto" w:fill="auto"/>
            <w:vAlign w:val="center"/>
          </w:tcPr>
          <w:p w14:paraId="7166F71F" w14:textId="77777777" w:rsidR="002877B3" w:rsidRPr="000028C3" w:rsidRDefault="002877B3" w:rsidP="0039664F">
            <w:pPr>
              <w:jc w:val="center"/>
              <w:rPr>
                <w:b/>
                <w:bCs/>
              </w:rPr>
            </w:pPr>
            <w:bookmarkStart w:id="27" w:name="_Hlk508196592"/>
            <w:r w:rsidRPr="000028C3">
              <w:rPr>
                <w:b/>
                <w:bCs/>
              </w:rPr>
              <w:t xml:space="preserve">№ </w:t>
            </w:r>
          </w:p>
        </w:tc>
        <w:tc>
          <w:tcPr>
            <w:tcW w:w="4442" w:type="dxa"/>
            <w:shd w:val="clear" w:color="auto" w:fill="auto"/>
            <w:vAlign w:val="center"/>
          </w:tcPr>
          <w:p w14:paraId="16234C03" w14:textId="77777777" w:rsidR="002877B3" w:rsidRPr="000028C3" w:rsidRDefault="002877B3" w:rsidP="0039664F">
            <w:pPr>
              <w:rPr>
                <w:b/>
                <w:bCs/>
              </w:rPr>
            </w:pPr>
            <w:r w:rsidRPr="000028C3">
              <w:rPr>
                <w:b/>
                <w:bCs/>
              </w:rPr>
              <w:t>Условие</w:t>
            </w:r>
          </w:p>
        </w:tc>
        <w:tc>
          <w:tcPr>
            <w:tcW w:w="3963" w:type="dxa"/>
            <w:shd w:val="clear" w:color="auto" w:fill="auto"/>
            <w:vAlign w:val="center"/>
          </w:tcPr>
          <w:p w14:paraId="6327CA5B" w14:textId="77777777" w:rsidR="002877B3" w:rsidRPr="000028C3" w:rsidRDefault="002877B3" w:rsidP="0039664F">
            <w:pPr>
              <w:rPr>
                <w:b/>
                <w:bCs/>
              </w:rPr>
            </w:pPr>
            <w:r w:rsidRPr="000028C3">
              <w:rPr>
                <w:b/>
                <w:bCs/>
              </w:rPr>
              <w:t>Размер вычета</w:t>
            </w:r>
          </w:p>
        </w:tc>
      </w:tr>
      <w:tr w:rsidR="002877B3" w:rsidRPr="000028C3" w14:paraId="317FA9A8" w14:textId="77777777" w:rsidTr="00146B29">
        <w:trPr>
          <w:trHeight w:val="20"/>
        </w:trPr>
        <w:tc>
          <w:tcPr>
            <w:tcW w:w="940" w:type="dxa"/>
            <w:shd w:val="clear" w:color="auto" w:fill="auto"/>
            <w:vAlign w:val="center"/>
          </w:tcPr>
          <w:p w14:paraId="567B6259" w14:textId="77777777" w:rsidR="002877B3" w:rsidRPr="000028C3" w:rsidRDefault="002877B3" w:rsidP="0039664F">
            <w:pPr>
              <w:jc w:val="center"/>
            </w:pPr>
            <w:r w:rsidRPr="000028C3">
              <w:t>1</w:t>
            </w:r>
          </w:p>
        </w:tc>
        <w:tc>
          <w:tcPr>
            <w:tcW w:w="4442" w:type="dxa"/>
            <w:shd w:val="clear" w:color="auto" w:fill="auto"/>
            <w:vAlign w:val="center"/>
          </w:tcPr>
          <w:p w14:paraId="5678E585" w14:textId="176C3044" w:rsidR="002877B3" w:rsidRPr="000028C3" w:rsidRDefault="002877B3" w:rsidP="0039664F">
            <w:pPr>
              <w:jc w:val="both"/>
            </w:pPr>
            <w:r w:rsidRPr="000028C3">
              <w:t xml:space="preserve">Коррупционные скандалы, хищения, вывод средств из компании собственниками или руководством </w:t>
            </w:r>
            <w:r w:rsidR="00146B29" w:rsidRPr="000028C3">
              <w:t>объекта рейтинга</w:t>
            </w:r>
            <w:r w:rsidRPr="000028C3">
              <w:t xml:space="preserve"> (в том числе помимо объекта рейтинга)</w:t>
            </w:r>
          </w:p>
          <w:p w14:paraId="7709FC73" w14:textId="77777777" w:rsidR="002877B3" w:rsidRPr="000028C3" w:rsidRDefault="002877B3" w:rsidP="0039664F">
            <w:pPr>
              <w:jc w:val="both"/>
            </w:pPr>
          </w:p>
          <w:p w14:paraId="5526BF83" w14:textId="77777777" w:rsidR="002877B3" w:rsidRPr="000028C3" w:rsidRDefault="002877B3" w:rsidP="0039664F">
            <w:pPr>
              <w:jc w:val="both"/>
            </w:pPr>
          </w:p>
          <w:p w14:paraId="4121E20B" w14:textId="77777777" w:rsidR="002877B3" w:rsidRPr="000028C3" w:rsidRDefault="002877B3" w:rsidP="0039664F">
            <w:pPr>
              <w:jc w:val="both"/>
            </w:pPr>
          </w:p>
          <w:p w14:paraId="4BE9A85F" w14:textId="77777777" w:rsidR="002877B3" w:rsidRPr="000028C3" w:rsidRDefault="002877B3" w:rsidP="0039664F">
            <w:pPr>
              <w:jc w:val="both"/>
            </w:pPr>
            <w:r w:rsidRPr="000028C3">
              <w:t>или</w:t>
            </w:r>
          </w:p>
          <w:p w14:paraId="5DED1F53" w14:textId="77777777" w:rsidR="002877B3" w:rsidRPr="000028C3" w:rsidRDefault="002877B3" w:rsidP="0039664F">
            <w:pPr>
              <w:jc w:val="both"/>
            </w:pPr>
          </w:p>
          <w:p w14:paraId="6CD792AF" w14:textId="34B05A4C" w:rsidR="002877B3" w:rsidRPr="000028C3" w:rsidRDefault="002877B3" w:rsidP="0039664F">
            <w:pPr>
              <w:jc w:val="both"/>
            </w:pPr>
            <w:r w:rsidRPr="000028C3">
              <w:t>Публикации в СМИ о компании, ее собственниках или топ-менеджменте, которые способны ограничить конкурентные позиции компании, увеличить стоимость заимствований или затруднить доступ к долговому рынку, ухудшить лояльность к компании контрагентов</w:t>
            </w:r>
            <w:r w:rsidR="00146B29" w:rsidRPr="000028C3">
              <w:t xml:space="preserve"> </w:t>
            </w:r>
          </w:p>
          <w:p w14:paraId="2523341E" w14:textId="77777777" w:rsidR="002877B3" w:rsidRPr="000028C3" w:rsidRDefault="002877B3" w:rsidP="0039664F">
            <w:pPr>
              <w:jc w:val="both"/>
            </w:pPr>
          </w:p>
          <w:p w14:paraId="52933625" w14:textId="77777777" w:rsidR="002877B3" w:rsidRPr="000028C3" w:rsidRDefault="002877B3" w:rsidP="0039664F">
            <w:pPr>
              <w:jc w:val="both"/>
            </w:pPr>
            <w:r w:rsidRPr="000028C3">
              <w:t>или</w:t>
            </w:r>
          </w:p>
          <w:p w14:paraId="7490FBB6" w14:textId="77777777" w:rsidR="002877B3" w:rsidRPr="000028C3" w:rsidRDefault="002877B3" w:rsidP="0039664F">
            <w:pPr>
              <w:jc w:val="both"/>
            </w:pPr>
          </w:p>
          <w:p w14:paraId="79155FE3" w14:textId="77777777" w:rsidR="002877B3" w:rsidRPr="000028C3" w:rsidRDefault="002877B3" w:rsidP="0039664F">
            <w:pPr>
              <w:jc w:val="both"/>
            </w:pPr>
            <w:r w:rsidRPr="000028C3">
              <w:lastRenderedPageBreak/>
              <w:t>В истории объекта рейтинга имеются факты проведения следственных мероприятий (обыски, выемки документов) со стороны правоохранительных органов</w:t>
            </w:r>
          </w:p>
          <w:p w14:paraId="440C8186" w14:textId="77777777" w:rsidR="002877B3" w:rsidRPr="000028C3" w:rsidRDefault="002877B3" w:rsidP="0039664F">
            <w:pPr>
              <w:jc w:val="both"/>
            </w:pPr>
          </w:p>
          <w:p w14:paraId="2ED1C779" w14:textId="77777777" w:rsidR="002877B3" w:rsidRPr="000028C3" w:rsidRDefault="002877B3" w:rsidP="0039664F">
            <w:pPr>
              <w:jc w:val="both"/>
            </w:pPr>
          </w:p>
          <w:p w14:paraId="40DE45F9" w14:textId="77777777" w:rsidR="002877B3" w:rsidRPr="000028C3" w:rsidRDefault="002877B3" w:rsidP="0039664F">
            <w:pPr>
              <w:jc w:val="both"/>
            </w:pPr>
          </w:p>
          <w:p w14:paraId="2A2F3335" w14:textId="77777777" w:rsidR="002877B3" w:rsidRPr="000028C3" w:rsidRDefault="002877B3" w:rsidP="0039664F">
            <w:pPr>
              <w:jc w:val="both"/>
            </w:pPr>
          </w:p>
          <w:p w14:paraId="6FCC323F" w14:textId="77777777" w:rsidR="002877B3" w:rsidRPr="000028C3" w:rsidRDefault="002877B3" w:rsidP="0039664F">
            <w:pPr>
              <w:jc w:val="both"/>
            </w:pPr>
          </w:p>
          <w:p w14:paraId="07B08B5C" w14:textId="77777777" w:rsidR="002877B3" w:rsidRPr="000028C3" w:rsidRDefault="002877B3" w:rsidP="0039664F">
            <w:pPr>
              <w:jc w:val="both"/>
            </w:pPr>
            <w:r w:rsidRPr="000028C3">
              <w:t>или</w:t>
            </w:r>
          </w:p>
          <w:p w14:paraId="1ADEEE43" w14:textId="77777777" w:rsidR="002877B3" w:rsidRPr="000028C3" w:rsidRDefault="002877B3" w:rsidP="0039664F">
            <w:pPr>
              <w:jc w:val="both"/>
            </w:pPr>
          </w:p>
          <w:p w14:paraId="75674FC3" w14:textId="3C96474D" w:rsidR="002877B3" w:rsidRPr="000028C3" w:rsidRDefault="002877B3" w:rsidP="0039664F">
            <w:pPr>
              <w:jc w:val="both"/>
            </w:pPr>
            <w:r w:rsidRPr="000028C3">
              <w:t xml:space="preserve">Подозрения на причастность собственников и </w:t>
            </w:r>
            <w:r w:rsidR="002955F4" w:rsidRPr="002955F4">
              <w:t>(</w:t>
            </w:r>
            <w:r w:rsidRPr="000028C3">
              <w:t>или</w:t>
            </w:r>
            <w:r w:rsidR="002955F4" w:rsidRPr="002955F4">
              <w:t>)</w:t>
            </w:r>
            <w:r w:rsidRPr="000028C3">
              <w:t> топ-менеджмента компании к криминальным структурам (в т.ч. на основе непубличных источников информации)</w:t>
            </w:r>
          </w:p>
        </w:tc>
        <w:tc>
          <w:tcPr>
            <w:tcW w:w="3963" w:type="dxa"/>
            <w:shd w:val="clear" w:color="auto" w:fill="auto"/>
            <w:vAlign w:val="center"/>
          </w:tcPr>
          <w:p w14:paraId="176BDA5D" w14:textId="77777777" w:rsidR="002877B3" w:rsidRPr="000028C3" w:rsidRDefault="002877B3" w:rsidP="0039664F">
            <w:pPr>
              <w:jc w:val="both"/>
            </w:pPr>
            <w:r w:rsidRPr="000028C3">
              <w:lastRenderedPageBreak/>
              <w:t>От 0,5 до 2,5 в зависимости от доли такого собственника в капитале компании / должности топ-менеджера, давности события, его масштаба и степени его влияния на репутацию компании</w:t>
            </w:r>
          </w:p>
          <w:p w14:paraId="1FA4D244" w14:textId="77777777" w:rsidR="002877B3" w:rsidRPr="000028C3" w:rsidRDefault="002877B3" w:rsidP="0039664F">
            <w:pPr>
              <w:jc w:val="both"/>
            </w:pPr>
          </w:p>
          <w:p w14:paraId="11234230" w14:textId="77777777" w:rsidR="002877B3" w:rsidRPr="000028C3" w:rsidRDefault="002877B3" w:rsidP="0039664F">
            <w:pPr>
              <w:jc w:val="both"/>
            </w:pPr>
            <w:r w:rsidRPr="000028C3">
              <w:t>или</w:t>
            </w:r>
          </w:p>
          <w:p w14:paraId="10AEE9DB" w14:textId="77777777" w:rsidR="002877B3" w:rsidRPr="000028C3" w:rsidRDefault="002877B3" w:rsidP="0039664F">
            <w:pPr>
              <w:jc w:val="both"/>
            </w:pPr>
          </w:p>
          <w:p w14:paraId="214E35CD" w14:textId="77777777" w:rsidR="002877B3" w:rsidRPr="000028C3" w:rsidRDefault="002877B3" w:rsidP="0039664F">
            <w:pPr>
              <w:jc w:val="both"/>
            </w:pPr>
            <w:r w:rsidRPr="000028C3">
              <w:t xml:space="preserve">От 0,5 до 2,5 в зависимости от </w:t>
            </w:r>
            <w:r w:rsidRPr="000028C3">
              <w:rPr>
                <w:color w:val="000000"/>
              </w:rPr>
              <w:t xml:space="preserve">текущего и потенциального давления на конкурентные позиции </w:t>
            </w:r>
            <w:r w:rsidRPr="000028C3">
              <w:t>и репутацию компании</w:t>
            </w:r>
          </w:p>
          <w:p w14:paraId="5072B8A3" w14:textId="77777777" w:rsidR="002877B3" w:rsidRPr="000028C3" w:rsidRDefault="002877B3" w:rsidP="0039664F">
            <w:pPr>
              <w:jc w:val="both"/>
            </w:pPr>
          </w:p>
          <w:p w14:paraId="5C2223C6" w14:textId="77777777" w:rsidR="002877B3" w:rsidRPr="000028C3" w:rsidRDefault="002877B3" w:rsidP="0039664F">
            <w:pPr>
              <w:jc w:val="both"/>
            </w:pPr>
            <w:r w:rsidRPr="000028C3">
              <w:t>или</w:t>
            </w:r>
          </w:p>
          <w:p w14:paraId="24C3459D" w14:textId="77777777" w:rsidR="002877B3" w:rsidRPr="000028C3" w:rsidRDefault="002877B3" w:rsidP="0039664F">
            <w:pPr>
              <w:jc w:val="both"/>
            </w:pPr>
          </w:p>
          <w:p w14:paraId="725253FA" w14:textId="1F51EA59" w:rsidR="002877B3" w:rsidRPr="000028C3" w:rsidRDefault="002877B3" w:rsidP="0039664F">
            <w:pPr>
              <w:jc w:val="both"/>
            </w:pPr>
            <w:r w:rsidRPr="000028C3">
              <w:t xml:space="preserve">От 0 до 2,5 в зависимости от давности происшествия и его влияния на репутацию компании. Например, отсутствие </w:t>
            </w:r>
            <w:r w:rsidR="0061096C" w:rsidRPr="000028C3">
              <w:t>вычета</w:t>
            </w:r>
            <w:r w:rsidRPr="000028C3">
              <w:t xml:space="preserve"> возможно в случае смены топ-менеджмента и/или </w:t>
            </w:r>
            <w:r w:rsidRPr="000028C3">
              <w:lastRenderedPageBreak/>
              <w:t xml:space="preserve">контролирующих собственников после </w:t>
            </w:r>
            <w:r w:rsidR="0061096C" w:rsidRPr="000028C3">
              <w:t>проведения следственных мероприятий</w:t>
            </w:r>
            <w:r w:rsidRPr="000028C3">
              <w:t>.</w:t>
            </w:r>
          </w:p>
          <w:p w14:paraId="5B6C83A6" w14:textId="77777777" w:rsidR="002877B3" w:rsidRPr="000028C3" w:rsidRDefault="002877B3" w:rsidP="0039664F">
            <w:pPr>
              <w:jc w:val="both"/>
            </w:pPr>
          </w:p>
          <w:p w14:paraId="6D034B72" w14:textId="77777777" w:rsidR="002877B3" w:rsidRPr="000028C3" w:rsidRDefault="002877B3" w:rsidP="0039664F">
            <w:pPr>
              <w:jc w:val="both"/>
            </w:pPr>
            <w:r w:rsidRPr="000028C3">
              <w:t>или</w:t>
            </w:r>
          </w:p>
          <w:p w14:paraId="327253F1" w14:textId="77777777" w:rsidR="002877B3" w:rsidRPr="000028C3" w:rsidRDefault="002877B3" w:rsidP="0039664F">
            <w:pPr>
              <w:jc w:val="both"/>
            </w:pPr>
          </w:p>
          <w:p w14:paraId="670B2462" w14:textId="77777777" w:rsidR="002877B3" w:rsidRPr="000028C3" w:rsidRDefault="002877B3" w:rsidP="0039664F">
            <w:pPr>
              <w:jc w:val="both"/>
            </w:pPr>
            <w:r w:rsidRPr="000028C3">
              <w:t>От 0 до 2,5 в зависимости от степени связи собственников / топ-менеджеров с криминальными структурами (рассматриваться может, в том числе, родственная связь) таких физических лиц с криминальными структурами</w:t>
            </w:r>
          </w:p>
        </w:tc>
      </w:tr>
      <w:tr w:rsidR="002877B3" w:rsidRPr="000028C3" w14:paraId="18E5701A" w14:textId="77777777" w:rsidTr="00146B29">
        <w:trPr>
          <w:trHeight w:val="20"/>
        </w:trPr>
        <w:tc>
          <w:tcPr>
            <w:tcW w:w="940" w:type="dxa"/>
            <w:shd w:val="clear" w:color="auto" w:fill="auto"/>
            <w:vAlign w:val="center"/>
          </w:tcPr>
          <w:p w14:paraId="099C54A5" w14:textId="77777777" w:rsidR="002877B3" w:rsidRPr="000028C3" w:rsidRDefault="002877B3" w:rsidP="0039664F">
            <w:pPr>
              <w:jc w:val="center"/>
            </w:pPr>
            <w:r w:rsidRPr="000028C3">
              <w:lastRenderedPageBreak/>
              <w:t>2</w:t>
            </w:r>
          </w:p>
        </w:tc>
        <w:tc>
          <w:tcPr>
            <w:tcW w:w="4442" w:type="dxa"/>
            <w:shd w:val="clear" w:color="auto" w:fill="auto"/>
            <w:vAlign w:val="center"/>
          </w:tcPr>
          <w:p w14:paraId="4D6803C6" w14:textId="77777777" w:rsidR="002877B3" w:rsidRPr="000028C3" w:rsidRDefault="002877B3" w:rsidP="0039664F">
            <w:pPr>
              <w:jc w:val="both"/>
            </w:pPr>
            <w:r w:rsidRPr="000028C3">
              <w:t xml:space="preserve">Работа собственников или топ-менеджмента компании (в том числе главного бухгалтера, руководителя службы управления рисками) в иных организациях, которые впоследствии допустили дефолт / лицензия которых была отозвана или которые были переданы на санацию, если данные физлица при этом занимали руководящие должности до дефолта/санации </w:t>
            </w:r>
          </w:p>
        </w:tc>
        <w:tc>
          <w:tcPr>
            <w:tcW w:w="3963" w:type="dxa"/>
            <w:shd w:val="clear" w:color="auto" w:fill="auto"/>
            <w:vAlign w:val="center"/>
          </w:tcPr>
          <w:p w14:paraId="2A65A7DC" w14:textId="77777777" w:rsidR="002877B3" w:rsidRPr="000028C3" w:rsidRDefault="002877B3" w:rsidP="0039664F">
            <w:pPr>
              <w:jc w:val="both"/>
            </w:pPr>
            <w:r w:rsidRPr="000028C3">
              <w:t>От 0 до 2 в зависимости от давности события и доли таких физлиц в капитале компании /должности менеджера</w:t>
            </w:r>
          </w:p>
        </w:tc>
      </w:tr>
      <w:tr w:rsidR="002877B3" w:rsidRPr="000028C3" w14:paraId="2A93718A" w14:textId="77777777" w:rsidTr="00146B29">
        <w:trPr>
          <w:trHeight w:val="20"/>
        </w:trPr>
        <w:tc>
          <w:tcPr>
            <w:tcW w:w="940" w:type="dxa"/>
            <w:shd w:val="clear" w:color="auto" w:fill="auto"/>
            <w:vAlign w:val="center"/>
          </w:tcPr>
          <w:p w14:paraId="350A4C5E" w14:textId="77777777" w:rsidR="002877B3" w:rsidRPr="000028C3" w:rsidRDefault="002877B3" w:rsidP="0039664F">
            <w:pPr>
              <w:pStyle w:val="Default"/>
              <w:jc w:val="center"/>
              <w:rPr>
                <w:rFonts w:ascii="Times New Roman" w:hAnsi="Times New Roman" w:cs="Times New Roman"/>
                <w:color w:val="auto"/>
              </w:rPr>
            </w:pPr>
            <w:r w:rsidRPr="000028C3">
              <w:rPr>
                <w:rFonts w:ascii="Times New Roman" w:hAnsi="Times New Roman" w:cs="Times New Roman"/>
                <w:color w:val="auto"/>
              </w:rPr>
              <w:t>3</w:t>
            </w:r>
          </w:p>
        </w:tc>
        <w:tc>
          <w:tcPr>
            <w:tcW w:w="4442" w:type="dxa"/>
            <w:shd w:val="clear" w:color="auto" w:fill="auto"/>
            <w:vAlign w:val="center"/>
          </w:tcPr>
          <w:p w14:paraId="67209175" w14:textId="24982B81" w:rsidR="002877B3" w:rsidRPr="000028C3" w:rsidRDefault="002877B3" w:rsidP="0039664F">
            <w:pPr>
              <w:pStyle w:val="Default"/>
              <w:jc w:val="both"/>
              <w:rPr>
                <w:rFonts w:ascii="Times New Roman" w:hAnsi="Times New Roman" w:cs="Times New Roman"/>
                <w:color w:val="auto"/>
              </w:rPr>
            </w:pPr>
            <w:r w:rsidRPr="000028C3">
              <w:rPr>
                <w:rFonts w:ascii="Times New Roman" w:hAnsi="Times New Roman" w:cs="Times New Roman"/>
                <w:color w:val="auto"/>
              </w:rPr>
              <w:t xml:space="preserve">Собственниками </w:t>
            </w:r>
            <w:r w:rsidR="00146B29" w:rsidRPr="000028C3">
              <w:rPr>
                <w:rFonts w:ascii="Times New Roman" w:hAnsi="Times New Roman" w:cs="Times New Roman"/>
                <w:color w:val="auto"/>
              </w:rPr>
              <w:t xml:space="preserve">объекта рейтинга </w:t>
            </w:r>
            <w:r w:rsidRPr="000028C3">
              <w:rPr>
                <w:rFonts w:ascii="Times New Roman" w:hAnsi="Times New Roman" w:cs="Times New Roman"/>
                <w:color w:val="auto"/>
              </w:rPr>
              <w:t xml:space="preserve">являются «технические» компании или номинальные лица, при этом реальные бенефициары </w:t>
            </w:r>
            <w:r w:rsidR="0061096C" w:rsidRPr="000028C3">
              <w:rPr>
                <w:rFonts w:ascii="Times New Roman" w:hAnsi="Times New Roman" w:cs="Times New Roman"/>
                <w:color w:val="auto"/>
              </w:rPr>
              <w:t>А</w:t>
            </w:r>
            <w:r w:rsidRPr="000028C3">
              <w:rPr>
                <w:rFonts w:ascii="Times New Roman" w:hAnsi="Times New Roman" w:cs="Times New Roman"/>
                <w:color w:val="auto"/>
              </w:rPr>
              <w:t>гентству не известны</w:t>
            </w:r>
          </w:p>
        </w:tc>
        <w:tc>
          <w:tcPr>
            <w:tcW w:w="3963" w:type="dxa"/>
            <w:shd w:val="clear" w:color="auto" w:fill="auto"/>
            <w:vAlign w:val="center"/>
          </w:tcPr>
          <w:p w14:paraId="67791124" w14:textId="62B79D26" w:rsidR="002877B3" w:rsidRPr="000028C3" w:rsidRDefault="002877B3" w:rsidP="0039664F">
            <w:pPr>
              <w:pStyle w:val="Default"/>
              <w:jc w:val="both"/>
              <w:rPr>
                <w:rFonts w:ascii="Times New Roman" w:hAnsi="Times New Roman" w:cs="Times New Roman"/>
                <w:color w:val="auto"/>
              </w:rPr>
            </w:pPr>
            <w:r w:rsidRPr="000028C3">
              <w:rPr>
                <w:rFonts w:ascii="Times New Roman" w:eastAsia="Times New Roman" w:hAnsi="Times New Roman" w:cs="Times New Roman"/>
                <w:color w:val="auto"/>
                <w:lang w:eastAsia="ru-RU"/>
              </w:rPr>
              <w:t xml:space="preserve">От 0,5 до 2 в зависимости от доли таких собственников в капитале </w:t>
            </w:r>
            <w:r w:rsidRPr="000028C3">
              <w:rPr>
                <w:rFonts w:ascii="Times New Roman" w:hAnsi="Times New Roman" w:cs="Times New Roman"/>
                <w:color w:val="auto"/>
              </w:rPr>
              <w:t xml:space="preserve">компании </w:t>
            </w:r>
            <w:r w:rsidRPr="000028C3">
              <w:rPr>
                <w:rFonts w:ascii="Times New Roman" w:eastAsia="Times New Roman" w:hAnsi="Times New Roman" w:cs="Times New Roman"/>
                <w:color w:val="auto"/>
                <w:lang w:eastAsia="ru-RU"/>
              </w:rPr>
              <w:t>и уровня дополнительных рисков, возникающих из-за непрозрачной структуры собственности</w:t>
            </w:r>
          </w:p>
        </w:tc>
      </w:tr>
      <w:tr w:rsidR="002877B3" w:rsidRPr="000028C3" w14:paraId="1F1A0F3B" w14:textId="77777777" w:rsidTr="00146B29">
        <w:trPr>
          <w:trHeight w:val="20"/>
        </w:trPr>
        <w:tc>
          <w:tcPr>
            <w:tcW w:w="940" w:type="dxa"/>
            <w:shd w:val="clear" w:color="auto" w:fill="auto"/>
            <w:vAlign w:val="center"/>
          </w:tcPr>
          <w:p w14:paraId="75777E57" w14:textId="77777777" w:rsidR="002877B3" w:rsidRPr="000028C3" w:rsidRDefault="002877B3" w:rsidP="0039664F">
            <w:pPr>
              <w:pStyle w:val="Default"/>
              <w:jc w:val="center"/>
              <w:rPr>
                <w:rFonts w:ascii="Times New Roman" w:hAnsi="Times New Roman" w:cs="Times New Roman"/>
                <w:color w:val="auto"/>
              </w:rPr>
            </w:pPr>
            <w:r w:rsidRPr="000028C3">
              <w:rPr>
                <w:rFonts w:ascii="Times New Roman" w:hAnsi="Times New Roman" w:cs="Times New Roman"/>
                <w:color w:val="auto"/>
              </w:rPr>
              <w:t>4</w:t>
            </w:r>
          </w:p>
        </w:tc>
        <w:tc>
          <w:tcPr>
            <w:tcW w:w="4442" w:type="dxa"/>
            <w:shd w:val="clear" w:color="auto" w:fill="auto"/>
            <w:vAlign w:val="center"/>
          </w:tcPr>
          <w:p w14:paraId="0436CD30" w14:textId="301C15AA" w:rsidR="002877B3" w:rsidRPr="000028C3" w:rsidRDefault="002877B3" w:rsidP="0039664F">
            <w:pPr>
              <w:pStyle w:val="Default"/>
              <w:jc w:val="both"/>
              <w:rPr>
                <w:rFonts w:ascii="Times New Roman" w:hAnsi="Times New Roman" w:cs="Times New Roman"/>
                <w:color w:val="auto"/>
              </w:rPr>
            </w:pPr>
            <w:r w:rsidRPr="000028C3">
              <w:rPr>
                <w:rFonts w:ascii="Times New Roman" w:hAnsi="Times New Roman" w:cs="Times New Roman"/>
                <w:color w:val="auto"/>
              </w:rPr>
              <w:t xml:space="preserve">Привлечение судом к субсидиарной ответственности участников (учредителей) и (или) руководителя </w:t>
            </w:r>
            <w:r w:rsidR="00146B29" w:rsidRPr="000028C3">
              <w:rPr>
                <w:rFonts w:ascii="Times New Roman" w:hAnsi="Times New Roman" w:cs="Times New Roman"/>
                <w:color w:val="auto"/>
              </w:rPr>
              <w:t>компании</w:t>
            </w:r>
          </w:p>
        </w:tc>
        <w:tc>
          <w:tcPr>
            <w:tcW w:w="3963" w:type="dxa"/>
            <w:shd w:val="clear" w:color="auto" w:fill="auto"/>
            <w:vAlign w:val="center"/>
          </w:tcPr>
          <w:p w14:paraId="456A6E66" w14:textId="51DF8BB9" w:rsidR="002877B3" w:rsidRPr="000028C3" w:rsidRDefault="002877B3" w:rsidP="0039664F">
            <w:pPr>
              <w:pStyle w:val="Default"/>
              <w:jc w:val="both"/>
              <w:rPr>
                <w:rFonts w:ascii="Times New Roman" w:hAnsi="Times New Roman" w:cs="Times New Roman"/>
                <w:color w:val="auto"/>
              </w:rPr>
            </w:pPr>
            <w:r w:rsidRPr="000028C3">
              <w:rPr>
                <w:rFonts w:ascii="Times New Roman" w:hAnsi="Times New Roman" w:cs="Times New Roman"/>
                <w:color w:val="auto"/>
              </w:rPr>
              <w:t xml:space="preserve">От 0,5 до 2 в зависимости от доли такого собственника в капитале </w:t>
            </w:r>
            <w:r w:rsidR="00146B29" w:rsidRPr="000028C3">
              <w:rPr>
                <w:rFonts w:ascii="Times New Roman" w:hAnsi="Times New Roman" w:cs="Times New Roman"/>
                <w:color w:val="auto"/>
              </w:rPr>
              <w:t xml:space="preserve">объекта рейтинга </w:t>
            </w:r>
            <w:r w:rsidRPr="000028C3">
              <w:rPr>
                <w:rFonts w:ascii="Times New Roman" w:hAnsi="Times New Roman" w:cs="Times New Roman"/>
                <w:color w:val="auto"/>
              </w:rPr>
              <w:t xml:space="preserve">и давности привлечения к субсидиарной ответственности </w:t>
            </w:r>
          </w:p>
        </w:tc>
      </w:tr>
      <w:tr w:rsidR="002877B3" w:rsidRPr="000028C3" w14:paraId="34BA3E0F" w14:textId="77777777" w:rsidTr="00146B29">
        <w:trPr>
          <w:trHeight w:val="20"/>
        </w:trPr>
        <w:tc>
          <w:tcPr>
            <w:tcW w:w="940" w:type="dxa"/>
            <w:shd w:val="clear" w:color="auto" w:fill="auto"/>
            <w:vAlign w:val="center"/>
          </w:tcPr>
          <w:p w14:paraId="45C70B8C" w14:textId="77777777" w:rsidR="002877B3" w:rsidRPr="000028C3" w:rsidRDefault="002877B3" w:rsidP="0039664F">
            <w:pPr>
              <w:jc w:val="center"/>
            </w:pPr>
            <w:r w:rsidRPr="000028C3">
              <w:t>5</w:t>
            </w:r>
          </w:p>
        </w:tc>
        <w:tc>
          <w:tcPr>
            <w:tcW w:w="4442" w:type="dxa"/>
            <w:shd w:val="clear" w:color="auto" w:fill="auto"/>
            <w:vAlign w:val="center"/>
          </w:tcPr>
          <w:p w14:paraId="0012CDC9" w14:textId="77777777" w:rsidR="002877B3" w:rsidRPr="000028C3" w:rsidRDefault="002877B3" w:rsidP="0039664F">
            <w:pPr>
              <w:jc w:val="both"/>
            </w:pPr>
            <w:r w:rsidRPr="000028C3">
              <w:t xml:space="preserve">Привлечение собственников и (или) топ-менеджмента компании к уголовной ответственности </w:t>
            </w:r>
          </w:p>
        </w:tc>
        <w:tc>
          <w:tcPr>
            <w:tcW w:w="3963" w:type="dxa"/>
            <w:shd w:val="clear" w:color="auto" w:fill="auto"/>
            <w:vAlign w:val="center"/>
          </w:tcPr>
          <w:p w14:paraId="6C6D35EA" w14:textId="77777777" w:rsidR="002877B3" w:rsidRPr="000028C3" w:rsidRDefault="002877B3" w:rsidP="0039664F">
            <w:pPr>
              <w:jc w:val="both"/>
            </w:pPr>
            <w:r w:rsidRPr="000028C3">
              <w:t>От 0,5 до 2,5 в зависимости от типа преступления, тяжести наказания и погашения судимости</w:t>
            </w:r>
          </w:p>
        </w:tc>
      </w:tr>
      <w:tr w:rsidR="002877B3" w:rsidRPr="000028C3" w14:paraId="7D1C7DD4" w14:textId="77777777" w:rsidTr="00146B29">
        <w:trPr>
          <w:trHeight w:val="20"/>
        </w:trPr>
        <w:tc>
          <w:tcPr>
            <w:tcW w:w="940" w:type="dxa"/>
            <w:shd w:val="clear" w:color="auto" w:fill="auto"/>
            <w:vAlign w:val="center"/>
          </w:tcPr>
          <w:p w14:paraId="67EB83DD" w14:textId="77777777" w:rsidR="002877B3" w:rsidRPr="000028C3" w:rsidRDefault="002877B3" w:rsidP="0039664F">
            <w:pPr>
              <w:jc w:val="center"/>
            </w:pPr>
            <w:r w:rsidRPr="000028C3">
              <w:t>6</w:t>
            </w:r>
          </w:p>
        </w:tc>
        <w:tc>
          <w:tcPr>
            <w:tcW w:w="4442" w:type="dxa"/>
            <w:shd w:val="clear" w:color="auto" w:fill="auto"/>
            <w:vAlign w:val="center"/>
          </w:tcPr>
          <w:p w14:paraId="512E9AE3" w14:textId="6A5A18C7" w:rsidR="002877B3" w:rsidRPr="000028C3" w:rsidRDefault="002877B3" w:rsidP="0039664F">
            <w:pPr>
              <w:jc w:val="both"/>
            </w:pPr>
            <w:r w:rsidRPr="000028C3">
              <w:t>Нахождение собственника или топ-менеджера</w:t>
            </w:r>
            <w:r w:rsidRPr="000028C3">
              <w:rPr>
                <w:rStyle w:val="a6"/>
                <w:color w:val="000000"/>
              </w:rPr>
              <w:footnoteReference w:id="5"/>
            </w:r>
            <w:r w:rsidRPr="000028C3">
              <w:t xml:space="preserve"> компании в розыске</w:t>
            </w:r>
            <w:r w:rsidRPr="000028C3">
              <w:rPr>
                <w:color w:val="000000"/>
              </w:rPr>
              <w:t xml:space="preserve">, в </w:t>
            </w:r>
            <w:r w:rsidR="00E76BCB" w:rsidRPr="000028C3">
              <w:rPr>
                <w:color w:val="000000"/>
              </w:rPr>
              <w:t>следственном изоляторе</w:t>
            </w:r>
            <w:r w:rsidRPr="000028C3">
              <w:rPr>
                <w:color w:val="000000"/>
              </w:rPr>
              <w:t xml:space="preserve">, под подпиской о невыезде, под домашним арестом и т.д. </w:t>
            </w:r>
            <w:r w:rsidRPr="000028C3">
              <w:t xml:space="preserve">в рамках уголовного преследования (в том числе в прошлом, </w:t>
            </w:r>
            <w:r w:rsidRPr="000028C3">
              <w:rPr>
                <w:color w:val="000000"/>
              </w:rPr>
              <w:t xml:space="preserve">за исключением </w:t>
            </w:r>
            <w:r w:rsidRPr="000028C3">
              <w:rPr>
                <w:color w:val="000000"/>
              </w:rPr>
              <w:lastRenderedPageBreak/>
              <w:t>уголовных процессов, приговор по которым вынесен более 5 лет назад</w:t>
            </w:r>
            <w:r w:rsidRPr="000028C3">
              <w:t>)</w:t>
            </w:r>
          </w:p>
        </w:tc>
        <w:tc>
          <w:tcPr>
            <w:tcW w:w="3963" w:type="dxa"/>
            <w:shd w:val="clear" w:color="auto" w:fill="auto"/>
            <w:vAlign w:val="center"/>
          </w:tcPr>
          <w:p w14:paraId="03F8DBFF" w14:textId="77777777" w:rsidR="002877B3" w:rsidRPr="000028C3" w:rsidRDefault="002877B3" w:rsidP="0039664F">
            <w:pPr>
              <w:jc w:val="both"/>
            </w:pPr>
            <w:r w:rsidRPr="000028C3">
              <w:rPr>
                <w:color w:val="000000"/>
              </w:rPr>
              <w:lastRenderedPageBreak/>
              <w:t xml:space="preserve">От 0 (для компаний, находящихся в государственной собственности на 50% или более) и от 0,5 (для прочих компаний) </w:t>
            </w:r>
            <w:r w:rsidRPr="000028C3">
              <w:t>до 2,5 в зависимости от доли такого собственника в капитале компании, должности топ-</w:t>
            </w:r>
            <w:r w:rsidRPr="000028C3">
              <w:lastRenderedPageBreak/>
              <w:t>менеджера</w:t>
            </w:r>
            <w:r w:rsidRPr="000028C3">
              <w:rPr>
                <w:color w:val="000000"/>
              </w:rPr>
              <w:t>, давности события, снятия уголовной ответственности</w:t>
            </w:r>
          </w:p>
        </w:tc>
      </w:tr>
      <w:tr w:rsidR="002877B3" w:rsidRPr="000028C3" w14:paraId="5ECF8D2D" w14:textId="77777777" w:rsidTr="00146B29">
        <w:trPr>
          <w:trHeight w:val="20"/>
        </w:trPr>
        <w:tc>
          <w:tcPr>
            <w:tcW w:w="940" w:type="dxa"/>
            <w:shd w:val="clear" w:color="auto" w:fill="auto"/>
            <w:vAlign w:val="center"/>
          </w:tcPr>
          <w:p w14:paraId="4914370F" w14:textId="77777777" w:rsidR="002877B3" w:rsidRPr="000028C3" w:rsidRDefault="002877B3" w:rsidP="0039664F">
            <w:pPr>
              <w:jc w:val="center"/>
            </w:pPr>
            <w:r w:rsidRPr="000028C3">
              <w:lastRenderedPageBreak/>
              <w:t>7</w:t>
            </w:r>
          </w:p>
        </w:tc>
        <w:tc>
          <w:tcPr>
            <w:tcW w:w="4442" w:type="dxa"/>
            <w:shd w:val="clear" w:color="auto" w:fill="auto"/>
            <w:vAlign w:val="center"/>
          </w:tcPr>
          <w:p w14:paraId="27911CD5" w14:textId="718C2302" w:rsidR="002877B3" w:rsidRPr="000028C3" w:rsidRDefault="002877B3" w:rsidP="0039664F">
            <w:pPr>
              <w:jc w:val="both"/>
            </w:pPr>
            <w:r w:rsidRPr="000028C3">
              <w:t xml:space="preserve">Наличие исполнительного производства о наложении ареста на имущество </w:t>
            </w:r>
            <w:r w:rsidR="00146B29" w:rsidRPr="000028C3">
              <w:t xml:space="preserve">объекта рейтинга  </w:t>
            </w:r>
            <w:r w:rsidRPr="000028C3">
              <w:t>или его собственников или наличие текущих неурегулированных судебных процессов и разбирательств с участием компании, имеющих существенное значение для его деятельности (в результате реализации которых возможно снижение собственного капитала компании более чем на 10%)</w:t>
            </w:r>
          </w:p>
        </w:tc>
        <w:tc>
          <w:tcPr>
            <w:tcW w:w="3963" w:type="dxa"/>
            <w:shd w:val="clear" w:color="auto" w:fill="auto"/>
            <w:vAlign w:val="center"/>
          </w:tcPr>
          <w:p w14:paraId="050BDDD1" w14:textId="77777777" w:rsidR="002877B3" w:rsidRPr="000028C3" w:rsidRDefault="002877B3" w:rsidP="0039664F">
            <w:pPr>
              <w:jc w:val="both"/>
            </w:pPr>
            <w:r w:rsidRPr="000028C3">
              <w:t xml:space="preserve">От 0,5 до 2,5 в зависимости от: </w:t>
            </w:r>
          </w:p>
          <w:p w14:paraId="33494483" w14:textId="1D757511" w:rsidR="002877B3" w:rsidRPr="000028C3" w:rsidRDefault="002877B3" w:rsidP="0039664F">
            <w:pPr>
              <w:jc w:val="both"/>
            </w:pPr>
            <w:r w:rsidRPr="000028C3">
              <w:t xml:space="preserve">• суммы выплат и доли такого собственника в капитале </w:t>
            </w:r>
            <w:r w:rsidR="00146B29" w:rsidRPr="000028C3">
              <w:t>объекта рейтинга</w:t>
            </w:r>
            <w:r w:rsidRPr="000028C3">
              <w:t>,</w:t>
            </w:r>
          </w:p>
          <w:p w14:paraId="1CD6282A" w14:textId="77777777" w:rsidR="002877B3" w:rsidRPr="000028C3" w:rsidRDefault="002877B3" w:rsidP="0039664F">
            <w:pPr>
              <w:jc w:val="both"/>
            </w:pPr>
            <w:r w:rsidRPr="000028C3">
              <w:t>• перспектив и последствий принятия решения судом не в пользу объекта рейтинга на выполнение компанией нормативных требований</w:t>
            </w:r>
          </w:p>
        </w:tc>
      </w:tr>
      <w:tr w:rsidR="002877B3" w:rsidRPr="000028C3" w14:paraId="167F4BEB" w14:textId="77777777" w:rsidTr="00146B29">
        <w:trPr>
          <w:trHeight w:val="20"/>
        </w:trPr>
        <w:tc>
          <w:tcPr>
            <w:tcW w:w="940" w:type="dxa"/>
            <w:shd w:val="clear" w:color="auto" w:fill="auto"/>
            <w:vAlign w:val="center"/>
          </w:tcPr>
          <w:p w14:paraId="5B67E0D8" w14:textId="77777777" w:rsidR="002877B3" w:rsidRPr="000028C3" w:rsidRDefault="002877B3" w:rsidP="0039664F">
            <w:pPr>
              <w:jc w:val="center"/>
            </w:pPr>
            <w:r w:rsidRPr="000028C3">
              <w:t>8</w:t>
            </w:r>
          </w:p>
        </w:tc>
        <w:tc>
          <w:tcPr>
            <w:tcW w:w="4442" w:type="dxa"/>
            <w:shd w:val="clear" w:color="auto" w:fill="auto"/>
            <w:vAlign w:val="center"/>
          </w:tcPr>
          <w:p w14:paraId="3B29B515" w14:textId="77777777" w:rsidR="002877B3" w:rsidRPr="000028C3" w:rsidRDefault="002877B3" w:rsidP="0039664F">
            <w:pPr>
              <w:jc w:val="both"/>
            </w:pPr>
            <w:r w:rsidRPr="000028C3">
              <w:t>Значительный объем операций без очевидного экономического смысла (например, привлечение дорогих банковских кредитов и их размещение в ценные бумаги/капитал нерезидентов без получения приемлемого уровня дохода)</w:t>
            </w:r>
          </w:p>
        </w:tc>
        <w:tc>
          <w:tcPr>
            <w:tcW w:w="3963" w:type="dxa"/>
            <w:shd w:val="clear" w:color="auto" w:fill="auto"/>
            <w:vAlign w:val="center"/>
          </w:tcPr>
          <w:p w14:paraId="4A14AEB6" w14:textId="77777777" w:rsidR="002877B3" w:rsidRPr="000028C3" w:rsidRDefault="002877B3" w:rsidP="0039664F">
            <w:pPr>
              <w:jc w:val="both"/>
            </w:pPr>
            <w:r w:rsidRPr="000028C3">
              <w:t>От 0 до 1 в зависимости от объема таких операций</w:t>
            </w:r>
          </w:p>
        </w:tc>
      </w:tr>
      <w:tr w:rsidR="002877B3" w:rsidRPr="000028C3" w14:paraId="72CE5345" w14:textId="77777777" w:rsidTr="00146B29">
        <w:trPr>
          <w:trHeight w:val="20"/>
        </w:trPr>
        <w:tc>
          <w:tcPr>
            <w:tcW w:w="940" w:type="dxa"/>
            <w:shd w:val="clear" w:color="auto" w:fill="auto"/>
            <w:vAlign w:val="center"/>
          </w:tcPr>
          <w:p w14:paraId="2C903B02" w14:textId="77777777" w:rsidR="002877B3" w:rsidRPr="000028C3" w:rsidRDefault="002877B3" w:rsidP="0039664F">
            <w:pPr>
              <w:jc w:val="center"/>
            </w:pPr>
            <w:r w:rsidRPr="000028C3">
              <w:t>9</w:t>
            </w:r>
          </w:p>
        </w:tc>
        <w:tc>
          <w:tcPr>
            <w:tcW w:w="4442" w:type="dxa"/>
            <w:shd w:val="clear" w:color="auto" w:fill="auto"/>
            <w:vAlign w:val="center"/>
          </w:tcPr>
          <w:p w14:paraId="34347DE4" w14:textId="77777777" w:rsidR="002877B3" w:rsidRPr="000028C3" w:rsidRDefault="002877B3" w:rsidP="0039664F">
            <w:pPr>
              <w:jc w:val="both"/>
            </w:pPr>
            <w:r w:rsidRPr="000028C3">
              <w:t>Наличие корпоративных конфликтов между владельцами компании, которые потенциально могут негативно повлиять на кредитоспособность компании</w:t>
            </w:r>
          </w:p>
        </w:tc>
        <w:tc>
          <w:tcPr>
            <w:tcW w:w="3963" w:type="dxa"/>
            <w:shd w:val="clear" w:color="auto" w:fill="auto"/>
            <w:vAlign w:val="center"/>
          </w:tcPr>
          <w:p w14:paraId="5CCE5637" w14:textId="77777777" w:rsidR="002877B3" w:rsidRPr="000028C3" w:rsidRDefault="002877B3" w:rsidP="0039664F">
            <w:pPr>
              <w:jc w:val="both"/>
            </w:pPr>
            <w:r w:rsidRPr="000028C3">
              <w:t>От 0,5 до 2,5 в зависимости от перспектив урегулирования конфликта</w:t>
            </w:r>
          </w:p>
        </w:tc>
      </w:tr>
      <w:tr w:rsidR="002877B3" w:rsidRPr="000028C3" w14:paraId="24D527A4" w14:textId="77777777" w:rsidTr="00146B29">
        <w:trPr>
          <w:trHeight w:val="20"/>
        </w:trPr>
        <w:tc>
          <w:tcPr>
            <w:tcW w:w="940" w:type="dxa"/>
            <w:shd w:val="clear" w:color="auto" w:fill="auto"/>
            <w:vAlign w:val="center"/>
          </w:tcPr>
          <w:p w14:paraId="705D6F5B" w14:textId="77777777" w:rsidR="002877B3" w:rsidRPr="000028C3" w:rsidRDefault="002877B3" w:rsidP="0039664F">
            <w:pPr>
              <w:jc w:val="center"/>
            </w:pPr>
            <w:r w:rsidRPr="000028C3">
              <w:t>10</w:t>
            </w:r>
          </w:p>
        </w:tc>
        <w:tc>
          <w:tcPr>
            <w:tcW w:w="4442" w:type="dxa"/>
            <w:shd w:val="clear" w:color="auto" w:fill="auto"/>
            <w:vAlign w:val="center"/>
          </w:tcPr>
          <w:p w14:paraId="4B85E879" w14:textId="77777777" w:rsidR="002877B3" w:rsidRPr="000028C3" w:rsidRDefault="002877B3" w:rsidP="0039664F">
            <w:pPr>
              <w:jc w:val="both"/>
            </w:pPr>
            <w:r w:rsidRPr="000028C3">
              <w:t>В аудиторском заключении (по РСБУ и (или) МСФО) аудитор дал отрицательное заключение / аудитор отказался от выражения мнения</w:t>
            </w:r>
          </w:p>
        </w:tc>
        <w:tc>
          <w:tcPr>
            <w:tcW w:w="3963" w:type="dxa"/>
            <w:shd w:val="clear" w:color="auto" w:fill="auto"/>
            <w:vAlign w:val="center"/>
          </w:tcPr>
          <w:p w14:paraId="6B3451E1" w14:textId="77777777" w:rsidR="002877B3" w:rsidRPr="000028C3" w:rsidRDefault="002877B3" w:rsidP="0039664F">
            <w:pPr>
              <w:jc w:val="both"/>
            </w:pPr>
            <w:r w:rsidRPr="000028C3">
              <w:t xml:space="preserve">2,5, если условие выполняется по последней подготовленной отчетности; </w:t>
            </w:r>
          </w:p>
          <w:p w14:paraId="51362278" w14:textId="77777777" w:rsidR="002877B3" w:rsidRPr="000028C3" w:rsidRDefault="002877B3" w:rsidP="0039664F">
            <w:pPr>
              <w:jc w:val="both"/>
            </w:pPr>
            <w:r w:rsidRPr="000028C3">
              <w:t xml:space="preserve">от 1 до 1,5, если после такого аудиторского заключения есть заключение за следующий период, в котором мнение аудитора </w:t>
            </w:r>
            <w:proofErr w:type="spellStart"/>
            <w:r w:rsidRPr="000028C3">
              <w:t>немодифицированное</w:t>
            </w:r>
            <w:proofErr w:type="spellEnd"/>
          </w:p>
        </w:tc>
      </w:tr>
      <w:tr w:rsidR="002877B3" w:rsidRPr="000028C3" w14:paraId="547E32F1" w14:textId="77777777" w:rsidTr="00146B29">
        <w:trPr>
          <w:trHeight w:val="20"/>
        </w:trPr>
        <w:tc>
          <w:tcPr>
            <w:tcW w:w="940" w:type="dxa"/>
            <w:shd w:val="clear" w:color="auto" w:fill="auto"/>
            <w:vAlign w:val="center"/>
          </w:tcPr>
          <w:p w14:paraId="205E9473" w14:textId="77777777" w:rsidR="002877B3" w:rsidRPr="000028C3" w:rsidRDefault="002877B3" w:rsidP="0039664F">
            <w:pPr>
              <w:jc w:val="center"/>
            </w:pPr>
            <w:r w:rsidRPr="000028C3">
              <w:t>11</w:t>
            </w:r>
          </w:p>
        </w:tc>
        <w:tc>
          <w:tcPr>
            <w:tcW w:w="4442" w:type="dxa"/>
            <w:shd w:val="clear" w:color="auto" w:fill="auto"/>
            <w:vAlign w:val="center"/>
          </w:tcPr>
          <w:p w14:paraId="6771B965" w14:textId="77777777" w:rsidR="002877B3" w:rsidRPr="000028C3" w:rsidRDefault="002877B3" w:rsidP="0039664F">
            <w:pPr>
              <w:jc w:val="both"/>
            </w:pPr>
            <w:r w:rsidRPr="000028C3">
              <w:t>В аудиторском заключении (по РСБУ и (или) МСФО) есть значимые оговорки</w:t>
            </w:r>
          </w:p>
        </w:tc>
        <w:tc>
          <w:tcPr>
            <w:tcW w:w="3963" w:type="dxa"/>
            <w:shd w:val="clear" w:color="auto" w:fill="auto"/>
            <w:vAlign w:val="center"/>
          </w:tcPr>
          <w:p w14:paraId="10E24BAF" w14:textId="77777777" w:rsidR="002877B3" w:rsidRPr="000028C3" w:rsidRDefault="002877B3" w:rsidP="0039664F">
            <w:pPr>
              <w:jc w:val="both"/>
            </w:pPr>
            <w:r w:rsidRPr="000028C3">
              <w:t xml:space="preserve">От 0,5 до 2,5 в зависимости от значимости оговорки и давности такого заключения </w:t>
            </w:r>
          </w:p>
        </w:tc>
      </w:tr>
      <w:tr w:rsidR="002877B3" w:rsidRPr="000028C3" w14:paraId="4D03FDE5" w14:textId="77777777" w:rsidTr="00146B29">
        <w:trPr>
          <w:trHeight w:val="20"/>
        </w:trPr>
        <w:tc>
          <w:tcPr>
            <w:tcW w:w="940" w:type="dxa"/>
            <w:shd w:val="clear" w:color="auto" w:fill="auto"/>
            <w:vAlign w:val="center"/>
          </w:tcPr>
          <w:p w14:paraId="08753480" w14:textId="77777777" w:rsidR="002877B3" w:rsidRPr="000028C3" w:rsidRDefault="002877B3" w:rsidP="0039664F">
            <w:pPr>
              <w:jc w:val="center"/>
            </w:pPr>
            <w:r w:rsidRPr="000028C3">
              <w:t>12</w:t>
            </w:r>
          </w:p>
        </w:tc>
        <w:tc>
          <w:tcPr>
            <w:tcW w:w="4442" w:type="dxa"/>
            <w:shd w:val="clear" w:color="auto" w:fill="auto"/>
            <w:vAlign w:val="center"/>
          </w:tcPr>
          <w:p w14:paraId="136BCA06" w14:textId="77777777" w:rsidR="002877B3" w:rsidRPr="000028C3" w:rsidRDefault="002877B3" w:rsidP="0039664F">
            <w:pPr>
              <w:jc w:val="both"/>
            </w:pPr>
            <w:r w:rsidRPr="000028C3">
              <w:t>Репутация аудитора компании по РСБУ и (или) МСФО по последней подготовленной и заверенной отчетности является сомнительной</w:t>
            </w:r>
            <w:r w:rsidRPr="000028C3">
              <w:rPr>
                <w:rStyle w:val="a6"/>
              </w:rPr>
              <w:footnoteReference w:id="6"/>
            </w:r>
            <w:r w:rsidRPr="000028C3">
              <w:t xml:space="preserve"> (если при этом применяется вычет по одному из 2-х предшествующих пунктов, то вычет за репутацию аудитора не применяется)</w:t>
            </w:r>
          </w:p>
        </w:tc>
        <w:tc>
          <w:tcPr>
            <w:tcW w:w="3963" w:type="dxa"/>
            <w:shd w:val="clear" w:color="auto" w:fill="auto"/>
            <w:vAlign w:val="center"/>
          </w:tcPr>
          <w:p w14:paraId="29321283" w14:textId="77777777" w:rsidR="002877B3" w:rsidRPr="000028C3" w:rsidRDefault="002877B3" w:rsidP="0039664F">
            <w:pPr>
              <w:jc w:val="both"/>
            </w:pPr>
            <w:r w:rsidRPr="000028C3">
              <w:t>От 0,5 до 1,5 в зависимости от:</w:t>
            </w:r>
          </w:p>
          <w:p w14:paraId="00FCE643" w14:textId="77777777" w:rsidR="002877B3" w:rsidRPr="000028C3" w:rsidRDefault="002877B3" w:rsidP="0098669D">
            <w:pPr>
              <w:pStyle w:val="af7"/>
              <w:numPr>
                <w:ilvl w:val="0"/>
                <w:numId w:val="37"/>
              </w:numPr>
              <w:ind w:left="156" w:hanging="142"/>
              <w:jc w:val="both"/>
              <w:rPr>
                <w:rFonts w:ascii="Times New Roman" w:hAnsi="Times New Roman" w:cs="Times New Roman"/>
                <w:szCs w:val="24"/>
              </w:rPr>
            </w:pPr>
            <w:r w:rsidRPr="000028C3">
              <w:rPr>
                <w:rFonts w:ascii="Times New Roman" w:hAnsi="Times New Roman" w:cs="Times New Roman"/>
                <w:szCs w:val="24"/>
              </w:rPr>
              <w:t>репутации аудитора,</w:t>
            </w:r>
          </w:p>
          <w:p w14:paraId="011A5470" w14:textId="77777777" w:rsidR="002877B3" w:rsidRPr="000028C3" w:rsidRDefault="002877B3" w:rsidP="0098669D">
            <w:pPr>
              <w:pStyle w:val="af7"/>
              <w:numPr>
                <w:ilvl w:val="0"/>
                <w:numId w:val="37"/>
              </w:numPr>
              <w:ind w:left="156" w:hanging="142"/>
              <w:jc w:val="both"/>
              <w:rPr>
                <w:rFonts w:ascii="Times New Roman" w:hAnsi="Times New Roman" w:cs="Times New Roman"/>
                <w:szCs w:val="24"/>
              </w:rPr>
            </w:pPr>
            <w:r w:rsidRPr="000028C3">
              <w:rPr>
                <w:rFonts w:ascii="Times New Roman" w:hAnsi="Times New Roman" w:cs="Times New Roman"/>
                <w:szCs w:val="24"/>
              </w:rPr>
              <w:t xml:space="preserve">продолжительности сотрудничества с аудитором, репутация которого оценивается как сомнительная </w:t>
            </w:r>
          </w:p>
          <w:p w14:paraId="6A25F3B9" w14:textId="77777777" w:rsidR="002877B3" w:rsidRPr="000028C3" w:rsidRDefault="002877B3" w:rsidP="0098669D">
            <w:pPr>
              <w:pStyle w:val="af7"/>
              <w:numPr>
                <w:ilvl w:val="0"/>
                <w:numId w:val="37"/>
              </w:numPr>
              <w:ind w:left="156" w:hanging="142"/>
              <w:jc w:val="both"/>
              <w:rPr>
                <w:rFonts w:ascii="Times New Roman" w:hAnsi="Times New Roman" w:cs="Times New Roman"/>
                <w:szCs w:val="24"/>
              </w:rPr>
            </w:pPr>
            <w:r w:rsidRPr="000028C3">
              <w:rPr>
                <w:rFonts w:ascii="Times New Roman" w:hAnsi="Times New Roman" w:cs="Times New Roman"/>
                <w:szCs w:val="24"/>
              </w:rPr>
              <w:t>объема работы аудитора (один или оба вида отчётности)</w:t>
            </w:r>
          </w:p>
        </w:tc>
      </w:tr>
      <w:tr w:rsidR="002877B3" w:rsidRPr="000028C3" w14:paraId="2578AE6A" w14:textId="77777777" w:rsidTr="00146B29">
        <w:trPr>
          <w:trHeight w:val="20"/>
        </w:trPr>
        <w:tc>
          <w:tcPr>
            <w:tcW w:w="940" w:type="dxa"/>
            <w:shd w:val="clear" w:color="auto" w:fill="auto"/>
            <w:vAlign w:val="center"/>
          </w:tcPr>
          <w:p w14:paraId="2D302B2F" w14:textId="77777777" w:rsidR="002877B3" w:rsidRPr="000028C3" w:rsidRDefault="002877B3" w:rsidP="0039664F">
            <w:pPr>
              <w:jc w:val="center"/>
            </w:pPr>
            <w:r w:rsidRPr="000028C3">
              <w:t>13</w:t>
            </w:r>
          </w:p>
        </w:tc>
        <w:tc>
          <w:tcPr>
            <w:tcW w:w="4442" w:type="dxa"/>
            <w:shd w:val="clear" w:color="auto" w:fill="auto"/>
            <w:vAlign w:val="center"/>
          </w:tcPr>
          <w:p w14:paraId="2BF5809E" w14:textId="77777777" w:rsidR="002877B3" w:rsidRPr="000028C3" w:rsidRDefault="002877B3" w:rsidP="0039664F">
            <w:pPr>
              <w:jc w:val="both"/>
            </w:pPr>
            <w:r w:rsidRPr="000028C3">
              <w:t xml:space="preserve">Частая смена собственников и (или) менеджмента компании, которая наносит вред деловой репутации компании, а также негативная деловая репутация </w:t>
            </w:r>
            <w:r w:rsidRPr="000028C3">
              <w:lastRenderedPageBreak/>
              <w:t>прошлых собственников и (или) менеджмента</w:t>
            </w:r>
          </w:p>
        </w:tc>
        <w:tc>
          <w:tcPr>
            <w:tcW w:w="3963" w:type="dxa"/>
            <w:shd w:val="clear" w:color="auto" w:fill="auto"/>
            <w:vAlign w:val="center"/>
          </w:tcPr>
          <w:p w14:paraId="0453FF60" w14:textId="77777777" w:rsidR="002877B3" w:rsidRPr="000028C3" w:rsidRDefault="002877B3" w:rsidP="0039664F">
            <w:pPr>
              <w:jc w:val="both"/>
            </w:pPr>
            <w:r w:rsidRPr="000028C3">
              <w:lastRenderedPageBreak/>
              <w:t xml:space="preserve">От 0 до 2 в зависимости частоты смены собственников и (или) менеджмента компании и силы </w:t>
            </w:r>
            <w:r w:rsidRPr="000028C3">
              <w:lastRenderedPageBreak/>
              <w:t>негативного влияния этих событий на деловую репутацию компании</w:t>
            </w:r>
          </w:p>
        </w:tc>
      </w:tr>
      <w:tr w:rsidR="002877B3" w:rsidRPr="000028C3" w14:paraId="4AFC034D" w14:textId="77777777" w:rsidTr="00146B29">
        <w:trPr>
          <w:trHeight w:val="20"/>
        </w:trPr>
        <w:tc>
          <w:tcPr>
            <w:tcW w:w="940" w:type="dxa"/>
            <w:shd w:val="clear" w:color="auto" w:fill="auto"/>
            <w:vAlign w:val="center"/>
          </w:tcPr>
          <w:p w14:paraId="21C7D640" w14:textId="77777777" w:rsidR="002877B3" w:rsidRPr="000028C3" w:rsidRDefault="002877B3" w:rsidP="0039664F">
            <w:pPr>
              <w:pStyle w:val="Default"/>
              <w:jc w:val="center"/>
              <w:rPr>
                <w:rFonts w:ascii="Times New Roman" w:eastAsia="Times New Roman" w:hAnsi="Times New Roman" w:cs="Times New Roman"/>
                <w:color w:val="auto"/>
                <w:lang w:eastAsia="ru-RU"/>
              </w:rPr>
            </w:pPr>
            <w:r w:rsidRPr="000028C3">
              <w:rPr>
                <w:rFonts w:ascii="Times New Roman" w:hAnsi="Times New Roman" w:cs="Times New Roman"/>
                <w:color w:val="auto"/>
              </w:rPr>
              <w:lastRenderedPageBreak/>
              <w:t>14</w:t>
            </w:r>
          </w:p>
        </w:tc>
        <w:tc>
          <w:tcPr>
            <w:tcW w:w="4442" w:type="dxa"/>
            <w:shd w:val="clear" w:color="auto" w:fill="auto"/>
            <w:vAlign w:val="center"/>
          </w:tcPr>
          <w:p w14:paraId="0A732281" w14:textId="77777777" w:rsidR="002877B3" w:rsidRPr="000028C3" w:rsidRDefault="002877B3" w:rsidP="0039664F">
            <w:pPr>
              <w:pStyle w:val="Default"/>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Кредитная история не безупречна</w:t>
            </w:r>
          </w:p>
        </w:tc>
        <w:tc>
          <w:tcPr>
            <w:tcW w:w="3963" w:type="dxa"/>
            <w:shd w:val="clear" w:color="auto" w:fill="auto"/>
            <w:vAlign w:val="center"/>
          </w:tcPr>
          <w:p w14:paraId="7DFF6CC0" w14:textId="77777777" w:rsidR="002877B3" w:rsidRPr="000028C3" w:rsidRDefault="002877B3" w:rsidP="0039664F">
            <w:pPr>
              <w:pStyle w:val="Default"/>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От 0 до 2,5 в зависимости от объемов и сроков неисполнения обязательств и давности таких событий</w:t>
            </w:r>
          </w:p>
        </w:tc>
      </w:tr>
      <w:tr w:rsidR="002877B3" w:rsidRPr="000028C3" w14:paraId="4FF687BF" w14:textId="77777777" w:rsidTr="00146B29">
        <w:trPr>
          <w:trHeight w:val="20"/>
        </w:trPr>
        <w:tc>
          <w:tcPr>
            <w:tcW w:w="940" w:type="dxa"/>
            <w:shd w:val="clear" w:color="auto" w:fill="auto"/>
            <w:vAlign w:val="center"/>
          </w:tcPr>
          <w:p w14:paraId="41177D0F" w14:textId="77777777" w:rsidR="002877B3" w:rsidRPr="000028C3" w:rsidRDefault="002877B3" w:rsidP="0039664F">
            <w:pPr>
              <w:tabs>
                <w:tab w:val="left" w:pos="709"/>
              </w:tabs>
              <w:contextualSpacing/>
              <w:jc w:val="center"/>
            </w:pPr>
            <w:r w:rsidRPr="000028C3">
              <w:t>15</w:t>
            </w:r>
          </w:p>
        </w:tc>
        <w:tc>
          <w:tcPr>
            <w:tcW w:w="4442" w:type="dxa"/>
            <w:shd w:val="clear" w:color="auto" w:fill="auto"/>
            <w:vAlign w:val="center"/>
          </w:tcPr>
          <w:p w14:paraId="3D258B5B" w14:textId="77777777" w:rsidR="002877B3" w:rsidRPr="000028C3" w:rsidRDefault="002877B3" w:rsidP="0039664F">
            <w:pPr>
              <w:tabs>
                <w:tab w:val="left" w:pos="709"/>
              </w:tabs>
              <w:contextualSpacing/>
              <w:jc w:val="both"/>
            </w:pPr>
            <w:r w:rsidRPr="000028C3">
              <w:t>Излишне деконцентрированная структура собственности (ни один из конечных собственников не владеет долей свыше 10% капитала) и (или) отсутствие среди топ-менеджмента собственников компании</w:t>
            </w:r>
          </w:p>
        </w:tc>
        <w:tc>
          <w:tcPr>
            <w:tcW w:w="3963" w:type="dxa"/>
            <w:shd w:val="clear" w:color="auto" w:fill="auto"/>
            <w:vAlign w:val="center"/>
          </w:tcPr>
          <w:p w14:paraId="645FF2E8" w14:textId="77777777" w:rsidR="002877B3" w:rsidRPr="000028C3" w:rsidRDefault="002877B3" w:rsidP="0039664F">
            <w:pPr>
              <w:pStyle w:val="Default"/>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 xml:space="preserve">От 0 до 2 в зависимости от дробления долей владения и присутствия среди топ-менеджмента ключевых собственников (либо их представителей) </w:t>
            </w:r>
          </w:p>
        </w:tc>
      </w:tr>
      <w:tr w:rsidR="002877B3" w:rsidRPr="000028C3" w14:paraId="7399B429" w14:textId="77777777" w:rsidTr="00146B29">
        <w:trPr>
          <w:trHeight w:val="20"/>
        </w:trPr>
        <w:tc>
          <w:tcPr>
            <w:tcW w:w="940" w:type="dxa"/>
            <w:shd w:val="clear" w:color="auto" w:fill="auto"/>
            <w:vAlign w:val="center"/>
          </w:tcPr>
          <w:p w14:paraId="3FC27F95" w14:textId="77777777" w:rsidR="002877B3" w:rsidRPr="000028C3" w:rsidRDefault="002877B3" w:rsidP="0039664F">
            <w:pPr>
              <w:pStyle w:val="Default"/>
              <w:jc w:val="center"/>
              <w:rPr>
                <w:rFonts w:ascii="Times New Roman" w:eastAsia="Times New Roman" w:hAnsi="Times New Roman" w:cs="Times New Roman"/>
                <w:color w:val="auto"/>
                <w:lang w:eastAsia="ru-RU"/>
              </w:rPr>
            </w:pPr>
            <w:r w:rsidRPr="000028C3">
              <w:rPr>
                <w:rFonts w:ascii="Times New Roman" w:hAnsi="Times New Roman" w:cs="Times New Roman"/>
                <w:color w:val="auto"/>
              </w:rPr>
              <w:t>16</w:t>
            </w:r>
          </w:p>
        </w:tc>
        <w:tc>
          <w:tcPr>
            <w:tcW w:w="4442" w:type="dxa"/>
            <w:shd w:val="clear" w:color="auto" w:fill="auto"/>
            <w:vAlign w:val="center"/>
          </w:tcPr>
          <w:p w14:paraId="23A53EC3" w14:textId="29178E17" w:rsidR="002877B3" w:rsidRPr="000028C3" w:rsidRDefault="002877B3" w:rsidP="0039664F">
            <w:pPr>
              <w:pStyle w:val="Default"/>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 xml:space="preserve">Финансовые инструменты компании активно используются или, по мнению, </w:t>
            </w:r>
            <w:r w:rsidR="00E76BCB" w:rsidRPr="000028C3">
              <w:rPr>
                <w:rFonts w:ascii="Times New Roman" w:eastAsia="Times New Roman" w:hAnsi="Times New Roman" w:cs="Times New Roman"/>
                <w:color w:val="auto"/>
                <w:lang w:eastAsia="ru-RU"/>
              </w:rPr>
              <w:t>А</w:t>
            </w:r>
            <w:r w:rsidRPr="000028C3">
              <w:rPr>
                <w:rFonts w:ascii="Times New Roman" w:eastAsia="Times New Roman" w:hAnsi="Times New Roman" w:cs="Times New Roman"/>
                <w:color w:val="auto"/>
                <w:lang w:eastAsia="ru-RU"/>
              </w:rPr>
              <w:t>гентства, с высокой вероятностью могут использоваться в схемных (т.е. позволяющих формально выполнить требования законодательства, при этом нарушив их экономическую суть) операциях других компаний</w:t>
            </w:r>
          </w:p>
        </w:tc>
        <w:tc>
          <w:tcPr>
            <w:tcW w:w="3963" w:type="dxa"/>
            <w:shd w:val="clear" w:color="auto" w:fill="auto"/>
            <w:vAlign w:val="center"/>
          </w:tcPr>
          <w:p w14:paraId="15658B32" w14:textId="73F5B155" w:rsidR="002877B3" w:rsidRPr="000028C3" w:rsidRDefault="002877B3" w:rsidP="0039664F">
            <w:pPr>
              <w:pStyle w:val="Default"/>
              <w:jc w:val="both"/>
              <w:rPr>
                <w:rFonts w:ascii="Times New Roman" w:eastAsia="Times New Roman" w:hAnsi="Times New Roman" w:cs="Times New Roman"/>
                <w:color w:val="auto"/>
                <w:lang w:eastAsia="ru-RU"/>
              </w:rPr>
            </w:pPr>
            <w:r w:rsidRPr="000028C3">
              <w:rPr>
                <w:rFonts w:ascii="Times New Roman" w:eastAsia="Times New Roman" w:hAnsi="Times New Roman" w:cs="Times New Roman"/>
                <w:color w:val="auto"/>
                <w:lang w:eastAsia="ru-RU"/>
              </w:rPr>
              <w:t>От 0 до 2,5 в зависимости от масштабов схемных операций и связанных с этим регулятивных рисков</w:t>
            </w:r>
          </w:p>
        </w:tc>
      </w:tr>
      <w:tr w:rsidR="002877B3" w:rsidRPr="000028C3" w14:paraId="432D74D2" w14:textId="77777777" w:rsidTr="00146B29">
        <w:tblPrEx>
          <w:tblCellMar>
            <w:left w:w="0" w:type="dxa"/>
            <w:right w:w="0" w:type="dxa"/>
          </w:tblCellMar>
        </w:tblPrEx>
        <w:trPr>
          <w:trHeight w:val="20"/>
        </w:trPr>
        <w:tc>
          <w:tcPr>
            <w:tcW w:w="940" w:type="dxa"/>
            <w:shd w:val="clear" w:color="auto" w:fill="auto"/>
            <w:vAlign w:val="center"/>
          </w:tcPr>
          <w:p w14:paraId="6AA16F2B" w14:textId="77777777" w:rsidR="002877B3" w:rsidRPr="000028C3" w:rsidRDefault="002877B3" w:rsidP="0039664F">
            <w:pPr>
              <w:jc w:val="center"/>
            </w:pPr>
            <w:r w:rsidRPr="000028C3">
              <w:t>17</w:t>
            </w:r>
          </w:p>
        </w:tc>
        <w:tc>
          <w:tcPr>
            <w:tcW w:w="4442" w:type="dxa"/>
            <w:shd w:val="clear" w:color="auto" w:fill="auto"/>
            <w:tcMar>
              <w:top w:w="0" w:type="dxa"/>
              <w:left w:w="108" w:type="dxa"/>
              <w:bottom w:w="0" w:type="dxa"/>
              <w:right w:w="108" w:type="dxa"/>
            </w:tcMar>
            <w:vAlign w:val="center"/>
          </w:tcPr>
          <w:p w14:paraId="4E32C293" w14:textId="33A11279" w:rsidR="002877B3" w:rsidRPr="000028C3" w:rsidRDefault="002877B3" w:rsidP="0039664F">
            <w:pPr>
              <w:jc w:val="both"/>
            </w:pPr>
            <w:r w:rsidRPr="000028C3">
              <w:t xml:space="preserve">Наличие предупреждений / штрафов / приостановки допуска к торгам со стороны </w:t>
            </w:r>
            <w:r w:rsidR="00E76BCB" w:rsidRPr="000028C3">
              <w:t>б</w:t>
            </w:r>
            <w:r w:rsidRPr="000028C3">
              <w:t>иржи (организатора торгов)</w:t>
            </w:r>
          </w:p>
        </w:tc>
        <w:tc>
          <w:tcPr>
            <w:tcW w:w="3963" w:type="dxa"/>
            <w:shd w:val="clear" w:color="auto" w:fill="auto"/>
            <w:tcMar>
              <w:top w:w="0" w:type="dxa"/>
              <w:left w:w="108" w:type="dxa"/>
              <w:bottom w:w="0" w:type="dxa"/>
              <w:right w:w="108" w:type="dxa"/>
            </w:tcMar>
            <w:vAlign w:val="center"/>
          </w:tcPr>
          <w:p w14:paraId="0C5F6835" w14:textId="77777777" w:rsidR="002877B3" w:rsidRPr="000028C3" w:rsidRDefault="002877B3" w:rsidP="0039664F">
            <w:pPr>
              <w:jc w:val="both"/>
            </w:pPr>
            <w:r w:rsidRPr="000028C3">
              <w:t>От 0,5 до 2,5 в зависимости от значимости предупреждений со стороны биржи, потенциального влияния на бизнес объекта рейтинга</w:t>
            </w:r>
          </w:p>
        </w:tc>
      </w:tr>
      <w:tr w:rsidR="002877B3" w:rsidRPr="000028C3" w14:paraId="07E42C39" w14:textId="77777777" w:rsidTr="00146B29">
        <w:tblPrEx>
          <w:tblCellMar>
            <w:left w:w="0" w:type="dxa"/>
            <w:right w:w="0" w:type="dxa"/>
          </w:tblCellMar>
        </w:tblPrEx>
        <w:trPr>
          <w:trHeight w:val="820"/>
        </w:trPr>
        <w:tc>
          <w:tcPr>
            <w:tcW w:w="940" w:type="dxa"/>
            <w:shd w:val="clear" w:color="auto" w:fill="auto"/>
            <w:vAlign w:val="center"/>
          </w:tcPr>
          <w:p w14:paraId="41E785A3" w14:textId="087A3D5F" w:rsidR="002877B3" w:rsidRPr="000028C3" w:rsidRDefault="00EB4C6D" w:rsidP="0039664F">
            <w:pPr>
              <w:jc w:val="center"/>
            </w:pPr>
            <w:r>
              <w:t>18</w:t>
            </w:r>
          </w:p>
        </w:tc>
        <w:tc>
          <w:tcPr>
            <w:tcW w:w="4442" w:type="dxa"/>
            <w:shd w:val="clear" w:color="auto" w:fill="auto"/>
            <w:tcMar>
              <w:top w:w="0" w:type="dxa"/>
              <w:left w:w="108" w:type="dxa"/>
              <w:bottom w:w="0" w:type="dxa"/>
              <w:right w:w="108" w:type="dxa"/>
            </w:tcMar>
            <w:vAlign w:val="center"/>
          </w:tcPr>
          <w:p w14:paraId="69FEA6E3" w14:textId="67488254" w:rsidR="002877B3" w:rsidRPr="000028C3" w:rsidRDefault="002877B3" w:rsidP="0039664F">
            <w:pPr>
              <w:jc w:val="both"/>
            </w:pPr>
            <w:r w:rsidRPr="000028C3">
              <w:t>У компании и</w:t>
            </w:r>
            <w:r w:rsidR="002955F4" w:rsidRPr="002955F4">
              <w:t xml:space="preserve"> (</w:t>
            </w:r>
            <w:r w:rsidRPr="000028C3">
              <w:t>или</w:t>
            </w:r>
            <w:r w:rsidR="002955F4" w:rsidRPr="002955F4">
              <w:t>)</w:t>
            </w:r>
            <w:r w:rsidRPr="000028C3">
              <w:t xml:space="preserve"> участников / акционеров, доля владения которых 25% и более в уставном капитале объекта рейтинга, были или есть просроченные обязательства перед бюджетом и </w:t>
            </w:r>
            <w:r w:rsidR="002955F4" w:rsidRPr="002955F4">
              <w:t>(</w:t>
            </w:r>
            <w:r w:rsidRPr="000028C3">
              <w:t>или</w:t>
            </w:r>
            <w:r w:rsidR="002955F4" w:rsidRPr="002955F4">
              <w:t>)</w:t>
            </w:r>
            <w:r w:rsidRPr="000028C3">
              <w:t xml:space="preserve"> внебюджетными фондами, а также кредиторами сроком более 30 календарных дней</w:t>
            </w:r>
          </w:p>
        </w:tc>
        <w:tc>
          <w:tcPr>
            <w:tcW w:w="3963" w:type="dxa"/>
            <w:shd w:val="clear" w:color="auto" w:fill="auto"/>
            <w:tcMar>
              <w:top w:w="0" w:type="dxa"/>
              <w:left w:w="108" w:type="dxa"/>
              <w:bottom w:w="0" w:type="dxa"/>
              <w:right w:w="108" w:type="dxa"/>
            </w:tcMar>
            <w:vAlign w:val="center"/>
          </w:tcPr>
          <w:p w14:paraId="69554926" w14:textId="77777777" w:rsidR="002877B3" w:rsidRPr="000028C3" w:rsidRDefault="002877B3" w:rsidP="0039664F">
            <w:pPr>
              <w:jc w:val="both"/>
            </w:pPr>
            <w:r w:rsidRPr="000028C3">
              <w:t>От 0,5 до 2 в зависимости от распространения в СМИ этой информации, срока просроченной задолженности, влияния этой информации на репутацию объекта рейтинга</w:t>
            </w:r>
          </w:p>
        </w:tc>
      </w:tr>
      <w:tr w:rsidR="002877B3" w:rsidRPr="000028C3" w14:paraId="3A8DE032" w14:textId="77777777" w:rsidTr="00146B29">
        <w:tblPrEx>
          <w:tblCellMar>
            <w:left w:w="0" w:type="dxa"/>
            <w:right w:w="0" w:type="dxa"/>
          </w:tblCellMar>
        </w:tblPrEx>
        <w:trPr>
          <w:trHeight w:val="820"/>
        </w:trPr>
        <w:tc>
          <w:tcPr>
            <w:tcW w:w="940" w:type="dxa"/>
            <w:shd w:val="clear" w:color="auto" w:fill="auto"/>
            <w:vAlign w:val="center"/>
          </w:tcPr>
          <w:p w14:paraId="57812C05" w14:textId="10BB75B8" w:rsidR="002877B3" w:rsidRPr="000028C3" w:rsidRDefault="00EB4C6D" w:rsidP="0039664F">
            <w:pPr>
              <w:jc w:val="center"/>
            </w:pPr>
            <w:r>
              <w:t>19</w:t>
            </w:r>
          </w:p>
        </w:tc>
        <w:tc>
          <w:tcPr>
            <w:tcW w:w="4442" w:type="dxa"/>
            <w:shd w:val="clear" w:color="auto" w:fill="auto"/>
            <w:tcMar>
              <w:top w:w="0" w:type="dxa"/>
              <w:left w:w="108" w:type="dxa"/>
              <w:bottom w:w="0" w:type="dxa"/>
              <w:right w:w="108" w:type="dxa"/>
            </w:tcMar>
            <w:vAlign w:val="center"/>
          </w:tcPr>
          <w:p w14:paraId="1182A731" w14:textId="77777777" w:rsidR="002877B3" w:rsidRPr="000028C3" w:rsidRDefault="002877B3" w:rsidP="0039664F">
            <w:pPr>
              <w:jc w:val="both"/>
            </w:pPr>
            <w:r w:rsidRPr="000028C3">
              <w:t>Наличие лиц, контролирующих 10% и более в уставном капитале компании, которые находятся в стадии ликвидации (банкротства)</w:t>
            </w:r>
          </w:p>
        </w:tc>
        <w:tc>
          <w:tcPr>
            <w:tcW w:w="3963" w:type="dxa"/>
            <w:shd w:val="clear" w:color="auto" w:fill="auto"/>
            <w:tcMar>
              <w:top w:w="0" w:type="dxa"/>
              <w:left w:w="108" w:type="dxa"/>
              <w:bottom w:w="0" w:type="dxa"/>
              <w:right w:w="108" w:type="dxa"/>
            </w:tcMar>
            <w:vAlign w:val="center"/>
          </w:tcPr>
          <w:p w14:paraId="5C54C170" w14:textId="77777777" w:rsidR="002877B3" w:rsidRPr="000028C3" w:rsidRDefault="002877B3" w:rsidP="0039664F">
            <w:pPr>
              <w:jc w:val="both"/>
            </w:pPr>
            <w:r w:rsidRPr="000028C3">
              <w:t>От 0,5 до 2 в зависимости от доли таких собственников в капитале объекта рейтинга</w:t>
            </w:r>
          </w:p>
        </w:tc>
      </w:tr>
      <w:tr w:rsidR="002877B3" w:rsidRPr="000028C3" w14:paraId="1C6EA9AB" w14:textId="77777777" w:rsidTr="00146B29">
        <w:tblPrEx>
          <w:tblCellMar>
            <w:left w:w="0" w:type="dxa"/>
            <w:right w:w="0" w:type="dxa"/>
          </w:tblCellMar>
        </w:tblPrEx>
        <w:trPr>
          <w:trHeight w:val="820"/>
        </w:trPr>
        <w:tc>
          <w:tcPr>
            <w:tcW w:w="940" w:type="dxa"/>
            <w:shd w:val="clear" w:color="auto" w:fill="auto"/>
            <w:vAlign w:val="center"/>
          </w:tcPr>
          <w:p w14:paraId="6FDEB753" w14:textId="1578CA7D" w:rsidR="002877B3" w:rsidRPr="000028C3" w:rsidRDefault="00EB4C6D" w:rsidP="0039664F">
            <w:pPr>
              <w:jc w:val="center"/>
            </w:pPr>
            <w:r>
              <w:t>20</w:t>
            </w:r>
          </w:p>
        </w:tc>
        <w:tc>
          <w:tcPr>
            <w:tcW w:w="4442" w:type="dxa"/>
            <w:shd w:val="clear" w:color="auto" w:fill="auto"/>
            <w:tcMar>
              <w:top w:w="0" w:type="dxa"/>
              <w:left w:w="108" w:type="dxa"/>
              <w:bottom w:w="0" w:type="dxa"/>
              <w:right w:w="108" w:type="dxa"/>
            </w:tcMar>
            <w:vAlign w:val="center"/>
          </w:tcPr>
          <w:p w14:paraId="4E2BF133" w14:textId="77777777" w:rsidR="002877B3" w:rsidRPr="000028C3" w:rsidRDefault="002877B3" w:rsidP="0039664F">
            <w:pPr>
              <w:jc w:val="both"/>
            </w:pPr>
            <w:r w:rsidRPr="000028C3">
              <w:t>Если собственником объекта рейтинга является организация, работающая на регулируемом рынке, при этом у нее отозвана / аннулирована / приостановлена лицензия, без которой она не может осуществлять дальнейшую деятельность</w:t>
            </w:r>
          </w:p>
        </w:tc>
        <w:tc>
          <w:tcPr>
            <w:tcW w:w="3963" w:type="dxa"/>
            <w:shd w:val="clear" w:color="auto" w:fill="auto"/>
            <w:tcMar>
              <w:top w:w="0" w:type="dxa"/>
              <w:left w:w="108" w:type="dxa"/>
              <w:bottom w:w="0" w:type="dxa"/>
              <w:right w:w="108" w:type="dxa"/>
            </w:tcMar>
            <w:vAlign w:val="center"/>
          </w:tcPr>
          <w:p w14:paraId="06D109B9" w14:textId="77777777" w:rsidR="002877B3" w:rsidRPr="000028C3" w:rsidRDefault="002877B3" w:rsidP="0039664F">
            <w:pPr>
              <w:jc w:val="both"/>
            </w:pPr>
            <w:r w:rsidRPr="000028C3">
              <w:t>От 0,5 до 1 в зависимости от доли такого собственника в структуре собственности объекта рейтинга</w:t>
            </w:r>
          </w:p>
        </w:tc>
      </w:tr>
      <w:bookmarkEnd w:id="27"/>
    </w:tbl>
    <w:p w14:paraId="5C6FC615" w14:textId="77777777" w:rsidR="002877B3" w:rsidRPr="000028C3" w:rsidRDefault="002877B3" w:rsidP="0039664F">
      <w:pPr>
        <w:jc w:val="both"/>
      </w:pPr>
    </w:p>
    <w:p w14:paraId="470EFFFA" w14:textId="04FF33E1" w:rsidR="00611345" w:rsidRPr="000028C3" w:rsidRDefault="00611345" w:rsidP="0039664F">
      <w:pPr>
        <w:pStyle w:val="ad"/>
        <w:spacing w:before="0" w:beforeAutospacing="0" w:after="0" w:afterAutospacing="0"/>
        <w:ind w:firstLine="567"/>
        <w:jc w:val="both"/>
      </w:pPr>
      <w:r w:rsidRPr="000028C3">
        <w:t>Если суммарный вычет составляет 2 или более балла, то оценка фактора «</w:t>
      </w:r>
      <w:r w:rsidR="00E76BCB" w:rsidRPr="000028C3">
        <w:t>Д</w:t>
      </w:r>
      <w:r w:rsidRPr="000028C3">
        <w:t xml:space="preserve">еловая репутация» </w:t>
      </w:r>
      <w:r w:rsidR="00E76BCB" w:rsidRPr="000028C3">
        <w:t>устанавливается н</w:t>
      </w:r>
      <w:r w:rsidR="00EB4C6D">
        <w:t>а</w:t>
      </w:r>
      <w:r w:rsidR="00E76BCB" w:rsidRPr="000028C3">
        <w:t xml:space="preserve"> уровне</w:t>
      </w:r>
      <w:r w:rsidRPr="000028C3">
        <w:t xml:space="preserve"> -1. Если итоговый вычет составляет 2,5 балла, то выделяется умеренный стресс-фактор за деловую репутацию, если вычет составляет 3 или более балла, то выделяется сильный стресс-фактор за деловую репутацию. </w:t>
      </w:r>
    </w:p>
    <w:p w14:paraId="78526F13" w14:textId="77777777" w:rsidR="00611345" w:rsidRPr="000028C3" w:rsidRDefault="00611345" w:rsidP="0039664F">
      <w:pPr>
        <w:ind w:firstLine="567"/>
        <w:jc w:val="both"/>
      </w:pPr>
      <w:r w:rsidRPr="000028C3">
        <w:t>Возможные корректировки балла, не влияющие на стресс-фактор за деловую репутацию:</w:t>
      </w:r>
    </w:p>
    <w:p w14:paraId="6C36E1B3" w14:textId="5BABEAFE" w:rsidR="00611345" w:rsidRPr="000028C3" w:rsidRDefault="00611345" w:rsidP="0098669D">
      <w:pPr>
        <w:pStyle w:val="af7"/>
        <w:numPr>
          <w:ilvl w:val="0"/>
          <w:numId w:val="38"/>
        </w:numPr>
        <w:jc w:val="both"/>
        <w:rPr>
          <w:rFonts w:ascii="Times New Roman" w:hAnsi="Times New Roman" w:cs="Times New Roman"/>
        </w:rPr>
      </w:pPr>
      <w:r w:rsidRPr="000028C3">
        <w:rPr>
          <w:rFonts w:ascii="Times New Roman" w:hAnsi="Times New Roman" w:cs="Times New Roman"/>
        </w:rPr>
        <w:lastRenderedPageBreak/>
        <w:t xml:space="preserve">при отсутствии публичной кредитной истории (рыночные выпуски облигаций, публичные сделки по синдицированному кредитованию) максимальная оценка </w:t>
      </w:r>
      <w:r w:rsidR="00E76BCB" w:rsidRPr="000028C3">
        <w:rPr>
          <w:rFonts w:ascii="Times New Roman" w:hAnsi="Times New Roman" w:cs="Times New Roman"/>
        </w:rPr>
        <w:t>ограничивается уровнем</w:t>
      </w:r>
      <w:r w:rsidRPr="000028C3">
        <w:rPr>
          <w:rFonts w:ascii="Times New Roman" w:hAnsi="Times New Roman" w:cs="Times New Roman"/>
        </w:rPr>
        <w:t xml:space="preserve"> 0,5;</w:t>
      </w:r>
    </w:p>
    <w:p w14:paraId="3337DCD6" w14:textId="075FAD60" w:rsidR="00215FCC" w:rsidRPr="000028C3" w:rsidRDefault="00215FCC" w:rsidP="0098669D">
      <w:pPr>
        <w:pStyle w:val="af7"/>
        <w:numPr>
          <w:ilvl w:val="0"/>
          <w:numId w:val="38"/>
        </w:numPr>
        <w:jc w:val="both"/>
        <w:rPr>
          <w:rFonts w:ascii="Times New Roman" w:hAnsi="Times New Roman" w:cs="Times New Roman"/>
        </w:rPr>
      </w:pPr>
      <w:r w:rsidRPr="000028C3">
        <w:rPr>
          <w:rFonts w:ascii="Times New Roman" w:hAnsi="Times New Roman" w:cs="Times New Roman"/>
        </w:rPr>
        <w:t>при отсутствии аудированной отч</w:t>
      </w:r>
      <w:r w:rsidR="00E76BCB" w:rsidRPr="000028C3">
        <w:rPr>
          <w:rFonts w:ascii="Times New Roman" w:hAnsi="Times New Roman" w:cs="Times New Roman"/>
        </w:rPr>
        <w:t>е</w:t>
      </w:r>
      <w:r w:rsidRPr="000028C3">
        <w:rPr>
          <w:rFonts w:ascii="Times New Roman" w:hAnsi="Times New Roman" w:cs="Times New Roman"/>
        </w:rPr>
        <w:t>тности по МСФО оценка</w:t>
      </w:r>
      <w:r w:rsidR="00E76BCB" w:rsidRPr="000028C3">
        <w:rPr>
          <w:rFonts w:ascii="Times New Roman" w:hAnsi="Times New Roman" w:cs="Times New Roman"/>
        </w:rPr>
        <w:t xml:space="preserve"> фактора ограничивается уровнем</w:t>
      </w:r>
      <w:r w:rsidRPr="000028C3">
        <w:rPr>
          <w:rFonts w:ascii="Times New Roman" w:hAnsi="Times New Roman" w:cs="Times New Roman"/>
        </w:rPr>
        <w:t xml:space="preserve"> 0;</w:t>
      </w:r>
    </w:p>
    <w:p w14:paraId="107D7914" w14:textId="048E49BE" w:rsidR="00611345" w:rsidRPr="000028C3" w:rsidRDefault="00611345" w:rsidP="0098669D">
      <w:pPr>
        <w:pStyle w:val="af7"/>
        <w:numPr>
          <w:ilvl w:val="0"/>
          <w:numId w:val="38"/>
        </w:numPr>
        <w:jc w:val="both"/>
        <w:rPr>
          <w:rFonts w:ascii="Times New Roman" w:hAnsi="Times New Roman" w:cs="Times New Roman"/>
        </w:rPr>
      </w:pPr>
      <w:r w:rsidRPr="000028C3">
        <w:rPr>
          <w:rFonts w:ascii="Times New Roman" w:hAnsi="Times New Roman" w:cs="Times New Roman"/>
        </w:rPr>
        <w:t>дополнительный вычет производится за непродолжительную историю работы: если срок работы объекта рейтинга составляет менее двух лет, а его ключевой собственник при этом не обладает продолжительной историей работы и безупречной деловой репу</w:t>
      </w:r>
      <w:r w:rsidR="00215FCC" w:rsidRPr="000028C3">
        <w:rPr>
          <w:rFonts w:ascii="Times New Roman" w:hAnsi="Times New Roman" w:cs="Times New Roman"/>
        </w:rPr>
        <w:t>тацией, вычет составляет 1 балл;</w:t>
      </w:r>
    </w:p>
    <w:p w14:paraId="61AFB026" w14:textId="0C1754A5" w:rsidR="00215FCC" w:rsidRPr="000028C3" w:rsidRDefault="00215FCC" w:rsidP="0098669D">
      <w:pPr>
        <w:pStyle w:val="af7"/>
        <w:numPr>
          <w:ilvl w:val="0"/>
          <w:numId w:val="38"/>
        </w:numPr>
        <w:jc w:val="both"/>
        <w:rPr>
          <w:rFonts w:ascii="Times New Roman" w:hAnsi="Times New Roman" w:cs="Times New Roman"/>
        </w:rPr>
      </w:pPr>
      <w:r w:rsidRPr="000028C3">
        <w:rPr>
          <w:rFonts w:ascii="Times New Roman" w:hAnsi="Times New Roman" w:cs="Times New Roman"/>
        </w:rPr>
        <w:t xml:space="preserve">если компания </w:t>
      </w:r>
      <w:r w:rsidR="006629B5" w:rsidRPr="000028C3">
        <w:rPr>
          <w:rFonts w:ascii="Times New Roman" w:hAnsi="Times New Roman" w:cs="Times New Roman"/>
        </w:rPr>
        <w:t>не входит</w:t>
      </w:r>
      <w:r w:rsidR="0066761A" w:rsidRPr="000028C3">
        <w:rPr>
          <w:rFonts w:ascii="Times New Roman" w:hAnsi="Times New Roman" w:cs="Times New Roman"/>
        </w:rPr>
        <w:t xml:space="preserve"> в реестр</w:t>
      </w:r>
      <w:r w:rsidRPr="000028C3">
        <w:rPr>
          <w:rFonts w:ascii="Times New Roman" w:hAnsi="Times New Roman" w:cs="Times New Roman"/>
        </w:rPr>
        <w:t xml:space="preserve"> Росфинмониторинг</w:t>
      </w:r>
      <w:r w:rsidR="0066761A" w:rsidRPr="000028C3">
        <w:rPr>
          <w:rFonts w:ascii="Times New Roman" w:hAnsi="Times New Roman" w:cs="Times New Roman"/>
        </w:rPr>
        <w:t>а,</w:t>
      </w:r>
      <w:r w:rsidRPr="000028C3">
        <w:rPr>
          <w:rFonts w:ascii="Times New Roman" w:hAnsi="Times New Roman" w:cs="Times New Roman"/>
        </w:rPr>
        <w:t xml:space="preserve"> оценка фактор</w:t>
      </w:r>
      <w:r w:rsidR="00E76BCB" w:rsidRPr="000028C3">
        <w:rPr>
          <w:rFonts w:ascii="Times New Roman" w:hAnsi="Times New Roman" w:cs="Times New Roman"/>
        </w:rPr>
        <w:t>а устанавливается на уровне</w:t>
      </w:r>
      <w:r w:rsidRPr="000028C3">
        <w:rPr>
          <w:rFonts w:ascii="Times New Roman" w:hAnsi="Times New Roman" w:cs="Times New Roman"/>
        </w:rPr>
        <w:t xml:space="preserve"> -1</w:t>
      </w:r>
      <w:r w:rsidR="0066761A" w:rsidRPr="000028C3">
        <w:rPr>
          <w:rFonts w:ascii="Times New Roman" w:hAnsi="Times New Roman" w:cs="Times New Roman"/>
        </w:rPr>
        <w:t>;</w:t>
      </w:r>
    </w:p>
    <w:p w14:paraId="23F349BA" w14:textId="4447D700" w:rsidR="008B1955" w:rsidRPr="000028C3" w:rsidRDefault="0066761A" w:rsidP="0066761A">
      <w:pPr>
        <w:pStyle w:val="af7"/>
        <w:numPr>
          <w:ilvl w:val="0"/>
          <w:numId w:val="38"/>
        </w:numPr>
        <w:jc w:val="both"/>
        <w:rPr>
          <w:rFonts w:ascii="Times New Roman" w:hAnsi="Times New Roman" w:cs="Times New Roman"/>
        </w:rPr>
      </w:pPr>
      <w:bookmarkStart w:id="28" w:name="_Hlk38909775"/>
      <w:r w:rsidRPr="000028C3">
        <w:rPr>
          <w:rFonts w:ascii="Times New Roman" w:hAnsi="Times New Roman" w:cs="Times New Roman"/>
        </w:rPr>
        <w:t>о</w:t>
      </w:r>
      <w:r w:rsidR="0047756D" w:rsidRPr="000028C3">
        <w:rPr>
          <w:rFonts w:ascii="Times New Roman" w:hAnsi="Times New Roman" w:cs="Times New Roman"/>
        </w:rPr>
        <w:t xml:space="preserve">ценка может быть повышена (не более чем на </w:t>
      </w:r>
      <w:r w:rsidR="005F4A20" w:rsidRPr="000028C3">
        <w:rPr>
          <w:rFonts w:ascii="Times New Roman" w:hAnsi="Times New Roman" w:cs="Times New Roman"/>
        </w:rPr>
        <w:t>0,5), если к</w:t>
      </w:r>
      <w:r w:rsidR="0047756D" w:rsidRPr="000028C3">
        <w:rPr>
          <w:rFonts w:ascii="Times New Roman" w:hAnsi="Times New Roman" w:cs="Times New Roman"/>
        </w:rPr>
        <w:t xml:space="preserve">омпания </w:t>
      </w:r>
      <w:r w:rsidR="00726289" w:rsidRPr="000028C3">
        <w:rPr>
          <w:rFonts w:ascii="Times New Roman" w:hAnsi="Times New Roman" w:cs="Times New Roman"/>
        </w:rPr>
        <w:t xml:space="preserve">либо группа, в которую входит объект рейтинга, </w:t>
      </w:r>
      <w:r w:rsidR="0047756D" w:rsidRPr="000028C3">
        <w:rPr>
          <w:rFonts w:ascii="Times New Roman" w:hAnsi="Times New Roman" w:cs="Times New Roman"/>
        </w:rPr>
        <w:t>обладает административным ресурсом, позволяющим лоббировать ее интересы при изменении нормативно-правовой базы</w:t>
      </w:r>
      <w:r w:rsidR="00726289" w:rsidRPr="000028C3">
        <w:rPr>
          <w:rFonts w:ascii="Times New Roman" w:hAnsi="Times New Roman" w:cs="Times New Roman"/>
        </w:rPr>
        <w:t xml:space="preserve"> (н</w:t>
      </w:r>
      <w:r w:rsidR="0047756D" w:rsidRPr="000028C3">
        <w:rPr>
          <w:rFonts w:ascii="Times New Roman" w:hAnsi="Times New Roman" w:cs="Times New Roman"/>
        </w:rPr>
        <w:t xml:space="preserve">апример, </w:t>
      </w:r>
      <w:r w:rsidR="005F4A20" w:rsidRPr="000028C3">
        <w:rPr>
          <w:rFonts w:ascii="Times New Roman" w:hAnsi="Times New Roman" w:cs="Times New Roman"/>
        </w:rPr>
        <w:t xml:space="preserve">при вхождении </w:t>
      </w:r>
      <w:r w:rsidR="004C0FED" w:rsidRPr="000028C3">
        <w:rPr>
          <w:rFonts w:ascii="Times New Roman" w:hAnsi="Times New Roman" w:cs="Times New Roman"/>
        </w:rPr>
        <w:t xml:space="preserve">собственников или руководства компании </w:t>
      </w:r>
      <w:r w:rsidR="005F4A20" w:rsidRPr="000028C3">
        <w:rPr>
          <w:rFonts w:ascii="Times New Roman" w:hAnsi="Times New Roman" w:cs="Times New Roman"/>
        </w:rPr>
        <w:t xml:space="preserve">в </w:t>
      </w:r>
      <w:r w:rsidR="004C0FED" w:rsidRPr="000028C3">
        <w:rPr>
          <w:rFonts w:ascii="Times New Roman" w:hAnsi="Times New Roman" w:cs="Times New Roman"/>
        </w:rPr>
        <w:t xml:space="preserve">состав органов управления </w:t>
      </w:r>
      <w:bookmarkStart w:id="29" w:name="_Hlk38903911"/>
      <w:r w:rsidR="008B1955" w:rsidRPr="000028C3">
        <w:rPr>
          <w:rFonts w:ascii="Times New Roman" w:hAnsi="Times New Roman" w:cs="Times New Roman"/>
        </w:rPr>
        <w:t>профессиональны</w:t>
      </w:r>
      <w:r w:rsidR="004C0FED" w:rsidRPr="000028C3">
        <w:rPr>
          <w:rFonts w:ascii="Times New Roman" w:hAnsi="Times New Roman" w:cs="Times New Roman"/>
        </w:rPr>
        <w:t>х</w:t>
      </w:r>
      <w:r w:rsidR="008B1955" w:rsidRPr="000028C3">
        <w:rPr>
          <w:rFonts w:ascii="Times New Roman" w:hAnsi="Times New Roman" w:cs="Times New Roman"/>
        </w:rPr>
        <w:t xml:space="preserve"> факторинговы</w:t>
      </w:r>
      <w:r w:rsidR="004C0FED" w:rsidRPr="000028C3">
        <w:rPr>
          <w:rFonts w:ascii="Times New Roman" w:hAnsi="Times New Roman" w:cs="Times New Roman"/>
        </w:rPr>
        <w:t>х</w:t>
      </w:r>
      <w:r w:rsidR="008B1955" w:rsidRPr="000028C3">
        <w:rPr>
          <w:rFonts w:ascii="Times New Roman" w:hAnsi="Times New Roman" w:cs="Times New Roman"/>
        </w:rPr>
        <w:t xml:space="preserve"> ассоциаци</w:t>
      </w:r>
      <w:r w:rsidR="00726289" w:rsidRPr="000028C3">
        <w:rPr>
          <w:rFonts w:ascii="Times New Roman" w:hAnsi="Times New Roman" w:cs="Times New Roman"/>
        </w:rPr>
        <w:t>й)</w:t>
      </w:r>
      <w:r w:rsidR="00611345" w:rsidRPr="000028C3">
        <w:rPr>
          <w:rFonts w:ascii="Times New Roman" w:hAnsi="Times New Roman" w:cs="Times New Roman"/>
        </w:rPr>
        <w:t>.</w:t>
      </w:r>
      <w:bookmarkEnd w:id="28"/>
      <w:bookmarkEnd w:id="29"/>
    </w:p>
    <w:p w14:paraId="476029E1" w14:textId="15F4AFBC" w:rsidR="00EE6ABA" w:rsidRPr="000028C3" w:rsidRDefault="00EE6ABA" w:rsidP="0039664F">
      <w:pPr>
        <w:pStyle w:val="RAEXdefault"/>
        <w:rPr>
          <w:rFonts w:cs="Times New Roman"/>
          <w:lang w:val="ru-RU"/>
        </w:rPr>
      </w:pPr>
    </w:p>
    <w:p w14:paraId="0472BC47" w14:textId="77777777" w:rsidR="008B1955" w:rsidRPr="000028C3" w:rsidRDefault="008B1955" w:rsidP="0098669D">
      <w:pPr>
        <w:pStyle w:val="3"/>
        <w:numPr>
          <w:ilvl w:val="1"/>
          <w:numId w:val="15"/>
        </w:numPr>
        <w:spacing w:before="0" w:after="0"/>
        <w:rPr>
          <w:rFonts w:ascii="Times New Roman" w:hAnsi="Times New Roman" w:cs="Times New Roman"/>
        </w:rPr>
      </w:pPr>
      <w:bookmarkStart w:id="30" w:name="_Toc447270429"/>
      <w:bookmarkStart w:id="31" w:name="_Toc39667614"/>
      <w:r w:rsidRPr="000028C3">
        <w:rPr>
          <w:rFonts w:ascii="Times New Roman" w:hAnsi="Times New Roman" w:cs="Times New Roman"/>
        </w:rPr>
        <w:t>Конкурентные позиции</w:t>
      </w:r>
      <w:bookmarkEnd w:id="30"/>
      <w:bookmarkEnd w:id="31"/>
    </w:p>
    <w:p w14:paraId="1E75EFD9" w14:textId="77777777" w:rsidR="00CE18E3" w:rsidRPr="000028C3" w:rsidRDefault="00CE18E3" w:rsidP="0039664F">
      <w:pPr>
        <w:ind w:firstLine="567"/>
        <w:jc w:val="both"/>
        <w:rPr>
          <w:bCs/>
          <w:u w:val="single"/>
        </w:rPr>
      </w:pPr>
    </w:p>
    <w:p w14:paraId="40ADA418" w14:textId="2424C641" w:rsidR="00597906" w:rsidRPr="000028C3" w:rsidRDefault="008B1955" w:rsidP="0039664F">
      <w:pPr>
        <w:ind w:firstLine="567"/>
        <w:jc w:val="both"/>
        <w:rPr>
          <w:bCs/>
        </w:rPr>
      </w:pPr>
      <w:r w:rsidRPr="000028C3">
        <w:rPr>
          <w:bCs/>
          <w:u w:val="single"/>
        </w:rPr>
        <w:t xml:space="preserve">Цель </w:t>
      </w:r>
      <w:r w:rsidR="00535E4E" w:rsidRPr="000028C3">
        <w:rPr>
          <w:bCs/>
          <w:u w:val="single"/>
        </w:rPr>
        <w:t>оценки</w:t>
      </w:r>
    </w:p>
    <w:p w14:paraId="607CFE50" w14:textId="77777777" w:rsidR="00E64043" w:rsidRPr="000028C3" w:rsidRDefault="00E64043" w:rsidP="0039664F">
      <w:pPr>
        <w:ind w:firstLine="567"/>
        <w:jc w:val="both"/>
        <w:rPr>
          <w:highlight w:val="yellow"/>
        </w:rPr>
      </w:pPr>
      <w:r w:rsidRPr="000028C3">
        <w:t xml:space="preserve">Определить, насколько прочны конкурентные позиции компании на основных направлениях деятельности, а также выяснить, насколько текущие конкурентные позиции позволяют ей генерировать прибыль, достаточную для покрытия обязательств. Важную роль в факторинговом бизнесе в силу большой доли постоянных расходов (ИТ-инфраструктура, система корпоративного управления) играет эффект от масштаба, что также усиливает положительную корреляцию между конкурентными позициями и кредитоспособностью. Кроме того, сильные конкурентные позиции обычно позволяют добиться большей диверсификации активов и пассивов и за счет этого генерировать более стабильные денежные потоки, что также позитивно влияет на кредитоспособность. </w:t>
      </w:r>
    </w:p>
    <w:p w14:paraId="36353BD9" w14:textId="77777777" w:rsidR="008B1955" w:rsidRPr="000028C3" w:rsidRDefault="008B1955" w:rsidP="0039664F">
      <w:pPr>
        <w:rPr>
          <w:highlight w:val="yellow"/>
          <w:u w:val="single"/>
        </w:rPr>
      </w:pPr>
    </w:p>
    <w:p w14:paraId="3345C62E" w14:textId="31D668E8" w:rsidR="009808DE" w:rsidRPr="000028C3" w:rsidRDefault="002E5502" w:rsidP="0039664F">
      <w:pPr>
        <w:ind w:firstLine="567"/>
        <w:jc w:val="both"/>
        <w:rPr>
          <w:bCs/>
        </w:rPr>
      </w:pPr>
      <w:r w:rsidRPr="000028C3">
        <w:rPr>
          <w:bCs/>
          <w:u w:val="single"/>
        </w:rPr>
        <w:t>Алгоритм выставления оценки</w:t>
      </w:r>
    </w:p>
    <w:p w14:paraId="16D09E17" w14:textId="0233E57E" w:rsidR="009808DE" w:rsidRPr="000028C3" w:rsidRDefault="00952793" w:rsidP="00952793">
      <w:pPr>
        <w:ind w:firstLine="567"/>
        <w:jc w:val="both"/>
        <w:rPr>
          <w:bCs/>
        </w:rPr>
      </w:pPr>
      <w:r w:rsidRPr="000028C3">
        <w:rPr>
          <w:bCs/>
        </w:rPr>
        <w:t>К</w:t>
      </w:r>
      <w:r w:rsidR="00B7028C" w:rsidRPr="000028C3">
        <w:rPr>
          <w:bCs/>
        </w:rPr>
        <w:t>омпания оценивается по каждому из приведенных ниже критерие</w:t>
      </w:r>
      <w:r w:rsidR="0011608B" w:rsidRPr="000028C3">
        <w:rPr>
          <w:bCs/>
        </w:rPr>
        <w:t>в (непрерывная линейная оценка)</w:t>
      </w:r>
      <w:r w:rsidRPr="000028C3">
        <w:rPr>
          <w:bCs/>
        </w:rPr>
        <w:t xml:space="preserve">, затем выбирается минимальный из набранных баллов. </w:t>
      </w:r>
    </w:p>
    <w:p w14:paraId="5C4DA7DA" w14:textId="0B14CEAE" w:rsidR="00422483" w:rsidRPr="000028C3" w:rsidRDefault="00422483" w:rsidP="0039664F">
      <w:pPr>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0"/>
        <w:gridCol w:w="1346"/>
        <w:gridCol w:w="1189"/>
      </w:tblGrid>
      <w:tr w:rsidR="00952793" w:rsidRPr="000028C3" w14:paraId="0E66D9EE" w14:textId="77777777" w:rsidTr="00952793">
        <w:trPr>
          <w:trHeight w:val="110"/>
        </w:trPr>
        <w:tc>
          <w:tcPr>
            <w:tcW w:w="3644" w:type="pct"/>
          </w:tcPr>
          <w:p w14:paraId="48E3A0E7" w14:textId="77777777" w:rsidR="00952793" w:rsidRPr="000028C3" w:rsidRDefault="00952793" w:rsidP="0039664F">
            <w:bookmarkStart w:id="32" w:name="_Hlk38992045"/>
            <w:r w:rsidRPr="000028C3">
              <w:t>Показатель</w:t>
            </w:r>
            <w:r w:rsidRPr="000028C3">
              <w:br w:type="page"/>
            </w:r>
          </w:p>
        </w:tc>
        <w:tc>
          <w:tcPr>
            <w:tcW w:w="720" w:type="pct"/>
            <w:shd w:val="clear" w:color="auto" w:fill="auto"/>
            <w:vAlign w:val="center"/>
          </w:tcPr>
          <w:p w14:paraId="0196804F" w14:textId="24A80031" w:rsidR="00952793" w:rsidRPr="000028C3" w:rsidRDefault="00952793" w:rsidP="0039664F">
            <w:pPr>
              <w:jc w:val="center"/>
            </w:pPr>
            <w:r w:rsidRPr="000028C3">
              <w:t>1</w:t>
            </w:r>
          </w:p>
        </w:tc>
        <w:tc>
          <w:tcPr>
            <w:tcW w:w="636" w:type="pct"/>
            <w:shd w:val="clear" w:color="auto" w:fill="auto"/>
            <w:vAlign w:val="center"/>
          </w:tcPr>
          <w:p w14:paraId="0A483005" w14:textId="77777777" w:rsidR="00952793" w:rsidRPr="000028C3" w:rsidRDefault="00952793" w:rsidP="0039664F">
            <w:pPr>
              <w:jc w:val="center"/>
            </w:pPr>
            <w:r w:rsidRPr="000028C3">
              <w:t>-1</w:t>
            </w:r>
          </w:p>
        </w:tc>
      </w:tr>
      <w:tr w:rsidR="00952793" w:rsidRPr="000028C3" w14:paraId="013DC9F1" w14:textId="77777777" w:rsidTr="00952793">
        <w:tc>
          <w:tcPr>
            <w:tcW w:w="3644" w:type="pct"/>
            <w:vAlign w:val="center"/>
          </w:tcPr>
          <w:p w14:paraId="5030F11B" w14:textId="4450C6A9" w:rsidR="00952793" w:rsidRPr="000028C3" w:rsidRDefault="00952793" w:rsidP="0039664F">
            <w:r w:rsidRPr="000028C3">
              <w:t>Объем портфеля на последнюю квартальную дату</w:t>
            </w:r>
            <w:r w:rsidR="00E76BCB" w:rsidRPr="000028C3">
              <w:t>, млн рублей</w:t>
            </w:r>
          </w:p>
        </w:tc>
        <w:tc>
          <w:tcPr>
            <w:tcW w:w="720" w:type="pct"/>
            <w:shd w:val="clear" w:color="auto" w:fill="auto"/>
            <w:vAlign w:val="center"/>
          </w:tcPr>
          <w:p w14:paraId="4DFEAD6D" w14:textId="097ACE14" w:rsidR="00952793" w:rsidRPr="000028C3" w:rsidRDefault="00952793" w:rsidP="0039664F">
            <w:pPr>
              <w:jc w:val="center"/>
            </w:pPr>
            <w:r w:rsidRPr="000028C3">
              <w:t>≥</w:t>
            </w:r>
            <w:r w:rsidRPr="000028C3">
              <w:rPr>
                <w:lang w:val="en-US"/>
              </w:rPr>
              <w:t xml:space="preserve"> 25 000</w:t>
            </w:r>
          </w:p>
        </w:tc>
        <w:tc>
          <w:tcPr>
            <w:tcW w:w="636" w:type="pct"/>
            <w:shd w:val="clear" w:color="auto" w:fill="auto"/>
            <w:vAlign w:val="center"/>
          </w:tcPr>
          <w:p w14:paraId="4A5D882C" w14:textId="10BC7EDB" w:rsidR="00952793" w:rsidRPr="000028C3" w:rsidRDefault="00952793" w:rsidP="0039664F">
            <w:pPr>
              <w:jc w:val="center"/>
            </w:pPr>
            <w:r w:rsidRPr="000028C3">
              <w:t>≤ 300</w:t>
            </w:r>
          </w:p>
        </w:tc>
      </w:tr>
      <w:tr w:rsidR="00952793" w:rsidRPr="000028C3" w14:paraId="04D78C75" w14:textId="77777777" w:rsidTr="00952793">
        <w:tc>
          <w:tcPr>
            <w:tcW w:w="3644" w:type="pct"/>
            <w:vAlign w:val="center"/>
          </w:tcPr>
          <w:p w14:paraId="588A4885" w14:textId="25E77084" w:rsidR="00952793" w:rsidRPr="000028C3" w:rsidRDefault="00952793" w:rsidP="0039664F">
            <w:r w:rsidRPr="000028C3">
              <w:t>Объем предоставленного финансирования за последние 4 квартала</w:t>
            </w:r>
            <w:r w:rsidR="00E76BCB" w:rsidRPr="000028C3">
              <w:t>, млн рублей</w:t>
            </w:r>
          </w:p>
        </w:tc>
        <w:tc>
          <w:tcPr>
            <w:tcW w:w="720" w:type="pct"/>
            <w:shd w:val="clear" w:color="auto" w:fill="auto"/>
            <w:vAlign w:val="center"/>
          </w:tcPr>
          <w:p w14:paraId="03481459" w14:textId="0BD8E441" w:rsidR="00952793" w:rsidRPr="000028C3" w:rsidRDefault="00952793" w:rsidP="0039664F">
            <w:pPr>
              <w:jc w:val="center"/>
            </w:pPr>
            <w:r w:rsidRPr="000028C3">
              <w:t>≥</w:t>
            </w:r>
            <w:r w:rsidRPr="000028C3">
              <w:rPr>
                <w:lang w:val="en-US"/>
              </w:rPr>
              <w:t xml:space="preserve"> </w:t>
            </w:r>
            <w:r w:rsidRPr="000028C3">
              <w:t>115 00</w:t>
            </w:r>
            <w:r w:rsidRPr="000028C3">
              <w:rPr>
                <w:lang w:val="en-US"/>
              </w:rPr>
              <w:t>0</w:t>
            </w:r>
          </w:p>
        </w:tc>
        <w:tc>
          <w:tcPr>
            <w:tcW w:w="636" w:type="pct"/>
            <w:shd w:val="clear" w:color="auto" w:fill="auto"/>
            <w:vAlign w:val="center"/>
          </w:tcPr>
          <w:p w14:paraId="7F413D3F" w14:textId="521D83B2" w:rsidR="00952793" w:rsidRPr="000028C3" w:rsidRDefault="00952793" w:rsidP="0039664F">
            <w:pPr>
              <w:jc w:val="center"/>
            </w:pPr>
            <w:r w:rsidRPr="000028C3">
              <w:t>≤ 1000</w:t>
            </w:r>
          </w:p>
        </w:tc>
      </w:tr>
      <w:tr w:rsidR="00952793" w:rsidRPr="000028C3" w14:paraId="6D3C025E" w14:textId="77777777" w:rsidTr="00952793">
        <w:tc>
          <w:tcPr>
            <w:tcW w:w="3644" w:type="pct"/>
            <w:vAlign w:val="center"/>
          </w:tcPr>
          <w:p w14:paraId="4EAEB03B" w14:textId="32DA7131" w:rsidR="00952793" w:rsidRPr="000028C3" w:rsidRDefault="00952793" w:rsidP="00952793">
            <w:r w:rsidRPr="000028C3">
              <w:t>Величина собственных средств на последнюю отчетную дату</w:t>
            </w:r>
            <w:r w:rsidR="00E76BCB" w:rsidRPr="000028C3">
              <w:t>, млн рублей</w:t>
            </w:r>
          </w:p>
        </w:tc>
        <w:tc>
          <w:tcPr>
            <w:tcW w:w="720" w:type="pct"/>
            <w:shd w:val="clear" w:color="auto" w:fill="auto"/>
            <w:vAlign w:val="center"/>
          </w:tcPr>
          <w:p w14:paraId="1EABA9D1" w14:textId="51523448" w:rsidR="00952793" w:rsidRPr="000028C3" w:rsidRDefault="00952793" w:rsidP="00952793">
            <w:pPr>
              <w:jc w:val="center"/>
            </w:pPr>
            <w:r w:rsidRPr="000028C3">
              <w:t>≥ 2</w:t>
            </w:r>
          </w:p>
        </w:tc>
        <w:tc>
          <w:tcPr>
            <w:tcW w:w="636" w:type="pct"/>
            <w:shd w:val="clear" w:color="auto" w:fill="auto"/>
            <w:vAlign w:val="center"/>
          </w:tcPr>
          <w:p w14:paraId="3A9E7D5C" w14:textId="59AC8838" w:rsidR="00952793" w:rsidRPr="000028C3" w:rsidRDefault="00952793" w:rsidP="00952793">
            <w:pPr>
              <w:jc w:val="center"/>
            </w:pPr>
            <w:r w:rsidRPr="000028C3">
              <w:t>≤ 0,1</w:t>
            </w:r>
          </w:p>
        </w:tc>
      </w:tr>
    </w:tbl>
    <w:p w14:paraId="2DC09D2A" w14:textId="77777777" w:rsidR="00EB4C6D" w:rsidRDefault="00EB4C6D" w:rsidP="0039664F">
      <w:pPr>
        <w:ind w:firstLine="567"/>
        <w:jc w:val="both"/>
      </w:pPr>
      <w:bookmarkStart w:id="33" w:name="_Hlk25756820"/>
      <w:bookmarkEnd w:id="32"/>
    </w:p>
    <w:p w14:paraId="3709B45E" w14:textId="41351DAF" w:rsidR="00CE18E3" w:rsidRPr="000028C3" w:rsidRDefault="00CE18E3" w:rsidP="0039664F">
      <w:pPr>
        <w:ind w:firstLine="567"/>
        <w:jc w:val="both"/>
      </w:pPr>
      <w:r w:rsidRPr="000028C3">
        <w:t>Балл может быть снижен на 0,5, если для основного региона присутствия</w:t>
      </w:r>
      <w:r w:rsidRPr="000028C3">
        <w:rPr>
          <w:rStyle w:val="a6"/>
        </w:rPr>
        <w:footnoteReference w:id="7"/>
      </w:r>
      <w:r w:rsidRPr="000028C3">
        <w:t xml:space="preserve"> характерны высокие риски инвестиционной привлекательности, что затрудняет формирование качественной клиентской базы и потенциально может отразиться на уровне дефолтности портфеля. К индикаторам, отражающим высокие риски инвестиционной привлекательности региона, Агентство относит значительно превышающие среднероссийские показатели:</w:t>
      </w:r>
    </w:p>
    <w:p w14:paraId="0A593ABD" w14:textId="77777777"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lastRenderedPageBreak/>
        <w:t>доля просроченной задолженности по кредитам физических и юридических лиц;</w:t>
      </w:r>
    </w:p>
    <w:p w14:paraId="1C2F2E2B" w14:textId="77777777"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доля просроченной задолженности в общем объеме кредиторской задолженности;</w:t>
      </w:r>
    </w:p>
    <w:p w14:paraId="590AE25D" w14:textId="77777777"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удельный вес убыточных организаций в процентах от общего числа организаций;</w:t>
      </w:r>
    </w:p>
    <w:p w14:paraId="119AF336" w14:textId="77777777"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уровень безработицы;</w:t>
      </w:r>
    </w:p>
    <w:p w14:paraId="007127E7" w14:textId="77777777"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численность населения с денежными доходами ниже величины прожиточного минимума, в процентах от общей численности населения;</w:t>
      </w:r>
    </w:p>
    <w:p w14:paraId="10146EC3" w14:textId="77777777"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число зарегистрированных преступлений на 100 тыс. человек населения и т.д.</w:t>
      </w:r>
    </w:p>
    <w:bookmarkEnd w:id="33"/>
    <w:p w14:paraId="13972137" w14:textId="77777777" w:rsidR="00CE18E3" w:rsidRPr="000028C3" w:rsidRDefault="00CE18E3" w:rsidP="0039664F">
      <w:pPr>
        <w:ind w:firstLine="567"/>
        <w:jc w:val="both"/>
        <w:rPr>
          <w:bCs/>
        </w:rPr>
      </w:pPr>
    </w:p>
    <w:p w14:paraId="6287F3CF" w14:textId="069B6C51" w:rsidR="00CE18E3" w:rsidRPr="000028C3" w:rsidRDefault="00CE18E3" w:rsidP="0039664F">
      <w:pPr>
        <w:ind w:firstLine="567"/>
        <w:jc w:val="both"/>
        <w:rPr>
          <w:bCs/>
        </w:rPr>
      </w:pPr>
      <w:r w:rsidRPr="000028C3">
        <w:rPr>
          <w:bCs/>
        </w:rPr>
        <w:t>Балл может быть повышен на 0,5 за очень широкую географию деятельности:</w:t>
      </w:r>
    </w:p>
    <w:p w14:paraId="7E679F27" w14:textId="296723E2"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компания имеет более 20 обособленных</w:t>
      </w:r>
      <w:r w:rsidRPr="000028C3">
        <w:rPr>
          <w:rStyle w:val="a6"/>
          <w:rFonts w:ascii="Times New Roman" w:hAnsi="Times New Roman" w:cs="Times New Roman"/>
          <w:bCs/>
        </w:rPr>
        <w:footnoteReference w:id="8"/>
      </w:r>
      <w:r w:rsidRPr="000028C3">
        <w:rPr>
          <w:rFonts w:ascii="Times New Roman" w:hAnsi="Times New Roman" w:cs="Times New Roman"/>
        </w:rPr>
        <w:t xml:space="preserve"> структурных подразделений в более чем четырех федеральных округах;</w:t>
      </w:r>
    </w:p>
    <w:p w14:paraId="68519646" w14:textId="295CF974" w:rsidR="00CE18E3" w:rsidRPr="000028C3" w:rsidRDefault="00CE18E3" w:rsidP="0098669D">
      <w:pPr>
        <w:pStyle w:val="af7"/>
        <w:numPr>
          <w:ilvl w:val="1"/>
          <w:numId w:val="39"/>
        </w:numPr>
        <w:ind w:left="1208" w:hanging="357"/>
        <w:jc w:val="both"/>
        <w:rPr>
          <w:rFonts w:ascii="Times New Roman" w:hAnsi="Times New Roman" w:cs="Times New Roman"/>
        </w:rPr>
      </w:pPr>
      <w:r w:rsidRPr="000028C3">
        <w:rPr>
          <w:rFonts w:ascii="Times New Roman" w:hAnsi="Times New Roman" w:cs="Times New Roman"/>
        </w:rPr>
        <w:t>доля региона с наибольшей долей в портфеле на последнюю отчетную дату не превышает 30%.</w:t>
      </w:r>
    </w:p>
    <w:p w14:paraId="6EDAA13E" w14:textId="4E2B95A8" w:rsidR="00CE18E3" w:rsidRPr="000028C3" w:rsidRDefault="00CE18E3" w:rsidP="0039664F">
      <w:pPr>
        <w:ind w:firstLine="567"/>
        <w:jc w:val="both"/>
      </w:pPr>
      <w:r w:rsidRPr="000028C3">
        <w:rPr>
          <w:bCs/>
        </w:rPr>
        <w:t>Корректировка</w:t>
      </w:r>
      <w:r w:rsidRPr="000028C3">
        <w:t xml:space="preserve"> не применяется при несоответствии структуры географии деятельности структуре текущих операций (то есть более 20% портфеля приходится на регионы, в которых нет обособленных подразделений компании по данным на последнюю отчетную дату).</w:t>
      </w:r>
    </w:p>
    <w:p w14:paraId="598C8E3B" w14:textId="77777777" w:rsidR="00E35B51" w:rsidRPr="000028C3" w:rsidRDefault="00E35B51" w:rsidP="0039664F">
      <w:pPr>
        <w:contextualSpacing/>
        <w:jc w:val="both"/>
        <w:rPr>
          <w:highlight w:val="yellow"/>
        </w:rPr>
      </w:pPr>
    </w:p>
    <w:p w14:paraId="00395450" w14:textId="77777777" w:rsidR="008B1955" w:rsidRPr="000028C3" w:rsidRDefault="008B1955" w:rsidP="0098669D">
      <w:pPr>
        <w:pStyle w:val="3"/>
        <w:numPr>
          <w:ilvl w:val="1"/>
          <w:numId w:val="15"/>
        </w:numPr>
        <w:spacing w:before="0" w:after="0"/>
        <w:rPr>
          <w:rFonts w:ascii="Times New Roman" w:hAnsi="Times New Roman" w:cs="Times New Roman"/>
        </w:rPr>
      </w:pPr>
      <w:bookmarkStart w:id="34" w:name="_Toc447270431"/>
      <w:bookmarkStart w:id="35" w:name="_Toc39667615"/>
      <w:r w:rsidRPr="000028C3">
        <w:rPr>
          <w:rFonts w:ascii="Times New Roman" w:hAnsi="Times New Roman" w:cs="Times New Roman"/>
        </w:rPr>
        <w:t>Специализация и кэптивность</w:t>
      </w:r>
      <w:bookmarkEnd w:id="34"/>
      <w:bookmarkEnd w:id="35"/>
    </w:p>
    <w:p w14:paraId="0E8A609D" w14:textId="77777777" w:rsidR="0039664F" w:rsidRPr="000028C3" w:rsidRDefault="0039664F" w:rsidP="0039664F">
      <w:pPr>
        <w:pStyle w:val="ad"/>
        <w:spacing w:before="0" w:beforeAutospacing="0" w:after="0" w:afterAutospacing="0"/>
        <w:ind w:firstLine="567"/>
        <w:jc w:val="both"/>
        <w:rPr>
          <w:u w:val="single"/>
        </w:rPr>
      </w:pPr>
    </w:p>
    <w:p w14:paraId="3264439A" w14:textId="0B4866D1" w:rsidR="009808DE" w:rsidRPr="000028C3" w:rsidRDefault="00E35B51" w:rsidP="0039664F">
      <w:pPr>
        <w:pStyle w:val="ad"/>
        <w:spacing w:before="0" w:beforeAutospacing="0" w:after="0" w:afterAutospacing="0"/>
        <w:ind w:firstLine="567"/>
        <w:jc w:val="both"/>
        <w:rPr>
          <w:u w:val="single"/>
        </w:rPr>
      </w:pPr>
      <w:r w:rsidRPr="000028C3">
        <w:rPr>
          <w:u w:val="single"/>
        </w:rPr>
        <w:t>Цель оценки</w:t>
      </w:r>
    </w:p>
    <w:p w14:paraId="4B8229D0" w14:textId="77777777" w:rsidR="00E64043" w:rsidRPr="000028C3" w:rsidRDefault="00E35B51" w:rsidP="0039664F">
      <w:pPr>
        <w:pStyle w:val="ad"/>
        <w:spacing w:before="0" w:beforeAutospacing="0" w:after="0" w:afterAutospacing="0"/>
        <w:ind w:firstLine="567"/>
        <w:jc w:val="both"/>
        <w:rPr>
          <w:highlight w:val="yellow"/>
        </w:rPr>
      </w:pPr>
      <w:r w:rsidRPr="000028C3">
        <w:t xml:space="preserve">Анализ </w:t>
      </w:r>
      <w:r w:rsidR="00E64043" w:rsidRPr="000028C3">
        <w:t>риск</w:t>
      </w:r>
      <w:r w:rsidRPr="000028C3">
        <w:t>ов</w:t>
      </w:r>
      <w:r w:rsidR="00E64043" w:rsidRPr="000028C3">
        <w:t>, связанны</w:t>
      </w:r>
      <w:r w:rsidRPr="000028C3">
        <w:t>х</w:t>
      </w:r>
      <w:r w:rsidR="00E64043" w:rsidRPr="000028C3">
        <w:t xml:space="preserve"> с недостаточной диверсификацией бизнеса по сегментам рынка либо с концентрацией бизнеса на операциях со связанными сторонами.</w:t>
      </w:r>
      <w:r w:rsidRPr="000028C3">
        <w:t xml:space="preserve"> </w:t>
      </w:r>
      <w:r w:rsidR="00E64043" w:rsidRPr="000028C3">
        <w:t xml:space="preserve">Широкая клиентская база позволяет достичь </w:t>
      </w:r>
      <w:r w:rsidR="005549A8" w:rsidRPr="000028C3">
        <w:t xml:space="preserve">более </w:t>
      </w:r>
      <w:r w:rsidR="00E64043" w:rsidRPr="000028C3">
        <w:t xml:space="preserve">высокой диверсификации кредитных рисков, и поэтому позитивно влияет на рейтинговую оценку. Кредитование связанных сторон повышает чувствительность бизнеса </w:t>
      </w:r>
      <w:r w:rsidR="005549A8" w:rsidRPr="000028C3">
        <w:t>компании</w:t>
      </w:r>
      <w:r w:rsidR="00E64043" w:rsidRPr="000028C3">
        <w:t xml:space="preserve"> к проблемам собственников, а также является источником конфликта интересов, который может быть разрешен не в пользу </w:t>
      </w:r>
      <w:r w:rsidR="005549A8" w:rsidRPr="000028C3">
        <w:t>компании</w:t>
      </w:r>
      <w:r w:rsidR="00E64043" w:rsidRPr="000028C3">
        <w:t>. Кроме того, кредитование связанных сторон оказывает негативное влияние на внутр</w:t>
      </w:r>
      <w:r w:rsidR="005549A8" w:rsidRPr="000028C3">
        <w:t>енние</w:t>
      </w:r>
      <w:r w:rsidR="00E64043" w:rsidRPr="000028C3">
        <w:t xml:space="preserve"> процедуры риск-менеджмента. Напротив, рыночный характер операций при прочих равных позитивно оценивается </w:t>
      </w:r>
      <w:r w:rsidRPr="000028C3">
        <w:t>Агентством</w:t>
      </w:r>
      <w:r w:rsidR="00E64043" w:rsidRPr="000028C3">
        <w:t>.</w:t>
      </w:r>
    </w:p>
    <w:p w14:paraId="5B8AE1A2" w14:textId="77777777" w:rsidR="00E35B51" w:rsidRPr="000028C3" w:rsidRDefault="00E35B51" w:rsidP="0039664F">
      <w:pPr>
        <w:ind w:left="1440" w:hanging="1440"/>
        <w:jc w:val="both"/>
        <w:rPr>
          <w:highlight w:val="yellow"/>
          <w:u w:val="single"/>
        </w:rPr>
      </w:pPr>
    </w:p>
    <w:p w14:paraId="449F3D8A" w14:textId="17F06427" w:rsidR="00E35B51" w:rsidRPr="000028C3" w:rsidRDefault="00E35B51" w:rsidP="0039664F">
      <w:pPr>
        <w:pStyle w:val="ad"/>
        <w:spacing w:before="0" w:beforeAutospacing="0" w:after="0" w:afterAutospacing="0"/>
        <w:ind w:firstLine="567"/>
        <w:jc w:val="both"/>
      </w:pPr>
      <w:r w:rsidRPr="000028C3">
        <w:rPr>
          <w:u w:val="single"/>
        </w:rPr>
        <w:t>Алгоритм выставления оценки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1701"/>
        <w:gridCol w:w="1136"/>
        <w:gridCol w:w="1134"/>
        <w:gridCol w:w="1134"/>
        <w:gridCol w:w="850"/>
        <w:gridCol w:w="985"/>
      </w:tblGrid>
      <w:tr w:rsidR="000028C3" w:rsidRPr="000028C3" w14:paraId="28CD865E" w14:textId="77777777" w:rsidTr="000028C3">
        <w:trPr>
          <w:trHeight w:val="20"/>
        </w:trPr>
        <w:tc>
          <w:tcPr>
            <w:tcW w:w="1286" w:type="pct"/>
            <w:noWrap/>
            <w:vAlign w:val="center"/>
          </w:tcPr>
          <w:p w14:paraId="2C089FE4" w14:textId="3823EB0F" w:rsidR="00E35B51" w:rsidRPr="000028C3" w:rsidRDefault="00E35B51" w:rsidP="0039664F">
            <w:pPr>
              <w:rPr>
                <w:bCs/>
              </w:rPr>
            </w:pPr>
            <w:r w:rsidRPr="000028C3">
              <w:rPr>
                <w:bCs/>
              </w:rPr>
              <w:t> </w:t>
            </w:r>
            <w:r w:rsidR="009D0B14" w:rsidRPr="000028C3">
              <w:rPr>
                <w:bCs/>
              </w:rPr>
              <w:t>Параметр</w:t>
            </w:r>
          </w:p>
        </w:tc>
        <w:tc>
          <w:tcPr>
            <w:tcW w:w="910" w:type="pct"/>
          </w:tcPr>
          <w:p w14:paraId="61EAAF9D" w14:textId="77777777" w:rsidR="00E35B51" w:rsidRPr="000028C3" w:rsidRDefault="00E35B51" w:rsidP="0039664F">
            <w:pPr>
              <w:jc w:val="center"/>
              <w:rPr>
                <w:bCs/>
              </w:rPr>
            </w:pPr>
            <w:r w:rsidRPr="000028C3">
              <w:rPr>
                <w:bCs/>
              </w:rPr>
              <w:t>Определение оценки</w:t>
            </w:r>
          </w:p>
        </w:tc>
        <w:tc>
          <w:tcPr>
            <w:tcW w:w="608" w:type="pct"/>
            <w:noWrap/>
            <w:vAlign w:val="center"/>
          </w:tcPr>
          <w:p w14:paraId="03600650" w14:textId="77777777" w:rsidR="00E35B51" w:rsidRPr="000028C3" w:rsidRDefault="00E35B51" w:rsidP="0039664F">
            <w:pPr>
              <w:jc w:val="center"/>
              <w:rPr>
                <w:bCs/>
              </w:rPr>
            </w:pPr>
            <w:r w:rsidRPr="000028C3">
              <w:rPr>
                <w:bCs/>
              </w:rPr>
              <w:t>1</w:t>
            </w:r>
          </w:p>
        </w:tc>
        <w:tc>
          <w:tcPr>
            <w:tcW w:w="607" w:type="pct"/>
            <w:noWrap/>
            <w:vAlign w:val="center"/>
          </w:tcPr>
          <w:p w14:paraId="15DECA3C" w14:textId="77777777" w:rsidR="00E35B51" w:rsidRPr="000028C3" w:rsidRDefault="00E35B51" w:rsidP="0039664F">
            <w:pPr>
              <w:jc w:val="center"/>
              <w:rPr>
                <w:bCs/>
              </w:rPr>
            </w:pPr>
            <w:r w:rsidRPr="000028C3">
              <w:rPr>
                <w:bCs/>
              </w:rPr>
              <w:t>0,5</w:t>
            </w:r>
          </w:p>
        </w:tc>
        <w:tc>
          <w:tcPr>
            <w:tcW w:w="607" w:type="pct"/>
            <w:noWrap/>
            <w:vAlign w:val="center"/>
          </w:tcPr>
          <w:p w14:paraId="1F0128DB" w14:textId="77777777" w:rsidR="00E35B51" w:rsidRPr="000028C3" w:rsidRDefault="00E35B51" w:rsidP="0039664F">
            <w:pPr>
              <w:jc w:val="center"/>
              <w:rPr>
                <w:bCs/>
              </w:rPr>
            </w:pPr>
            <w:r w:rsidRPr="000028C3">
              <w:rPr>
                <w:bCs/>
              </w:rPr>
              <w:t>0</w:t>
            </w:r>
          </w:p>
        </w:tc>
        <w:tc>
          <w:tcPr>
            <w:tcW w:w="455" w:type="pct"/>
            <w:noWrap/>
            <w:vAlign w:val="center"/>
          </w:tcPr>
          <w:p w14:paraId="0A8910DC" w14:textId="77777777" w:rsidR="00E35B51" w:rsidRPr="000028C3" w:rsidRDefault="00E35B51" w:rsidP="0039664F">
            <w:pPr>
              <w:jc w:val="center"/>
              <w:rPr>
                <w:bCs/>
              </w:rPr>
            </w:pPr>
            <w:r w:rsidRPr="000028C3">
              <w:rPr>
                <w:bCs/>
              </w:rPr>
              <w:t>-0,5</w:t>
            </w:r>
          </w:p>
        </w:tc>
        <w:tc>
          <w:tcPr>
            <w:tcW w:w="528" w:type="pct"/>
            <w:noWrap/>
            <w:vAlign w:val="center"/>
          </w:tcPr>
          <w:p w14:paraId="47587D58" w14:textId="77777777" w:rsidR="00E35B51" w:rsidRPr="000028C3" w:rsidRDefault="00E35B51" w:rsidP="0039664F">
            <w:pPr>
              <w:jc w:val="center"/>
              <w:rPr>
                <w:bCs/>
              </w:rPr>
            </w:pPr>
            <w:r w:rsidRPr="000028C3">
              <w:rPr>
                <w:bCs/>
              </w:rPr>
              <w:t>-1</w:t>
            </w:r>
          </w:p>
        </w:tc>
      </w:tr>
      <w:tr w:rsidR="000028C3" w:rsidRPr="000028C3" w14:paraId="0A7D80D5" w14:textId="77777777" w:rsidTr="000028C3">
        <w:trPr>
          <w:trHeight w:val="20"/>
        </w:trPr>
        <w:tc>
          <w:tcPr>
            <w:tcW w:w="1286" w:type="pct"/>
            <w:vAlign w:val="bottom"/>
          </w:tcPr>
          <w:p w14:paraId="6FA87F1D" w14:textId="77777777" w:rsidR="00E35B51" w:rsidRPr="000028C3" w:rsidRDefault="00E35B51" w:rsidP="0039664F">
            <w:r w:rsidRPr="000028C3">
              <w:t>Компания имеет компетенции (опыт в предоставлении):</w:t>
            </w:r>
          </w:p>
          <w:p w14:paraId="2E2179DE" w14:textId="77777777" w:rsidR="00E35B51" w:rsidRPr="000028C3" w:rsidRDefault="0025143B" w:rsidP="0039664F">
            <w:r w:rsidRPr="000028C3">
              <w:t xml:space="preserve">1) </w:t>
            </w:r>
            <w:proofErr w:type="spellStart"/>
            <w:r w:rsidRPr="000028C3">
              <w:t>безрегрессного</w:t>
            </w:r>
            <w:proofErr w:type="spellEnd"/>
            <w:r w:rsidRPr="000028C3">
              <w:t xml:space="preserve"> факторинга;</w:t>
            </w:r>
          </w:p>
          <w:p w14:paraId="554CF6B7" w14:textId="77777777" w:rsidR="00E35B51" w:rsidRPr="000028C3" w:rsidRDefault="0025143B" w:rsidP="0039664F">
            <w:r w:rsidRPr="000028C3">
              <w:t>2) международного факторинга;</w:t>
            </w:r>
          </w:p>
          <w:p w14:paraId="04A1A5BF" w14:textId="77777777" w:rsidR="00E35B51" w:rsidRPr="000028C3" w:rsidRDefault="00E35B51" w:rsidP="0039664F">
            <w:r w:rsidRPr="000028C3">
              <w:t>3) факторинга без финансирования</w:t>
            </w:r>
            <w:r w:rsidR="0025143B" w:rsidRPr="000028C3">
              <w:t>;</w:t>
            </w:r>
          </w:p>
          <w:p w14:paraId="48604D01" w14:textId="77777777" w:rsidR="00E35B51" w:rsidRPr="000028C3" w:rsidRDefault="00E35B51" w:rsidP="0039664F">
            <w:r w:rsidRPr="000028C3">
              <w:t>4) реверсивн</w:t>
            </w:r>
            <w:r w:rsidR="0025143B" w:rsidRPr="000028C3">
              <w:t>ого</w:t>
            </w:r>
            <w:r w:rsidRPr="000028C3">
              <w:t xml:space="preserve"> факторинг</w:t>
            </w:r>
            <w:r w:rsidR="0025143B" w:rsidRPr="000028C3">
              <w:t>а</w:t>
            </w:r>
          </w:p>
        </w:tc>
        <w:tc>
          <w:tcPr>
            <w:tcW w:w="910" w:type="pct"/>
            <w:vMerge w:val="restart"/>
            <w:vAlign w:val="center"/>
          </w:tcPr>
          <w:p w14:paraId="3176F72E" w14:textId="77777777" w:rsidR="00E35B51" w:rsidRPr="000028C3" w:rsidRDefault="00E35B51" w:rsidP="0039664F">
            <w:pPr>
              <w:jc w:val="center"/>
            </w:pPr>
            <w:r w:rsidRPr="000028C3">
              <w:t>Мин</w:t>
            </w:r>
            <w:r w:rsidR="0056518F" w:rsidRPr="000028C3">
              <w:t>.</w:t>
            </w:r>
            <w:r w:rsidRPr="000028C3">
              <w:t xml:space="preserve"> из трех</w:t>
            </w:r>
          </w:p>
        </w:tc>
        <w:tc>
          <w:tcPr>
            <w:tcW w:w="608" w:type="pct"/>
            <w:noWrap/>
            <w:vAlign w:val="center"/>
          </w:tcPr>
          <w:p w14:paraId="3BF5750E" w14:textId="77777777" w:rsidR="00E35B51" w:rsidRPr="000028C3" w:rsidRDefault="00E35B51" w:rsidP="0039664F">
            <w:pPr>
              <w:jc w:val="center"/>
            </w:pPr>
            <w:r w:rsidRPr="000028C3">
              <w:t xml:space="preserve">Да, по </w:t>
            </w:r>
            <w:r w:rsidR="0025143B" w:rsidRPr="000028C3">
              <w:t>трем</w:t>
            </w:r>
          </w:p>
          <w:p w14:paraId="52986FA7" w14:textId="77777777" w:rsidR="00E35B51" w:rsidRPr="000028C3" w:rsidRDefault="00E35B51" w:rsidP="0039664F">
            <w:pPr>
              <w:jc w:val="center"/>
            </w:pPr>
            <w:r w:rsidRPr="000028C3">
              <w:t>любым</w:t>
            </w:r>
          </w:p>
          <w:p w14:paraId="3D004424" w14:textId="77777777" w:rsidR="00E35B51" w:rsidRPr="000028C3" w:rsidRDefault="00E35B51" w:rsidP="0039664F">
            <w:pPr>
              <w:jc w:val="center"/>
            </w:pPr>
            <w:r w:rsidRPr="000028C3">
              <w:t>пунктам</w:t>
            </w:r>
          </w:p>
        </w:tc>
        <w:tc>
          <w:tcPr>
            <w:tcW w:w="607" w:type="pct"/>
            <w:noWrap/>
            <w:vAlign w:val="center"/>
          </w:tcPr>
          <w:p w14:paraId="4E42F730" w14:textId="77777777" w:rsidR="00E35B51" w:rsidRPr="000028C3" w:rsidRDefault="00E35B51" w:rsidP="0039664F">
            <w:pPr>
              <w:jc w:val="center"/>
            </w:pPr>
            <w:r w:rsidRPr="000028C3">
              <w:t xml:space="preserve">Да, по </w:t>
            </w:r>
            <w:r w:rsidR="0025143B" w:rsidRPr="000028C3">
              <w:t>двум</w:t>
            </w:r>
          </w:p>
          <w:p w14:paraId="7A11CBAB" w14:textId="77777777" w:rsidR="00E35B51" w:rsidRPr="000028C3" w:rsidRDefault="00E35B51" w:rsidP="0039664F">
            <w:pPr>
              <w:jc w:val="center"/>
            </w:pPr>
            <w:r w:rsidRPr="000028C3">
              <w:t>любым</w:t>
            </w:r>
          </w:p>
          <w:p w14:paraId="17BF5A28" w14:textId="77777777" w:rsidR="00E35B51" w:rsidRPr="000028C3" w:rsidRDefault="00E35B51" w:rsidP="0039664F">
            <w:pPr>
              <w:jc w:val="center"/>
            </w:pPr>
            <w:r w:rsidRPr="000028C3">
              <w:t>пунктам</w:t>
            </w:r>
          </w:p>
        </w:tc>
        <w:tc>
          <w:tcPr>
            <w:tcW w:w="607" w:type="pct"/>
            <w:noWrap/>
            <w:vAlign w:val="center"/>
          </w:tcPr>
          <w:p w14:paraId="22F26DE6" w14:textId="77777777" w:rsidR="00E35B51" w:rsidRPr="000028C3" w:rsidRDefault="00E35B51" w:rsidP="0039664F">
            <w:pPr>
              <w:jc w:val="center"/>
            </w:pPr>
            <w:r w:rsidRPr="000028C3">
              <w:t xml:space="preserve">Да, </w:t>
            </w:r>
          </w:p>
          <w:p w14:paraId="496EE154" w14:textId="77777777" w:rsidR="00E35B51" w:rsidRPr="000028C3" w:rsidRDefault="00E35B51" w:rsidP="0039664F">
            <w:pPr>
              <w:jc w:val="center"/>
            </w:pPr>
            <w:r w:rsidRPr="000028C3">
              <w:t>по одному</w:t>
            </w:r>
          </w:p>
          <w:p w14:paraId="3DC72603" w14:textId="77777777" w:rsidR="00E35B51" w:rsidRPr="000028C3" w:rsidRDefault="00E35B51" w:rsidP="0039664F">
            <w:pPr>
              <w:jc w:val="center"/>
            </w:pPr>
            <w:r w:rsidRPr="000028C3">
              <w:t xml:space="preserve">любому </w:t>
            </w:r>
          </w:p>
          <w:p w14:paraId="1C0A1A68" w14:textId="77777777" w:rsidR="00E35B51" w:rsidRPr="000028C3" w:rsidRDefault="00E35B51" w:rsidP="0039664F">
            <w:pPr>
              <w:jc w:val="center"/>
            </w:pPr>
            <w:r w:rsidRPr="000028C3">
              <w:t>пункту</w:t>
            </w:r>
          </w:p>
        </w:tc>
        <w:tc>
          <w:tcPr>
            <w:tcW w:w="455" w:type="pct"/>
            <w:noWrap/>
            <w:vAlign w:val="center"/>
          </w:tcPr>
          <w:p w14:paraId="4AA3CF0A" w14:textId="77777777" w:rsidR="00E35B51" w:rsidRPr="000028C3" w:rsidRDefault="0025143B" w:rsidP="0039664F">
            <w:pPr>
              <w:jc w:val="center"/>
            </w:pPr>
            <w:r w:rsidRPr="000028C3">
              <w:t>Н</w:t>
            </w:r>
            <w:r w:rsidR="00E35B51" w:rsidRPr="000028C3">
              <w:t>ет</w:t>
            </w:r>
          </w:p>
        </w:tc>
        <w:tc>
          <w:tcPr>
            <w:tcW w:w="528" w:type="pct"/>
            <w:noWrap/>
            <w:vAlign w:val="center"/>
          </w:tcPr>
          <w:p w14:paraId="094A8283" w14:textId="77777777" w:rsidR="00E35B51" w:rsidRPr="000028C3" w:rsidRDefault="0025143B" w:rsidP="0039664F">
            <w:pPr>
              <w:jc w:val="center"/>
            </w:pPr>
            <w:r w:rsidRPr="000028C3">
              <w:t>-</w:t>
            </w:r>
          </w:p>
        </w:tc>
      </w:tr>
      <w:tr w:rsidR="000028C3" w:rsidRPr="000028C3" w14:paraId="3BF03744" w14:textId="77777777" w:rsidTr="000028C3">
        <w:trPr>
          <w:trHeight w:val="20"/>
        </w:trPr>
        <w:tc>
          <w:tcPr>
            <w:tcW w:w="1286" w:type="pct"/>
            <w:vAlign w:val="bottom"/>
          </w:tcPr>
          <w:p w14:paraId="0BC4296C" w14:textId="4A1059AF" w:rsidR="00E35B51" w:rsidRPr="000028C3" w:rsidRDefault="00E35B51" w:rsidP="0039664F">
            <w:r w:rsidRPr="000028C3">
              <w:lastRenderedPageBreak/>
              <w:t>Доля активов, приходящаяся на связанные</w:t>
            </w:r>
            <w:r w:rsidR="005055B0" w:rsidRPr="000028C3">
              <w:rPr>
                <w:rStyle w:val="a6"/>
              </w:rPr>
              <w:footnoteReference w:id="9"/>
            </w:r>
            <w:r w:rsidRPr="000028C3">
              <w:t xml:space="preserve"> стороны (на поставщиков </w:t>
            </w:r>
            <w:r w:rsidR="0025143B" w:rsidRPr="000028C3">
              <w:t xml:space="preserve">/ </w:t>
            </w:r>
            <w:r w:rsidRPr="000028C3">
              <w:t>дебиторов, аффилированных с Фактором</w:t>
            </w:r>
            <w:r w:rsidR="00BD7B03" w:rsidRPr="000028C3">
              <w:t xml:space="preserve">, или иные виды </w:t>
            </w:r>
            <w:r w:rsidR="00C91D5F" w:rsidRPr="000028C3">
              <w:t>финансирования</w:t>
            </w:r>
            <w:r w:rsidR="00BD7B03" w:rsidRPr="000028C3">
              <w:t xml:space="preserve"> связанных сторон</w:t>
            </w:r>
            <w:r w:rsidRPr="000028C3">
              <w:t>)</w:t>
            </w:r>
            <w:r w:rsidR="0025143B" w:rsidRPr="000028C3">
              <w:t xml:space="preserve">, </w:t>
            </w:r>
            <w:r w:rsidR="00BE7302" w:rsidRPr="000028C3">
              <w:t xml:space="preserve">на последнюю отчетную дату, </w:t>
            </w:r>
            <w:r w:rsidR="0025143B" w:rsidRPr="000028C3">
              <w:t>%</w:t>
            </w:r>
          </w:p>
        </w:tc>
        <w:tc>
          <w:tcPr>
            <w:tcW w:w="910" w:type="pct"/>
            <w:vMerge/>
          </w:tcPr>
          <w:p w14:paraId="7F75D6FE" w14:textId="77777777" w:rsidR="00E35B51" w:rsidRPr="000028C3" w:rsidRDefault="00E35B51" w:rsidP="0039664F">
            <w:pPr>
              <w:jc w:val="center"/>
              <w:rPr>
                <w:highlight w:val="yellow"/>
              </w:rPr>
            </w:pPr>
          </w:p>
        </w:tc>
        <w:tc>
          <w:tcPr>
            <w:tcW w:w="608" w:type="pct"/>
            <w:noWrap/>
            <w:vAlign w:val="center"/>
          </w:tcPr>
          <w:p w14:paraId="66C5C868" w14:textId="77777777" w:rsidR="00E35B51" w:rsidRPr="000028C3" w:rsidRDefault="0025143B" w:rsidP="0039664F">
            <w:pPr>
              <w:jc w:val="center"/>
            </w:pPr>
            <w:r w:rsidRPr="000028C3">
              <w:rPr>
                <w:lang w:val="en-US"/>
              </w:rPr>
              <w:t>[0;5]</w:t>
            </w:r>
          </w:p>
        </w:tc>
        <w:tc>
          <w:tcPr>
            <w:tcW w:w="607" w:type="pct"/>
            <w:noWrap/>
            <w:vAlign w:val="center"/>
          </w:tcPr>
          <w:p w14:paraId="4CA61A9E" w14:textId="77777777" w:rsidR="00E35B51" w:rsidRPr="000028C3" w:rsidRDefault="0025143B" w:rsidP="0039664F">
            <w:pPr>
              <w:jc w:val="center"/>
              <w:rPr>
                <w:lang w:val="en-US"/>
              </w:rPr>
            </w:pPr>
            <w:r w:rsidRPr="000028C3">
              <w:rPr>
                <w:lang w:val="en-US"/>
              </w:rPr>
              <w:t>(</w:t>
            </w:r>
            <w:r w:rsidR="00E35B51" w:rsidRPr="000028C3">
              <w:t>5</w:t>
            </w:r>
            <w:r w:rsidRPr="000028C3">
              <w:rPr>
                <w:lang w:val="en-US"/>
              </w:rPr>
              <w:t>;</w:t>
            </w:r>
            <w:r w:rsidR="00E35B51" w:rsidRPr="000028C3">
              <w:t>10</w:t>
            </w:r>
            <w:r w:rsidRPr="000028C3">
              <w:rPr>
                <w:lang w:val="en-US"/>
              </w:rPr>
              <w:t>]</w:t>
            </w:r>
          </w:p>
        </w:tc>
        <w:tc>
          <w:tcPr>
            <w:tcW w:w="607" w:type="pct"/>
            <w:noWrap/>
            <w:vAlign w:val="center"/>
          </w:tcPr>
          <w:p w14:paraId="1B57FB43" w14:textId="77777777" w:rsidR="00E35B51" w:rsidRPr="000028C3" w:rsidRDefault="0025143B" w:rsidP="0039664F">
            <w:pPr>
              <w:jc w:val="center"/>
              <w:rPr>
                <w:lang w:val="en-US"/>
              </w:rPr>
            </w:pPr>
            <w:r w:rsidRPr="000028C3">
              <w:rPr>
                <w:lang w:val="en-US"/>
              </w:rPr>
              <w:t>(</w:t>
            </w:r>
            <w:r w:rsidR="00E35B51" w:rsidRPr="000028C3">
              <w:t>10</w:t>
            </w:r>
            <w:r w:rsidRPr="000028C3">
              <w:rPr>
                <w:lang w:val="en-US"/>
              </w:rPr>
              <w:t>;</w:t>
            </w:r>
            <w:r w:rsidR="00E35B51" w:rsidRPr="000028C3">
              <w:t>15</w:t>
            </w:r>
            <w:r w:rsidRPr="000028C3">
              <w:rPr>
                <w:lang w:val="en-US"/>
              </w:rPr>
              <w:t>]</w:t>
            </w:r>
          </w:p>
        </w:tc>
        <w:tc>
          <w:tcPr>
            <w:tcW w:w="455" w:type="pct"/>
            <w:noWrap/>
            <w:vAlign w:val="center"/>
          </w:tcPr>
          <w:p w14:paraId="194F0758" w14:textId="77777777" w:rsidR="00E35B51" w:rsidRPr="000028C3" w:rsidRDefault="0025143B" w:rsidP="0039664F">
            <w:pPr>
              <w:jc w:val="center"/>
              <w:rPr>
                <w:lang w:val="en-US"/>
              </w:rPr>
            </w:pPr>
            <w:r w:rsidRPr="000028C3">
              <w:t>(</w:t>
            </w:r>
            <w:r w:rsidR="00E35B51" w:rsidRPr="000028C3">
              <w:t>15</w:t>
            </w:r>
            <w:r w:rsidRPr="000028C3">
              <w:t>;</w:t>
            </w:r>
            <w:r w:rsidR="00E35B51" w:rsidRPr="000028C3">
              <w:t>20</w:t>
            </w:r>
            <w:r w:rsidRPr="000028C3">
              <w:rPr>
                <w:lang w:val="en-US"/>
              </w:rPr>
              <w:t>]</w:t>
            </w:r>
          </w:p>
        </w:tc>
        <w:tc>
          <w:tcPr>
            <w:tcW w:w="528" w:type="pct"/>
            <w:noWrap/>
            <w:vAlign w:val="center"/>
          </w:tcPr>
          <w:p w14:paraId="07D971D2" w14:textId="704D73CD" w:rsidR="00E35B51" w:rsidRPr="000028C3" w:rsidRDefault="0025143B" w:rsidP="0039664F">
            <w:r w:rsidRPr="000028C3">
              <w:rPr>
                <w:lang w:val="en-US"/>
              </w:rPr>
              <w:t>&gt;</w:t>
            </w:r>
            <w:r w:rsidR="00E35B51" w:rsidRPr="000028C3">
              <w:t xml:space="preserve"> 20</w:t>
            </w:r>
          </w:p>
        </w:tc>
      </w:tr>
      <w:tr w:rsidR="000028C3" w:rsidRPr="000028C3" w14:paraId="60E8C39A" w14:textId="77777777" w:rsidTr="000028C3">
        <w:trPr>
          <w:trHeight w:val="20"/>
        </w:trPr>
        <w:tc>
          <w:tcPr>
            <w:tcW w:w="1286" w:type="pct"/>
            <w:vAlign w:val="bottom"/>
          </w:tcPr>
          <w:p w14:paraId="09850B77" w14:textId="77777777" w:rsidR="00E35B51" w:rsidRPr="000028C3" w:rsidRDefault="00E35B51" w:rsidP="0039664F">
            <w:pPr>
              <w:rPr>
                <w:highlight w:val="yellow"/>
              </w:rPr>
            </w:pPr>
            <w:r w:rsidRPr="000028C3">
              <w:t>Число клиентов</w:t>
            </w:r>
            <w:r w:rsidR="00614CC3" w:rsidRPr="000028C3">
              <w:t xml:space="preserve"> </w:t>
            </w:r>
            <w:r w:rsidRPr="000028C3">
              <w:t>/</w:t>
            </w:r>
            <w:r w:rsidR="00614CC3" w:rsidRPr="000028C3">
              <w:t xml:space="preserve"> </w:t>
            </w:r>
            <w:r w:rsidRPr="000028C3">
              <w:t xml:space="preserve">поставщиков, обслуженных компанией </w:t>
            </w:r>
            <w:r w:rsidR="006C6086" w:rsidRPr="000028C3">
              <w:t>за последние 4 квартала</w:t>
            </w:r>
            <w:r w:rsidRPr="000028C3">
              <w:t xml:space="preserve"> (непрерывная </w:t>
            </w:r>
            <w:r w:rsidR="007931E8" w:rsidRPr="000028C3">
              <w:t xml:space="preserve">линейная </w:t>
            </w:r>
            <w:r w:rsidRPr="000028C3">
              <w:t>оценка)</w:t>
            </w:r>
          </w:p>
        </w:tc>
        <w:tc>
          <w:tcPr>
            <w:tcW w:w="910" w:type="pct"/>
            <w:vMerge/>
          </w:tcPr>
          <w:p w14:paraId="50158CF3" w14:textId="77777777" w:rsidR="00E35B51" w:rsidRPr="000028C3" w:rsidRDefault="00E35B51" w:rsidP="0039664F">
            <w:pPr>
              <w:jc w:val="center"/>
              <w:rPr>
                <w:highlight w:val="yellow"/>
              </w:rPr>
            </w:pPr>
          </w:p>
        </w:tc>
        <w:tc>
          <w:tcPr>
            <w:tcW w:w="608" w:type="pct"/>
            <w:noWrap/>
            <w:vAlign w:val="center"/>
          </w:tcPr>
          <w:p w14:paraId="65CD335F" w14:textId="66606885" w:rsidR="00E35B51" w:rsidRPr="000028C3" w:rsidRDefault="00BE7302" w:rsidP="0039664F">
            <w:pPr>
              <w:jc w:val="center"/>
            </w:pPr>
            <w:r w:rsidRPr="000028C3">
              <w:t>≥</w:t>
            </w:r>
            <w:r w:rsidR="00E35B51" w:rsidRPr="000028C3">
              <w:t xml:space="preserve"> </w:t>
            </w:r>
            <w:r w:rsidR="002C00FA" w:rsidRPr="000028C3">
              <w:t>200</w:t>
            </w:r>
          </w:p>
        </w:tc>
        <w:tc>
          <w:tcPr>
            <w:tcW w:w="607" w:type="pct"/>
            <w:noWrap/>
            <w:vAlign w:val="center"/>
          </w:tcPr>
          <w:p w14:paraId="0C38AF56" w14:textId="77777777" w:rsidR="00E35B51" w:rsidRPr="000028C3" w:rsidRDefault="00BE7302" w:rsidP="0039664F">
            <w:pPr>
              <w:jc w:val="center"/>
            </w:pPr>
            <w:r w:rsidRPr="000028C3">
              <w:t>-</w:t>
            </w:r>
          </w:p>
        </w:tc>
        <w:tc>
          <w:tcPr>
            <w:tcW w:w="607" w:type="pct"/>
            <w:noWrap/>
            <w:vAlign w:val="center"/>
          </w:tcPr>
          <w:p w14:paraId="75AB3853" w14:textId="77777777" w:rsidR="00E35B51" w:rsidRPr="000028C3" w:rsidRDefault="00BE7302" w:rsidP="0039664F">
            <w:pPr>
              <w:jc w:val="center"/>
            </w:pPr>
            <w:r w:rsidRPr="000028C3">
              <w:t>-</w:t>
            </w:r>
          </w:p>
        </w:tc>
        <w:tc>
          <w:tcPr>
            <w:tcW w:w="455" w:type="pct"/>
            <w:noWrap/>
            <w:vAlign w:val="center"/>
          </w:tcPr>
          <w:p w14:paraId="449CD04C" w14:textId="77777777" w:rsidR="00E35B51" w:rsidRPr="000028C3" w:rsidRDefault="00BE7302" w:rsidP="0039664F">
            <w:pPr>
              <w:jc w:val="center"/>
            </w:pPr>
            <w:r w:rsidRPr="000028C3">
              <w:t>-</w:t>
            </w:r>
          </w:p>
        </w:tc>
        <w:tc>
          <w:tcPr>
            <w:tcW w:w="528" w:type="pct"/>
            <w:noWrap/>
            <w:vAlign w:val="center"/>
          </w:tcPr>
          <w:p w14:paraId="4EEFCF19" w14:textId="77777777" w:rsidR="00E35B51" w:rsidRPr="000028C3" w:rsidRDefault="00BE7302" w:rsidP="0039664F">
            <w:pPr>
              <w:jc w:val="center"/>
            </w:pPr>
            <w:r w:rsidRPr="000028C3">
              <w:t xml:space="preserve">≤ </w:t>
            </w:r>
            <w:r w:rsidR="00E35B51" w:rsidRPr="000028C3">
              <w:t>20</w:t>
            </w:r>
          </w:p>
        </w:tc>
      </w:tr>
    </w:tbl>
    <w:p w14:paraId="5CA4DCC3" w14:textId="77777777" w:rsidR="008B1955" w:rsidRPr="000028C3" w:rsidRDefault="008B1955" w:rsidP="0039664F">
      <w:pPr>
        <w:rPr>
          <w:highlight w:val="yellow"/>
        </w:rPr>
      </w:pPr>
    </w:p>
    <w:p w14:paraId="4F76D0B4" w14:textId="77777777" w:rsidR="008B1955" w:rsidRPr="000028C3" w:rsidRDefault="008B1955" w:rsidP="0039664F">
      <w:pPr>
        <w:jc w:val="both"/>
        <w:rPr>
          <w:highlight w:val="yellow"/>
        </w:rPr>
      </w:pPr>
    </w:p>
    <w:p w14:paraId="1C315C6A" w14:textId="77777777" w:rsidR="008B1955" w:rsidRPr="000028C3" w:rsidRDefault="008B1955" w:rsidP="0039664F">
      <w:pPr>
        <w:pStyle w:val="2"/>
        <w:tabs>
          <w:tab w:val="num" w:pos="576"/>
        </w:tabs>
        <w:suppressAutoHyphens/>
        <w:spacing w:before="0" w:after="0"/>
        <w:ind w:left="576" w:hanging="576"/>
        <w:rPr>
          <w:rFonts w:ascii="Times New Roman" w:hAnsi="Times New Roman" w:cs="Times New Roman"/>
          <w:highlight w:val="yellow"/>
        </w:rPr>
      </w:pPr>
      <w:r w:rsidRPr="000028C3">
        <w:rPr>
          <w:rFonts w:ascii="Times New Roman" w:hAnsi="Times New Roman" w:cs="Times New Roman"/>
          <w:highlight w:val="yellow"/>
        </w:rPr>
        <w:br w:type="page"/>
      </w:r>
      <w:bookmarkStart w:id="38" w:name="_Toc447270432"/>
      <w:bookmarkStart w:id="39" w:name="_Toc39667616"/>
      <w:r w:rsidRPr="000028C3">
        <w:rPr>
          <w:rFonts w:ascii="Times New Roman" w:hAnsi="Times New Roman" w:cs="Times New Roman"/>
          <w:i w:val="0"/>
          <w:lang w:eastAsia="ar-SA"/>
        </w:rPr>
        <w:lastRenderedPageBreak/>
        <w:t>РАЗДЕЛ II. ФИНАНСОВЫЙ АНАЛИЗ</w:t>
      </w:r>
      <w:bookmarkEnd w:id="38"/>
      <w:bookmarkEnd w:id="39"/>
    </w:p>
    <w:p w14:paraId="2CB30BE0" w14:textId="77777777" w:rsidR="00B32A34" w:rsidRPr="000028C3" w:rsidRDefault="00B32A34" w:rsidP="0039664F">
      <w:pPr>
        <w:rPr>
          <w:highlight w:val="yellow"/>
        </w:rPr>
      </w:pPr>
    </w:p>
    <w:p w14:paraId="6BDB6125" w14:textId="77777777" w:rsidR="00B32A34" w:rsidRPr="000028C3" w:rsidRDefault="00B32A34" w:rsidP="0039664F">
      <w:pPr>
        <w:pStyle w:val="ad"/>
        <w:spacing w:before="0" w:beforeAutospacing="0" w:after="0" w:afterAutospacing="0"/>
        <w:ind w:firstLine="567"/>
        <w:jc w:val="both"/>
      </w:pPr>
      <w:r w:rsidRPr="000028C3">
        <w:rPr>
          <w:u w:val="single"/>
        </w:rPr>
        <w:t xml:space="preserve">Источники информации для раздела </w:t>
      </w:r>
      <w:r w:rsidRPr="000028C3">
        <w:rPr>
          <w:u w:val="single"/>
          <w:lang w:val="en-US"/>
        </w:rPr>
        <w:t>II</w:t>
      </w:r>
      <w:r w:rsidRPr="000028C3">
        <w:t>:</w:t>
      </w:r>
    </w:p>
    <w:p w14:paraId="5A2AC14D" w14:textId="77777777" w:rsidR="00AE1CC1" w:rsidRPr="000028C3" w:rsidRDefault="003A55B5"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Бухгалтерский баланс, отчет о финансовом положении.</w:t>
      </w:r>
    </w:p>
    <w:p w14:paraId="3546805D" w14:textId="256FB3BA" w:rsidR="003A55B5" w:rsidRPr="000028C3" w:rsidRDefault="003A55B5"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Отчет о финансовых результат</w:t>
      </w:r>
      <w:r w:rsidR="00645F45" w:rsidRPr="000028C3">
        <w:rPr>
          <w:rFonts w:ascii="Times New Roman" w:hAnsi="Times New Roman" w:cs="Times New Roman"/>
        </w:rPr>
        <w:t>ах</w:t>
      </w:r>
      <w:r w:rsidRPr="000028C3">
        <w:rPr>
          <w:rFonts w:ascii="Times New Roman" w:hAnsi="Times New Roman" w:cs="Times New Roman"/>
        </w:rPr>
        <w:t>.</w:t>
      </w:r>
    </w:p>
    <w:p w14:paraId="6CB73E02" w14:textId="77777777" w:rsidR="00AE1CC1" w:rsidRPr="000028C3" w:rsidRDefault="00AE1CC1"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Анкета.</w:t>
      </w:r>
    </w:p>
    <w:p w14:paraId="4CD2C4D8" w14:textId="73474C65" w:rsidR="00AE1CC1" w:rsidRPr="000028C3" w:rsidRDefault="00AE1CC1"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П</w:t>
      </w:r>
      <w:r w:rsidR="00AD54D1" w:rsidRPr="000028C3">
        <w:rPr>
          <w:rFonts w:ascii="Times New Roman" w:hAnsi="Times New Roman" w:cs="Times New Roman"/>
        </w:rPr>
        <w:t xml:space="preserve">рогнозный </w:t>
      </w:r>
      <w:proofErr w:type="spellStart"/>
      <w:r w:rsidR="00AD54D1" w:rsidRPr="000028C3">
        <w:rPr>
          <w:rFonts w:ascii="Times New Roman" w:hAnsi="Times New Roman" w:cs="Times New Roman"/>
        </w:rPr>
        <w:t>cash</w:t>
      </w:r>
      <w:proofErr w:type="spellEnd"/>
      <w:r w:rsidR="00AD54D1" w:rsidRPr="000028C3">
        <w:rPr>
          <w:rFonts w:ascii="Times New Roman" w:hAnsi="Times New Roman" w:cs="Times New Roman"/>
        </w:rPr>
        <w:t xml:space="preserve"> </w:t>
      </w:r>
      <w:proofErr w:type="spellStart"/>
      <w:r w:rsidR="00AD54D1" w:rsidRPr="000028C3">
        <w:rPr>
          <w:rFonts w:ascii="Times New Roman" w:hAnsi="Times New Roman" w:cs="Times New Roman"/>
        </w:rPr>
        <w:t>flow</w:t>
      </w:r>
      <w:proofErr w:type="spellEnd"/>
      <w:r w:rsidR="005055B0" w:rsidRPr="000028C3">
        <w:rPr>
          <w:rFonts w:ascii="Times New Roman" w:hAnsi="Times New Roman" w:cs="Times New Roman"/>
        </w:rPr>
        <w:t xml:space="preserve"> / финансовая модель</w:t>
      </w:r>
      <w:r w:rsidRPr="000028C3">
        <w:rPr>
          <w:rFonts w:ascii="Times New Roman" w:hAnsi="Times New Roman" w:cs="Times New Roman"/>
        </w:rPr>
        <w:t>.</w:t>
      </w:r>
    </w:p>
    <w:p w14:paraId="4CD65E85" w14:textId="494EA848" w:rsidR="00AE1CC1" w:rsidRPr="000028C3" w:rsidRDefault="003A55B5"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Н</w:t>
      </w:r>
      <w:r w:rsidR="00AE1CC1" w:rsidRPr="000028C3">
        <w:rPr>
          <w:rFonts w:ascii="Times New Roman" w:hAnsi="Times New Roman" w:cs="Times New Roman"/>
        </w:rPr>
        <w:t xml:space="preserve">епубличная финансовая отчетность контрагентов (при ее наличии у </w:t>
      </w:r>
      <w:r w:rsidR="00C81869" w:rsidRPr="000028C3">
        <w:rPr>
          <w:rFonts w:ascii="Times New Roman" w:hAnsi="Times New Roman" w:cs="Times New Roman"/>
        </w:rPr>
        <w:t>А</w:t>
      </w:r>
      <w:r w:rsidR="00AE1CC1" w:rsidRPr="000028C3">
        <w:rPr>
          <w:rFonts w:ascii="Times New Roman" w:hAnsi="Times New Roman" w:cs="Times New Roman"/>
        </w:rPr>
        <w:t>гентства);</w:t>
      </w:r>
    </w:p>
    <w:p w14:paraId="56F4FC2A" w14:textId="77777777" w:rsidR="00AD54D1" w:rsidRPr="000028C3" w:rsidRDefault="00AE1CC1"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О</w:t>
      </w:r>
      <w:r w:rsidR="00AD54D1" w:rsidRPr="000028C3">
        <w:rPr>
          <w:rFonts w:ascii="Times New Roman" w:hAnsi="Times New Roman" w:cs="Times New Roman"/>
        </w:rPr>
        <w:t xml:space="preserve">тчет о </w:t>
      </w:r>
      <w:r w:rsidRPr="000028C3">
        <w:rPr>
          <w:rFonts w:ascii="Times New Roman" w:hAnsi="Times New Roman" w:cs="Times New Roman"/>
        </w:rPr>
        <w:t>движении денежных средств.</w:t>
      </w:r>
    </w:p>
    <w:p w14:paraId="0F7ACE06" w14:textId="77777777" w:rsidR="003A55B5" w:rsidRPr="000028C3" w:rsidRDefault="003A55B5" w:rsidP="0098669D">
      <w:pPr>
        <w:pStyle w:val="af7"/>
        <w:numPr>
          <w:ilvl w:val="0"/>
          <w:numId w:val="40"/>
        </w:numPr>
        <w:ind w:left="924" w:hanging="357"/>
        <w:jc w:val="both"/>
        <w:rPr>
          <w:rFonts w:ascii="Times New Roman" w:hAnsi="Times New Roman" w:cs="Times New Roman"/>
        </w:rPr>
      </w:pPr>
      <w:r w:rsidRPr="000028C3">
        <w:rPr>
          <w:rFonts w:ascii="Times New Roman" w:hAnsi="Times New Roman" w:cs="Times New Roman"/>
        </w:rPr>
        <w:t>Отчеты оценщиков о стоимости объектов недвижимости.</w:t>
      </w:r>
    </w:p>
    <w:p w14:paraId="753E6BD5" w14:textId="77777777" w:rsidR="00AE1CC1" w:rsidRPr="000028C3" w:rsidRDefault="00AE1CC1" w:rsidP="0098669D">
      <w:pPr>
        <w:pStyle w:val="af7"/>
        <w:numPr>
          <w:ilvl w:val="0"/>
          <w:numId w:val="40"/>
        </w:numPr>
        <w:ind w:left="924" w:hanging="357"/>
        <w:jc w:val="both"/>
        <w:rPr>
          <w:rFonts w:ascii="Times New Roman" w:hAnsi="Times New Roman" w:cs="Times New Roman"/>
        </w:rPr>
      </w:pPr>
      <w:bookmarkStart w:id="40" w:name="_Toc447270433"/>
      <w:bookmarkStart w:id="41" w:name="_Toc159582221"/>
      <w:r w:rsidRPr="000028C3">
        <w:rPr>
          <w:rFonts w:ascii="Times New Roman" w:hAnsi="Times New Roman" w:cs="Times New Roman"/>
        </w:rPr>
        <w:t>Информация, полученная в ходе рейтингового интервью.</w:t>
      </w:r>
    </w:p>
    <w:p w14:paraId="6B1CC107" w14:textId="74BE8002" w:rsidR="005055B0" w:rsidRPr="000028C3" w:rsidRDefault="00F57602" w:rsidP="0098669D">
      <w:pPr>
        <w:pStyle w:val="af7"/>
        <w:numPr>
          <w:ilvl w:val="0"/>
          <w:numId w:val="40"/>
        </w:numPr>
        <w:tabs>
          <w:tab w:val="left" w:pos="426"/>
        </w:tabs>
        <w:ind w:left="924" w:hanging="357"/>
        <w:jc w:val="both"/>
        <w:rPr>
          <w:rFonts w:ascii="Times New Roman" w:hAnsi="Times New Roman" w:cs="Times New Roman"/>
        </w:rPr>
      </w:pPr>
      <w:r w:rsidRPr="000028C3">
        <w:rPr>
          <w:rFonts w:ascii="Times New Roman" w:hAnsi="Times New Roman" w:cs="Times New Roman"/>
        </w:rPr>
        <w:t>Информационный ресурс «СПАРК-Интерфакс».</w:t>
      </w:r>
    </w:p>
    <w:p w14:paraId="1A9A276F" w14:textId="77777777" w:rsidR="00F57602" w:rsidRPr="000028C3" w:rsidRDefault="00F57602" w:rsidP="0098669D">
      <w:pPr>
        <w:pStyle w:val="af7"/>
        <w:numPr>
          <w:ilvl w:val="0"/>
          <w:numId w:val="40"/>
        </w:numPr>
        <w:tabs>
          <w:tab w:val="left" w:pos="426"/>
        </w:tabs>
        <w:ind w:left="924" w:hanging="357"/>
        <w:jc w:val="both"/>
        <w:rPr>
          <w:rFonts w:ascii="Times New Roman" w:hAnsi="Times New Roman" w:cs="Times New Roman"/>
        </w:rPr>
      </w:pPr>
      <w:r w:rsidRPr="000028C3">
        <w:rPr>
          <w:rFonts w:ascii="Times New Roman" w:hAnsi="Times New Roman" w:cs="Times New Roman"/>
        </w:rPr>
        <w:t>Картотека арбитражных дел и др.</w:t>
      </w:r>
    </w:p>
    <w:p w14:paraId="26E78F7D" w14:textId="77777777" w:rsidR="00AE1CC1" w:rsidRPr="000028C3" w:rsidRDefault="00AE1CC1" w:rsidP="0098669D">
      <w:pPr>
        <w:pStyle w:val="af7"/>
        <w:numPr>
          <w:ilvl w:val="0"/>
          <w:numId w:val="40"/>
        </w:numPr>
        <w:tabs>
          <w:tab w:val="left" w:pos="426"/>
        </w:tabs>
        <w:ind w:left="924" w:hanging="357"/>
        <w:jc w:val="both"/>
        <w:rPr>
          <w:rFonts w:ascii="Times New Roman" w:hAnsi="Times New Roman" w:cs="Times New Roman"/>
        </w:rPr>
      </w:pPr>
      <w:r w:rsidRPr="000028C3">
        <w:rPr>
          <w:rFonts w:ascii="Times New Roman" w:hAnsi="Times New Roman" w:cs="Times New Roman"/>
        </w:rPr>
        <w:t>Информация из СМИ и других открытых источников.</w:t>
      </w:r>
    </w:p>
    <w:p w14:paraId="1C7870CD" w14:textId="77777777" w:rsidR="00614CC3" w:rsidRPr="000028C3" w:rsidRDefault="00614CC3" w:rsidP="0039664F">
      <w:pPr>
        <w:jc w:val="both"/>
        <w:rPr>
          <w:highlight w:val="yellow"/>
        </w:rPr>
      </w:pPr>
    </w:p>
    <w:p w14:paraId="538C1966" w14:textId="77777777" w:rsidR="008B1955" w:rsidRPr="000028C3" w:rsidRDefault="008B1955" w:rsidP="0098669D">
      <w:pPr>
        <w:pStyle w:val="3"/>
        <w:numPr>
          <w:ilvl w:val="1"/>
          <w:numId w:val="17"/>
        </w:numPr>
        <w:spacing w:before="0" w:after="0"/>
        <w:rPr>
          <w:rFonts w:ascii="Times New Roman" w:hAnsi="Times New Roman" w:cs="Times New Roman"/>
        </w:rPr>
      </w:pPr>
      <w:bookmarkStart w:id="42" w:name="_Toc39667617"/>
      <w:r w:rsidRPr="000028C3">
        <w:rPr>
          <w:rFonts w:ascii="Times New Roman" w:hAnsi="Times New Roman" w:cs="Times New Roman"/>
        </w:rPr>
        <w:t>Достаточность капитала и политика резервирования</w:t>
      </w:r>
      <w:bookmarkEnd w:id="40"/>
      <w:bookmarkEnd w:id="42"/>
    </w:p>
    <w:p w14:paraId="557D5710" w14:textId="77777777" w:rsidR="0039664F" w:rsidRPr="000028C3" w:rsidRDefault="0039664F" w:rsidP="0039664F">
      <w:pPr>
        <w:pStyle w:val="ad"/>
        <w:spacing w:before="0" w:beforeAutospacing="0" w:after="0" w:afterAutospacing="0"/>
        <w:ind w:firstLine="567"/>
        <w:jc w:val="both"/>
        <w:rPr>
          <w:u w:val="single"/>
        </w:rPr>
      </w:pPr>
      <w:bookmarkStart w:id="43" w:name="_Toc159582222"/>
    </w:p>
    <w:p w14:paraId="40B74F59" w14:textId="65F4A345" w:rsidR="009808DE" w:rsidRPr="000028C3" w:rsidRDefault="008B1955" w:rsidP="0039664F">
      <w:pPr>
        <w:pStyle w:val="ad"/>
        <w:spacing w:before="0" w:beforeAutospacing="0" w:after="0" w:afterAutospacing="0"/>
        <w:ind w:firstLine="567"/>
        <w:jc w:val="both"/>
        <w:rPr>
          <w:u w:val="single"/>
        </w:rPr>
      </w:pPr>
      <w:r w:rsidRPr="000028C3">
        <w:rPr>
          <w:u w:val="single"/>
        </w:rPr>
        <w:t>Цель оценки</w:t>
      </w:r>
    </w:p>
    <w:p w14:paraId="536BD562" w14:textId="77777777" w:rsidR="005549A8" w:rsidRPr="000028C3" w:rsidRDefault="005549A8" w:rsidP="0039664F">
      <w:pPr>
        <w:pStyle w:val="ad"/>
        <w:spacing w:before="0" w:beforeAutospacing="0" w:after="0" w:afterAutospacing="0"/>
        <w:ind w:firstLine="567"/>
        <w:jc w:val="both"/>
      </w:pPr>
      <w:r w:rsidRPr="000028C3">
        <w:t>Определить, насколько размер и качество капитала позволяют компании покрывать принимаемые риски и наращивать объемы операций. Достаточность собственных средств (коэффициент автономии) оценивается с точки зрения возможностей компании по абсорбированию убытков. Чем больший объем потенциальных убытков может понести компания, тем более позитивно это сказывается на е</w:t>
      </w:r>
      <w:r w:rsidR="00832BDF" w:rsidRPr="000028C3">
        <w:t>е</w:t>
      </w:r>
      <w:r w:rsidRPr="000028C3">
        <w:t xml:space="preserve"> кредитоспособности</w:t>
      </w:r>
      <w:r w:rsidR="00832BDF" w:rsidRPr="000028C3">
        <w:t>.</w:t>
      </w:r>
    </w:p>
    <w:p w14:paraId="6AE5F873" w14:textId="77777777" w:rsidR="00832BDF" w:rsidRPr="000028C3" w:rsidRDefault="00832BDF" w:rsidP="0039664F">
      <w:pPr>
        <w:jc w:val="both"/>
      </w:pPr>
    </w:p>
    <w:p w14:paraId="13794A8B" w14:textId="752885CD" w:rsidR="00EA37A0" w:rsidRPr="000028C3" w:rsidRDefault="00EA37A0"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4DB15EBD" w14:textId="426FBDF4" w:rsidR="005B6B71" w:rsidRPr="000028C3" w:rsidRDefault="005B6B71" w:rsidP="005B6B71">
      <w:pPr>
        <w:pStyle w:val="ad"/>
        <w:spacing w:before="0" w:beforeAutospacing="0" w:after="0" w:afterAutospacing="0"/>
        <w:ind w:firstLine="567"/>
        <w:jc w:val="both"/>
      </w:pPr>
      <w:r w:rsidRPr="000028C3">
        <w:t>Оцениваемый показатель относятся к показателям с длинным хвостом. Используется непрерывная линейная оценка.</w:t>
      </w:r>
    </w:p>
    <w:p w14:paraId="2BBE593B" w14:textId="77777777" w:rsidR="005B6B71" w:rsidRPr="000028C3" w:rsidRDefault="005B6B71" w:rsidP="005B6B71">
      <w:pPr>
        <w:pStyle w:val="ad"/>
        <w:spacing w:before="0" w:beforeAutospacing="0" w:after="0" w:afterAutospacing="0"/>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7"/>
        <w:gridCol w:w="695"/>
        <w:gridCol w:w="873"/>
      </w:tblGrid>
      <w:tr w:rsidR="005B6B71" w:rsidRPr="000028C3" w14:paraId="7E7E1946" w14:textId="77777777" w:rsidTr="00797C86">
        <w:tc>
          <w:tcPr>
            <w:tcW w:w="4161" w:type="pct"/>
            <w:shd w:val="clear" w:color="auto" w:fill="auto"/>
          </w:tcPr>
          <w:p w14:paraId="22471DCD" w14:textId="77777777" w:rsidR="005B6B71" w:rsidRPr="000028C3" w:rsidRDefault="005B6B71" w:rsidP="00797C86">
            <w:pPr>
              <w:jc w:val="both"/>
            </w:pPr>
            <w:r w:rsidRPr="000028C3">
              <w:t>Показатель</w:t>
            </w:r>
          </w:p>
        </w:tc>
        <w:tc>
          <w:tcPr>
            <w:tcW w:w="372" w:type="pct"/>
            <w:shd w:val="clear" w:color="auto" w:fill="auto"/>
            <w:vAlign w:val="center"/>
          </w:tcPr>
          <w:p w14:paraId="1D4EF746" w14:textId="77777777" w:rsidR="005B6B71" w:rsidRPr="000028C3" w:rsidRDefault="005B6B71" w:rsidP="00797C86">
            <w:pPr>
              <w:jc w:val="center"/>
            </w:pPr>
            <w:r w:rsidRPr="000028C3">
              <w:t>-1</w:t>
            </w:r>
          </w:p>
        </w:tc>
        <w:tc>
          <w:tcPr>
            <w:tcW w:w="467" w:type="pct"/>
            <w:shd w:val="clear" w:color="auto" w:fill="auto"/>
            <w:vAlign w:val="center"/>
          </w:tcPr>
          <w:p w14:paraId="7970FBF0" w14:textId="77777777" w:rsidR="005B6B71" w:rsidRPr="000028C3" w:rsidRDefault="005B6B71" w:rsidP="00797C86">
            <w:pPr>
              <w:jc w:val="center"/>
            </w:pPr>
            <w:r w:rsidRPr="000028C3">
              <w:t>1</w:t>
            </w:r>
          </w:p>
        </w:tc>
      </w:tr>
      <w:tr w:rsidR="005B6B71" w:rsidRPr="000028C3" w14:paraId="6B9712CD" w14:textId="77777777" w:rsidTr="00797C86">
        <w:tc>
          <w:tcPr>
            <w:tcW w:w="4161" w:type="pct"/>
            <w:shd w:val="clear" w:color="auto" w:fill="auto"/>
          </w:tcPr>
          <w:p w14:paraId="469C92A2" w14:textId="77777777" w:rsidR="005B6B71" w:rsidRPr="000028C3" w:rsidRDefault="005B6B71" w:rsidP="00797C86">
            <w:pPr>
              <w:jc w:val="both"/>
            </w:pPr>
            <w:r w:rsidRPr="000028C3">
              <w:t>Скорректированный коэффициент автономии, %</w:t>
            </w:r>
          </w:p>
        </w:tc>
        <w:tc>
          <w:tcPr>
            <w:tcW w:w="372" w:type="pct"/>
            <w:shd w:val="clear" w:color="auto" w:fill="auto"/>
            <w:vAlign w:val="center"/>
          </w:tcPr>
          <w:p w14:paraId="7FB22298" w14:textId="0A4D93C3" w:rsidR="005B6B71" w:rsidRPr="000028C3" w:rsidRDefault="005B6B71" w:rsidP="00797C86">
            <w:pPr>
              <w:jc w:val="center"/>
            </w:pPr>
            <w:r w:rsidRPr="000028C3">
              <w:t>≤</w:t>
            </w:r>
            <w:r w:rsidR="00456DE3" w:rsidRPr="000028C3">
              <w:t xml:space="preserve"> </w:t>
            </w:r>
            <w:r w:rsidRPr="000028C3">
              <w:t>4</w:t>
            </w:r>
          </w:p>
        </w:tc>
        <w:tc>
          <w:tcPr>
            <w:tcW w:w="467" w:type="pct"/>
            <w:shd w:val="clear" w:color="auto" w:fill="auto"/>
            <w:vAlign w:val="center"/>
          </w:tcPr>
          <w:p w14:paraId="6FE627F0" w14:textId="5D2A5437" w:rsidR="005B6B71" w:rsidRPr="000028C3" w:rsidRDefault="005B6B71" w:rsidP="00797C86">
            <w:pPr>
              <w:jc w:val="center"/>
            </w:pPr>
            <w:r w:rsidRPr="000028C3">
              <w:t>≥</w:t>
            </w:r>
            <w:r w:rsidR="00456DE3" w:rsidRPr="000028C3">
              <w:t xml:space="preserve"> </w:t>
            </w:r>
            <w:r w:rsidRPr="000028C3">
              <w:t>18</w:t>
            </w:r>
          </w:p>
        </w:tc>
      </w:tr>
    </w:tbl>
    <w:p w14:paraId="57F0A5E7" w14:textId="77777777" w:rsidR="005B6B71" w:rsidRPr="000028C3" w:rsidRDefault="005B6B71" w:rsidP="0039664F">
      <w:pPr>
        <w:pStyle w:val="ad"/>
        <w:spacing w:before="0" w:beforeAutospacing="0" w:after="0" w:afterAutospacing="0"/>
        <w:ind w:firstLine="567"/>
        <w:jc w:val="both"/>
      </w:pPr>
    </w:p>
    <w:p w14:paraId="2F2D663A" w14:textId="7FA42A1D" w:rsidR="008B1955" w:rsidRPr="000028C3" w:rsidRDefault="00B47FBB" w:rsidP="0039664F">
      <w:pPr>
        <w:pStyle w:val="ad"/>
        <w:spacing w:before="0" w:beforeAutospacing="0" w:after="0" w:afterAutospacing="0"/>
        <w:ind w:firstLine="567"/>
        <w:jc w:val="both"/>
        <w:rPr>
          <w:highlight w:val="yellow"/>
        </w:rPr>
      </w:pPr>
      <w:r w:rsidRPr="000028C3">
        <w:t>В</w:t>
      </w:r>
      <w:r w:rsidR="008B1955" w:rsidRPr="000028C3">
        <w:t>водится понятие скорректированного коэффициента автономии на резервы на возможные потери</w:t>
      </w:r>
      <w:r w:rsidRPr="000028C3">
        <w:t xml:space="preserve">. </w:t>
      </w:r>
      <w:r w:rsidR="008B1955" w:rsidRPr="000028C3">
        <w:t>Расчет коэффициент</w:t>
      </w:r>
      <w:r w:rsidR="00EA37A0" w:rsidRPr="000028C3">
        <w:t>а</w:t>
      </w:r>
      <w:r w:rsidR="008B1955" w:rsidRPr="000028C3">
        <w:t xml:space="preserve"> </w:t>
      </w:r>
      <w:r w:rsidR="00EA37A0" w:rsidRPr="000028C3">
        <w:t xml:space="preserve">включает </w:t>
      </w:r>
      <w:proofErr w:type="spellStart"/>
      <w:r w:rsidR="008B1955" w:rsidRPr="000028C3">
        <w:t>квазирезерв</w:t>
      </w:r>
      <w:r w:rsidR="00EA37A0" w:rsidRPr="000028C3">
        <w:t>ы</w:t>
      </w:r>
      <w:proofErr w:type="spellEnd"/>
      <w:r w:rsidR="008B1955" w:rsidRPr="000028C3">
        <w:t>.</w:t>
      </w:r>
    </w:p>
    <w:p w14:paraId="7BB78D98" w14:textId="77777777" w:rsidR="008B1955" w:rsidRPr="000028C3" w:rsidRDefault="008B1955" w:rsidP="0039664F">
      <w:pPr>
        <w:tabs>
          <w:tab w:val="left" w:pos="1710"/>
        </w:tabs>
        <w:rPr>
          <w:b/>
          <w:highlight w:val="yellow"/>
        </w:rPr>
      </w:pPr>
    </w:p>
    <w:p w14:paraId="4BBFE7D8" w14:textId="77777777" w:rsidR="008B1955" w:rsidRPr="000028C3" w:rsidRDefault="008B1955" w:rsidP="0039664F">
      <w:pPr>
        <w:pStyle w:val="ad"/>
        <w:spacing w:before="0" w:beforeAutospacing="0" w:after="0" w:afterAutospacing="0"/>
        <w:ind w:firstLine="567"/>
        <w:jc w:val="both"/>
      </w:pPr>
      <w:r w:rsidRPr="000028C3">
        <w:t xml:space="preserve">Критерии резервирования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1986"/>
        <w:gridCol w:w="1048"/>
        <w:gridCol w:w="1049"/>
        <w:gridCol w:w="1049"/>
        <w:gridCol w:w="1049"/>
        <w:gridCol w:w="1047"/>
      </w:tblGrid>
      <w:tr w:rsidR="00502754" w:rsidRPr="000028C3" w14:paraId="20F87A0B" w14:textId="77777777" w:rsidTr="00645F45">
        <w:trPr>
          <w:trHeight w:val="20"/>
        </w:trPr>
        <w:tc>
          <w:tcPr>
            <w:tcW w:w="1133" w:type="pct"/>
            <w:vMerge w:val="restart"/>
            <w:shd w:val="clear" w:color="auto" w:fill="auto"/>
            <w:noWrap/>
            <w:vAlign w:val="center"/>
          </w:tcPr>
          <w:p w14:paraId="1C2E2B67" w14:textId="77777777" w:rsidR="00B47FBB" w:rsidRPr="000028C3" w:rsidRDefault="00B47FBB" w:rsidP="0039664F">
            <w:r w:rsidRPr="000028C3">
              <w:t>Факторинговый портфель</w:t>
            </w:r>
          </w:p>
        </w:tc>
        <w:tc>
          <w:tcPr>
            <w:tcW w:w="1063" w:type="pct"/>
            <w:vMerge w:val="restart"/>
            <w:shd w:val="clear" w:color="auto" w:fill="auto"/>
            <w:vAlign w:val="center"/>
          </w:tcPr>
          <w:p w14:paraId="3243D168" w14:textId="77777777" w:rsidR="00B47FBB" w:rsidRPr="000028C3" w:rsidRDefault="00B47FBB" w:rsidP="0039664F">
            <w:pPr>
              <w:jc w:val="center"/>
            </w:pPr>
            <w:r w:rsidRPr="000028C3">
              <w:t>Портфель без просроченной задолженности (сверх льготного периода)</w:t>
            </w:r>
          </w:p>
        </w:tc>
        <w:tc>
          <w:tcPr>
            <w:tcW w:w="2804" w:type="pct"/>
            <w:gridSpan w:val="5"/>
            <w:shd w:val="clear" w:color="auto" w:fill="auto"/>
            <w:vAlign w:val="center"/>
          </w:tcPr>
          <w:p w14:paraId="6EC54517" w14:textId="77777777" w:rsidR="00B47FBB" w:rsidRPr="000028C3" w:rsidRDefault="00B47FBB" w:rsidP="0039664F">
            <w:pPr>
              <w:jc w:val="center"/>
            </w:pPr>
            <w:r w:rsidRPr="000028C3">
              <w:t>Портфель с просроченной задолженностью</w:t>
            </w:r>
            <w:r w:rsidR="00585A1D" w:rsidRPr="000028C3">
              <w:t>, дней после истечения льготного периода</w:t>
            </w:r>
          </w:p>
        </w:tc>
      </w:tr>
      <w:tr w:rsidR="00502754" w:rsidRPr="000028C3" w14:paraId="68648637" w14:textId="77777777" w:rsidTr="00645F45">
        <w:trPr>
          <w:trHeight w:val="20"/>
        </w:trPr>
        <w:tc>
          <w:tcPr>
            <w:tcW w:w="1133" w:type="pct"/>
            <w:vMerge/>
            <w:shd w:val="clear" w:color="auto" w:fill="auto"/>
            <w:noWrap/>
            <w:vAlign w:val="center"/>
            <w:hideMark/>
          </w:tcPr>
          <w:p w14:paraId="776EC70B" w14:textId="77777777" w:rsidR="00B47FBB" w:rsidRPr="000028C3" w:rsidRDefault="00B47FBB" w:rsidP="0039664F"/>
        </w:tc>
        <w:tc>
          <w:tcPr>
            <w:tcW w:w="1063" w:type="pct"/>
            <w:vMerge/>
            <w:shd w:val="clear" w:color="auto" w:fill="auto"/>
            <w:vAlign w:val="center"/>
            <w:hideMark/>
          </w:tcPr>
          <w:p w14:paraId="6FD6E309" w14:textId="77777777" w:rsidR="00B47FBB" w:rsidRPr="000028C3" w:rsidRDefault="00B47FBB" w:rsidP="0039664F"/>
        </w:tc>
        <w:tc>
          <w:tcPr>
            <w:tcW w:w="561" w:type="pct"/>
            <w:shd w:val="clear" w:color="auto" w:fill="auto"/>
            <w:vAlign w:val="center"/>
            <w:hideMark/>
          </w:tcPr>
          <w:p w14:paraId="21D0BBCB" w14:textId="77777777" w:rsidR="00B47FBB" w:rsidRPr="000028C3" w:rsidRDefault="00B47FBB" w:rsidP="0039664F">
            <w:pPr>
              <w:jc w:val="center"/>
            </w:pPr>
            <w:r w:rsidRPr="000028C3">
              <w:t>до 30</w:t>
            </w:r>
          </w:p>
        </w:tc>
        <w:tc>
          <w:tcPr>
            <w:tcW w:w="561" w:type="pct"/>
            <w:vAlign w:val="center"/>
          </w:tcPr>
          <w:p w14:paraId="5FC12765" w14:textId="77777777" w:rsidR="00B47FBB" w:rsidRPr="000028C3" w:rsidRDefault="00B47FBB" w:rsidP="0039664F">
            <w:pPr>
              <w:jc w:val="center"/>
            </w:pPr>
            <w:r w:rsidRPr="000028C3">
              <w:t>от 31 до 90</w:t>
            </w:r>
          </w:p>
        </w:tc>
        <w:tc>
          <w:tcPr>
            <w:tcW w:w="561" w:type="pct"/>
            <w:vAlign w:val="center"/>
          </w:tcPr>
          <w:p w14:paraId="101146EE" w14:textId="77777777" w:rsidR="00B47FBB" w:rsidRPr="000028C3" w:rsidRDefault="00B47FBB" w:rsidP="0039664F">
            <w:pPr>
              <w:jc w:val="center"/>
            </w:pPr>
            <w:r w:rsidRPr="000028C3">
              <w:t>от 91 до 180</w:t>
            </w:r>
          </w:p>
        </w:tc>
        <w:tc>
          <w:tcPr>
            <w:tcW w:w="561" w:type="pct"/>
            <w:vAlign w:val="center"/>
          </w:tcPr>
          <w:p w14:paraId="01DAC7E5" w14:textId="77777777" w:rsidR="00B47FBB" w:rsidRPr="000028C3" w:rsidRDefault="00B47FBB" w:rsidP="0039664F">
            <w:pPr>
              <w:jc w:val="center"/>
            </w:pPr>
            <w:r w:rsidRPr="000028C3">
              <w:t>от 181 до 360</w:t>
            </w:r>
          </w:p>
        </w:tc>
        <w:tc>
          <w:tcPr>
            <w:tcW w:w="561" w:type="pct"/>
            <w:vAlign w:val="center"/>
          </w:tcPr>
          <w:p w14:paraId="41334ED8" w14:textId="77777777" w:rsidR="00B47FBB" w:rsidRPr="000028C3" w:rsidRDefault="00B47FBB" w:rsidP="0039664F">
            <w:pPr>
              <w:jc w:val="center"/>
            </w:pPr>
            <w:r w:rsidRPr="000028C3">
              <w:t>свыше 361</w:t>
            </w:r>
          </w:p>
        </w:tc>
      </w:tr>
      <w:tr w:rsidR="00502754" w:rsidRPr="000028C3" w14:paraId="346D5956" w14:textId="77777777" w:rsidTr="00645F45">
        <w:trPr>
          <w:trHeight w:val="20"/>
        </w:trPr>
        <w:tc>
          <w:tcPr>
            <w:tcW w:w="1133" w:type="pct"/>
            <w:shd w:val="clear" w:color="auto" w:fill="auto"/>
            <w:vAlign w:val="bottom"/>
            <w:hideMark/>
          </w:tcPr>
          <w:p w14:paraId="737DE357" w14:textId="77777777" w:rsidR="008B1955" w:rsidRPr="000028C3" w:rsidRDefault="00B47FBB" w:rsidP="0039664F">
            <w:r w:rsidRPr="000028C3">
              <w:t>С регрессом</w:t>
            </w:r>
            <w:r w:rsidR="00585A1D" w:rsidRPr="000028C3">
              <w:t>, %</w:t>
            </w:r>
          </w:p>
        </w:tc>
        <w:tc>
          <w:tcPr>
            <w:tcW w:w="1063" w:type="pct"/>
            <w:shd w:val="clear" w:color="auto" w:fill="auto"/>
            <w:noWrap/>
            <w:vAlign w:val="center"/>
            <w:hideMark/>
          </w:tcPr>
          <w:p w14:paraId="3F876802" w14:textId="77777777" w:rsidR="008B1955" w:rsidRPr="000028C3" w:rsidRDefault="008B1955" w:rsidP="0039664F">
            <w:pPr>
              <w:jc w:val="center"/>
            </w:pPr>
            <w:r w:rsidRPr="000028C3">
              <w:t>0</w:t>
            </w:r>
          </w:p>
        </w:tc>
        <w:tc>
          <w:tcPr>
            <w:tcW w:w="561" w:type="pct"/>
            <w:shd w:val="clear" w:color="auto" w:fill="auto"/>
            <w:noWrap/>
            <w:vAlign w:val="center"/>
            <w:hideMark/>
          </w:tcPr>
          <w:p w14:paraId="48ADE1AD" w14:textId="77777777" w:rsidR="008B1955" w:rsidRPr="000028C3" w:rsidRDefault="008B1955" w:rsidP="0039664F">
            <w:pPr>
              <w:jc w:val="center"/>
            </w:pPr>
            <w:r w:rsidRPr="000028C3">
              <w:t>5</w:t>
            </w:r>
          </w:p>
        </w:tc>
        <w:tc>
          <w:tcPr>
            <w:tcW w:w="561" w:type="pct"/>
            <w:shd w:val="clear" w:color="auto" w:fill="auto"/>
            <w:vAlign w:val="center"/>
          </w:tcPr>
          <w:p w14:paraId="51B79897" w14:textId="77777777" w:rsidR="008B1955" w:rsidRPr="000028C3" w:rsidRDefault="008B1955" w:rsidP="0039664F">
            <w:pPr>
              <w:jc w:val="center"/>
            </w:pPr>
            <w:r w:rsidRPr="000028C3">
              <w:t>2</w:t>
            </w:r>
            <w:r w:rsidR="00585A1D" w:rsidRPr="000028C3">
              <w:t>0</w:t>
            </w:r>
          </w:p>
        </w:tc>
        <w:tc>
          <w:tcPr>
            <w:tcW w:w="561" w:type="pct"/>
            <w:shd w:val="clear" w:color="auto" w:fill="auto"/>
            <w:vAlign w:val="center"/>
          </w:tcPr>
          <w:p w14:paraId="0B65C488" w14:textId="77777777" w:rsidR="008B1955" w:rsidRPr="000028C3" w:rsidRDefault="008B1955" w:rsidP="0039664F">
            <w:pPr>
              <w:jc w:val="center"/>
            </w:pPr>
            <w:r w:rsidRPr="000028C3">
              <w:t>30</w:t>
            </w:r>
          </w:p>
        </w:tc>
        <w:tc>
          <w:tcPr>
            <w:tcW w:w="561" w:type="pct"/>
            <w:vAlign w:val="center"/>
          </w:tcPr>
          <w:p w14:paraId="5A31498E" w14:textId="77777777" w:rsidR="008B1955" w:rsidRPr="000028C3" w:rsidRDefault="008B1955" w:rsidP="0039664F">
            <w:pPr>
              <w:jc w:val="center"/>
            </w:pPr>
            <w:r w:rsidRPr="000028C3">
              <w:t>80</w:t>
            </w:r>
          </w:p>
        </w:tc>
        <w:tc>
          <w:tcPr>
            <w:tcW w:w="561" w:type="pct"/>
            <w:vAlign w:val="center"/>
          </w:tcPr>
          <w:p w14:paraId="2FDFB69C" w14:textId="77777777" w:rsidR="008B1955" w:rsidRPr="000028C3" w:rsidRDefault="008B1955" w:rsidP="0039664F">
            <w:pPr>
              <w:jc w:val="center"/>
            </w:pPr>
            <w:r w:rsidRPr="000028C3">
              <w:t>100</w:t>
            </w:r>
          </w:p>
        </w:tc>
      </w:tr>
      <w:tr w:rsidR="00502754" w:rsidRPr="000028C3" w14:paraId="5806D696" w14:textId="77777777" w:rsidTr="00645F45">
        <w:trPr>
          <w:trHeight w:val="20"/>
        </w:trPr>
        <w:tc>
          <w:tcPr>
            <w:tcW w:w="1133" w:type="pct"/>
            <w:shd w:val="clear" w:color="auto" w:fill="auto"/>
            <w:vAlign w:val="bottom"/>
          </w:tcPr>
          <w:p w14:paraId="620909D6" w14:textId="77777777" w:rsidR="008B1955" w:rsidRPr="000028C3" w:rsidRDefault="00B47FBB" w:rsidP="0039664F">
            <w:r w:rsidRPr="000028C3">
              <w:t>Без регресса</w:t>
            </w:r>
            <w:r w:rsidR="00585A1D" w:rsidRPr="000028C3">
              <w:t>, %</w:t>
            </w:r>
          </w:p>
        </w:tc>
        <w:tc>
          <w:tcPr>
            <w:tcW w:w="1063" w:type="pct"/>
            <w:shd w:val="clear" w:color="auto" w:fill="auto"/>
            <w:noWrap/>
            <w:vAlign w:val="center"/>
          </w:tcPr>
          <w:p w14:paraId="0FCB4F88" w14:textId="77777777" w:rsidR="008B1955" w:rsidRPr="000028C3" w:rsidRDefault="008B1955" w:rsidP="0039664F">
            <w:pPr>
              <w:jc w:val="center"/>
            </w:pPr>
            <w:r w:rsidRPr="000028C3">
              <w:t>0</w:t>
            </w:r>
          </w:p>
        </w:tc>
        <w:tc>
          <w:tcPr>
            <w:tcW w:w="561" w:type="pct"/>
            <w:shd w:val="clear" w:color="auto" w:fill="auto"/>
            <w:noWrap/>
            <w:vAlign w:val="center"/>
          </w:tcPr>
          <w:p w14:paraId="05B6C065" w14:textId="77777777" w:rsidR="008B1955" w:rsidRPr="000028C3" w:rsidRDefault="008B1955" w:rsidP="0039664F">
            <w:pPr>
              <w:jc w:val="center"/>
            </w:pPr>
            <w:r w:rsidRPr="000028C3">
              <w:t>10</w:t>
            </w:r>
          </w:p>
        </w:tc>
        <w:tc>
          <w:tcPr>
            <w:tcW w:w="561" w:type="pct"/>
            <w:shd w:val="clear" w:color="auto" w:fill="auto"/>
            <w:vAlign w:val="center"/>
          </w:tcPr>
          <w:p w14:paraId="4EFF87B5" w14:textId="77777777" w:rsidR="008B1955" w:rsidRPr="000028C3" w:rsidRDefault="008B1955" w:rsidP="0039664F">
            <w:pPr>
              <w:jc w:val="center"/>
            </w:pPr>
            <w:r w:rsidRPr="000028C3">
              <w:t>30</w:t>
            </w:r>
          </w:p>
        </w:tc>
        <w:tc>
          <w:tcPr>
            <w:tcW w:w="561" w:type="pct"/>
            <w:shd w:val="clear" w:color="auto" w:fill="auto"/>
            <w:vAlign w:val="center"/>
          </w:tcPr>
          <w:p w14:paraId="3C05FA41" w14:textId="77777777" w:rsidR="008B1955" w:rsidRPr="000028C3" w:rsidRDefault="008B1955" w:rsidP="0039664F">
            <w:pPr>
              <w:jc w:val="center"/>
            </w:pPr>
            <w:r w:rsidRPr="000028C3">
              <w:t>50</w:t>
            </w:r>
          </w:p>
        </w:tc>
        <w:tc>
          <w:tcPr>
            <w:tcW w:w="561" w:type="pct"/>
            <w:vAlign w:val="center"/>
          </w:tcPr>
          <w:p w14:paraId="4C5E5EBD" w14:textId="77777777" w:rsidR="008B1955" w:rsidRPr="000028C3" w:rsidRDefault="008B1955" w:rsidP="0039664F">
            <w:pPr>
              <w:jc w:val="center"/>
            </w:pPr>
            <w:r w:rsidRPr="000028C3">
              <w:t>100</w:t>
            </w:r>
          </w:p>
        </w:tc>
        <w:tc>
          <w:tcPr>
            <w:tcW w:w="561" w:type="pct"/>
            <w:vAlign w:val="center"/>
          </w:tcPr>
          <w:p w14:paraId="5B654B4E" w14:textId="77777777" w:rsidR="008B1955" w:rsidRPr="000028C3" w:rsidRDefault="008B1955" w:rsidP="0039664F">
            <w:pPr>
              <w:jc w:val="center"/>
            </w:pPr>
            <w:r w:rsidRPr="000028C3">
              <w:t>100</w:t>
            </w:r>
          </w:p>
        </w:tc>
      </w:tr>
    </w:tbl>
    <w:p w14:paraId="15ED65C7" w14:textId="77777777" w:rsidR="00EA37A0" w:rsidRPr="000028C3" w:rsidRDefault="00EA37A0" w:rsidP="0039664F">
      <w:pPr>
        <w:jc w:val="both"/>
        <w:rPr>
          <w:u w:val="single"/>
        </w:rPr>
      </w:pPr>
    </w:p>
    <w:p w14:paraId="4F663E7C" w14:textId="77777777" w:rsidR="00EA37A0" w:rsidRPr="000028C3" w:rsidRDefault="00EA37A0" w:rsidP="0039664F">
      <w:pPr>
        <w:pStyle w:val="ad"/>
        <w:spacing w:before="0" w:beforeAutospacing="0" w:after="0" w:afterAutospacing="0"/>
        <w:ind w:firstLine="567"/>
        <w:jc w:val="both"/>
      </w:pPr>
      <w:r w:rsidRPr="000028C3">
        <w:t>Скорректированный коэффициент автономии (</w:t>
      </w:r>
      <w:r w:rsidRPr="000028C3">
        <w:rPr>
          <w:lang w:val="en-US"/>
        </w:rPr>
        <w:t>Autonomy</w:t>
      </w:r>
      <w:r w:rsidRPr="000028C3">
        <w:t xml:space="preserve"> </w:t>
      </w:r>
      <w:r w:rsidRPr="000028C3">
        <w:rPr>
          <w:lang w:val="en-US"/>
        </w:rPr>
        <w:t>Ratio</w:t>
      </w:r>
      <w:r w:rsidRPr="000028C3">
        <w:t xml:space="preserve">) = </w:t>
      </w:r>
      <w:proofErr w:type="spellStart"/>
      <w:r w:rsidRPr="000028C3">
        <w:rPr>
          <w:lang w:val="en-US"/>
        </w:rPr>
        <w:t>AuR</w:t>
      </w:r>
      <w:proofErr w:type="spellEnd"/>
      <w:r w:rsidRPr="000028C3">
        <w:t xml:space="preserve"> = (СК + СЗ – </w:t>
      </w:r>
      <w:proofErr w:type="spellStart"/>
      <w:r w:rsidRPr="000028C3">
        <w:t>квазирезервы</w:t>
      </w:r>
      <w:proofErr w:type="spellEnd"/>
      <w:r w:rsidRPr="000028C3">
        <w:t xml:space="preserve">) / (ВБ – </w:t>
      </w:r>
      <w:proofErr w:type="spellStart"/>
      <w:r w:rsidRPr="000028C3">
        <w:t>квазирезервы</w:t>
      </w:r>
      <w:proofErr w:type="spellEnd"/>
      <w:r w:rsidRPr="000028C3">
        <w:t>)</w:t>
      </w:r>
    </w:p>
    <w:p w14:paraId="207807EC" w14:textId="77777777" w:rsidR="00EA37A0" w:rsidRPr="000028C3" w:rsidRDefault="00EA37A0" w:rsidP="0039664F">
      <w:pPr>
        <w:jc w:val="both"/>
      </w:pPr>
    </w:p>
    <w:p w14:paraId="37D4994A" w14:textId="33C85306" w:rsidR="00EA37A0" w:rsidRPr="000028C3" w:rsidRDefault="00EA37A0" w:rsidP="0039664F">
      <w:pPr>
        <w:pStyle w:val="ad"/>
        <w:spacing w:before="0" w:beforeAutospacing="0" w:after="0" w:afterAutospacing="0"/>
        <w:ind w:firstLine="567"/>
        <w:jc w:val="both"/>
        <w:rPr>
          <w:u w:val="single"/>
        </w:rPr>
      </w:pPr>
      <w:r w:rsidRPr="000028C3">
        <w:t>Где СК – капитал и резервы; СЗ – субординированные займы (займы</w:t>
      </w:r>
      <w:r w:rsidR="0039664F" w:rsidRPr="000028C3">
        <w:t>,</w:t>
      </w:r>
      <w:r w:rsidRPr="000028C3">
        <w:t xml:space="preserve"> до погашения которых более 5 лет и которые не могут быть отозваны займодателем в одностороннем порядке, что подтверждено документально); ВБ – валюта баланса.</w:t>
      </w:r>
    </w:p>
    <w:bookmarkEnd w:id="43"/>
    <w:p w14:paraId="72097A54" w14:textId="77777777" w:rsidR="00072BB4" w:rsidRPr="000028C3" w:rsidRDefault="00072BB4" w:rsidP="0039664F">
      <w:pPr>
        <w:jc w:val="both"/>
        <w:rPr>
          <w:b/>
        </w:rPr>
      </w:pPr>
    </w:p>
    <w:p w14:paraId="05B14E02" w14:textId="77777777" w:rsidR="00072BB4" w:rsidRPr="000028C3" w:rsidRDefault="00072BB4" w:rsidP="0039664F"/>
    <w:p w14:paraId="7E0A591F" w14:textId="77777777" w:rsidR="008B1955" w:rsidRPr="000028C3" w:rsidRDefault="008B1955" w:rsidP="0098669D">
      <w:pPr>
        <w:pStyle w:val="3"/>
        <w:numPr>
          <w:ilvl w:val="1"/>
          <w:numId w:val="17"/>
        </w:numPr>
        <w:spacing w:before="0" w:after="0"/>
        <w:jc w:val="both"/>
        <w:rPr>
          <w:rFonts w:ascii="Times New Roman" w:hAnsi="Times New Roman" w:cs="Times New Roman"/>
        </w:rPr>
      </w:pPr>
      <w:bookmarkStart w:id="44" w:name="_Toc447270434"/>
      <w:bookmarkStart w:id="45" w:name="_Toc39667618"/>
      <w:r w:rsidRPr="000028C3">
        <w:rPr>
          <w:rFonts w:ascii="Times New Roman" w:hAnsi="Times New Roman" w:cs="Times New Roman"/>
        </w:rPr>
        <w:t>Концентрация на объектах кредитного риска</w:t>
      </w:r>
      <w:bookmarkEnd w:id="44"/>
      <w:r w:rsidR="00A52F9B" w:rsidRPr="000028C3">
        <w:rPr>
          <w:rFonts w:ascii="Times New Roman" w:hAnsi="Times New Roman" w:cs="Times New Roman"/>
        </w:rPr>
        <w:t>, включая внебалансовые обязательства</w:t>
      </w:r>
      <w:bookmarkEnd w:id="45"/>
    </w:p>
    <w:p w14:paraId="7C159138" w14:textId="77777777" w:rsidR="0039664F" w:rsidRPr="000028C3" w:rsidRDefault="0039664F" w:rsidP="0039664F">
      <w:pPr>
        <w:pStyle w:val="ad"/>
        <w:spacing w:before="0" w:beforeAutospacing="0" w:after="0" w:afterAutospacing="0"/>
        <w:ind w:firstLine="567"/>
        <w:jc w:val="both"/>
        <w:rPr>
          <w:u w:val="single"/>
        </w:rPr>
      </w:pPr>
    </w:p>
    <w:p w14:paraId="6E09F584" w14:textId="28B2030D" w:rsidR="009808DE" w:rsidRPr="000028C3" w:rsidRDefault="00072BB4" w:rsidP="0039664F">
      <w:pPr>
        <w:pStyle w:val="ad"/>
        <w:spacing w:before="0" w:beforeAutospacing="0" w:after="0" w:afterAutospacing="0"/>
        <w:ind w:firstLine="567"/>
        <w:jc w:val="both"/>
        <w:rPr>
          <w:u w:val="single"/>
        </w:rPr>
      </w:pPr>
      <w:r w:rsidRPr="000028C3">
        <w:rPr>
          <w:u w:val="single"/>
        </w:rPr>
        <w:t>Цель оценки</w:t>
      </w:r>
    </w:p>
    <w:p w14:paraId="0F1CC184" w14:textId="77777777" w:rsidR="008B1955" w:rsidRPr="000028C3" w:rsidRDefault="005549A8" w:rsidP="0039664F">
      <w:pPr>
        <w:pStyle w:val="ad"/>
        <w:spacing w:before="0" w:beforeAutospacing="0" w:after="0" w:afterAutospacing="0"/>
        <w:ind w:firstLine="567"/>
        <w:jc w:val="both"/>
      </w:pPr>
      <w:r w:rsidRPr="000028C3">
        <w:t>Определить, насколько велики</w:t>
      </w:r>
      <w:r w:rsidR="00A52F9B" w:rsidRPr="000028C3">
        <w:t xml:space="preserve"> риски</w:t>
      </w:r>
      <w:r w:rsidRPr="000028C3">
        <w:t xml:space="preserve">, связанные с концентрацией </w:t>
      </w:r>
      <w:r w:rsidR="00A52F9B" w:rsidRPr="000028C3">
        <w:t>на отдельных объектах кредитного риска</w:t>
      </w:r>
      <w:r w:rsidRPr="000028C3">
        <w:t>. Незначительный объем крупнейших кредитных рисков снижает вероятность существенного сокращения величины собственных средств в случае наступления дефолта одного из крупнейших объектов кредитного риска.</w:t>
      </w:r>
      <w:r w:rsidR="00A52F9B" w:rsidRPr="000028C3">
        <w:t xml:space="preserve"> Высокий уровень концентрации кредитных рисков, напротив, повышает требования к капиталу компании, так как в случае ухудшения финансового состояния одного из крупнейших объектов кредитного риска нагрузка на собственные средства будет существенной для деятельности компании.</w:t>
      </w:r>
    </w:p>
    <w:p w14:paraId="5D38A278" w14:textId="77777777" w:rsidR="00A52F9B" w:rsidRPr="000028C3" w:rsidRDefault="00A52F9B" w:rsidP="0039664F">
      <w:pPr>
        <w:jc w:val="both"/>
        <w:rPr>
          <w:highlight w:val="yellow"/>
        </w:rPr>
      </w:pPr>
    </w:p>
    <w:p w14:paraId="60BDB44D" w14:textId="3C339A9A" w:rsidR="008B1955" w:rsidRPr="000028C3" w:rsidRDefault="008B1955" w:rsidP="0039664F">
      <w:pPr>
        <w:pStyle w:val="ad"/>
        <w:spacing w:before="0" w:beforeAutospacing="0" w:after="0" w:afterAutospacing="0"/>
        <w:ind w:firstLine="567"/>
        <w:jc w:val="both"/>
        <w:rPr>
          <w:u w:val="single"/>
        </w:rPr>
      </w:pPr>
      <w:r w:rsidRPr="000028C3">
        <w:rPr>
          <w:u w:val="single"/>
        </w:rPr>
        <w:t xml:space="preserve">Алгоритм </w:t>
      </w:r>
      <w:r w:rsidR="005549A8" w:rsidRPr="000028C3">
        <w:rPr>
          <w:u w:val="single"/>
        </w:rPr>
        <w:t xml:space="preserve">выставления </w:t>
      </w:r>
      <w:r w:rsidRPr="000028C3">
        <w:rPr>
          <w:u w:val="single"/>
        </w:rPr>
        <w:t>оценки</w:t>
      </w:r>
    </w:p>
    <w:p w14:paraId="68BADE96" w14:textId="77777777" w:rsidR="00072BB4" w:rsidRPr="000028C3" w:rsidRDefault="00072BB4" w:rsidP="0039664F">
      <w:pPr>
        <w:pStyle w:val="ad"/>
        <w:spacing w:before="0" w:beforeAutospacing="0" w:after="0" w:afterAutospacing="0"/>
        <w:ind w:firstLine="567"/>
        <w:jc w:val="both"/>
      </w:pPr>
      <w:r w:rsidRPr="000028C3">
        <w:t>Оцениваемые показатели относятся к показателям без хвоста.</w:t>
      </w:r>
      <w:r w:rsidR="00E33F65" w:rsidRPr="000028C3">
        <w:t xml:space="preserve"> Непрерывная линейная оценка.</w:t>
      </w:r>
    </w:p>
    <w:p w14:paraId="63FA20EB" w14:textId="77777777" w:rsidR="00072BB4" w:rsidRPr="000028C3" w:rsidRDefault="00072BB4" w:rsidP="0039664F">
      <w:pPr>
        <w:jc w:val="both"/>
        <w:rPr>
          <w:highlight w:val="yellow"/>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240"/>
        <w:gridCol w:w="850"/>
        <w:gridCol w:w="1705"/>
        <w:gridCol w:w="776"/>
        <w:gridCol w:w="774"/>
      </w:tblGrid>
      <w:tr w:rsidR="00E33F65" w:rsidRPr="000028C3" w14:paraId="6F891A17" w14:textId="77777777" w:rsidTr="00645F45">
        <w:trPr>
          <w:trHeight w:val="20"/>
        </w:trPr>
        <w:tc>
          <w:tcPr>
            <w:tcW w:w="2804" w:type="pct"/>
            <w:shd w:val="clear" w:color="auto" w:fill="FFFFFF"/>
            <w:vAlign w:val="center"/>
          </w:tcPr>
          <w:p w14:paraId="0DCDBDF4" w14:textId="0B139489" w:rsidR="00E33F65" w:rsidRPr="000028C3" w:rsidRDefault="00E33F65" w:rsidP="0039664F">
            <w:pPr>
              <w:rPr>
                <w:bCs/>
              </w:rPr>
            </w:pPr>
            <w:r w:rsidRPr="000028C3">
              <w:rPr>
                <w:bCs/>
              </w:rPr>
              <w:t> </w:t>
            </w:r>
            <w:r w:rsidR="009D0B14" w:rsidRPr="000028C3">
              <w:t>Показатель</w:t>
            </w:r>
          </w:p>
        </w:tc>
        <w:tc>
          <w:tcPr>
            <w:tcW w:w="455" w:type="pct"/>
            <w:shd w:val="clear" w:color="auto" w:fill="FFFFFF"/>
            <w:vAlign w:val="center"/>
          </w:tcPr>
          <w:p w14:paraId="28FCE04E" w14:textId="77777777" w:rsidR="00E33F65" w:rsidRPr="000028C3" w:rsidRDefault="00E33F65" w:rsidP="0039664F">
            <w:pPr>
              <w:jc w:val="center"/>
              <w:rPr>
                <w:bCs/>
              </w:rPr>
            </w:pPr>
            <w:r w:rsidRPr="000028C3">
              <w:rPr>
                <w:bCs/>
              </w:rPr>
              <w:t>Вес</w:t>
            </w:r>
          </w:p>
        </w:tc>
        <w:tc>
          <w:tcPr>
            <w:tcW w:w="912" w:type="pct"/>
            <w:shd w:val="clear" w:color="auto" w:fill="auto"/>
            <w:vAlign w:val="center"/>
          </w:tcPr>
          <w:p w14:paraId="0835DFB0" w14:textId="77777777" w:rsidR="00E33F65" w:rsidRPr="000028C3" w:rsidRDefault="00E33F65" w:rsidP="0039664F">
            <w:pPr>
              <w:jc w:val="center"/>
              <w:rPr>
                <w:bCs/>
              </w:rPr>
            </w:pPr>
            <w:r w:rsidRPr="000028C3">
              <w:rPr>
                <w:bCs/>
              </w:rPr>
              <w:t>Определение оценки</w:t>
            </w:r>
          </w:p>
        </w:tc>
        <w:tc>
          <w:tcPr>
            <w:tcW w:w="415" w:type="pct"/>
            <w:vAlign w:val="center"/>
          </w:tcPr>
          <w:p w14:paraId="15D32421" w14:textId="77777777" w:rsidR="00E33F65" w:rsidRPr="000028C3" w:rsidRDefault="00E33F65" w:rsidP="0039664F">
            <w:pPr>
              <w:jc w:val="center"/>
              <w:rPr>
                <w:bCs/>
              </w:rPr>
            </w:pPr>
            <w:r w:rsidRPr="000028C3">
              <w:rPr>
                <w:bCs/>
              </w:rPr>
              <w:t>-1</w:t>
            </w:r>
          </w:p>
        </w:tc>
        <w:tc>
          <w:tcPr>
            <w:tcW w:w="415" w:type="pct"/>
            <w:vAlign w:val="center"/>
          </w:tcPr>
          <w:p w14:paraId="601DBA83" w14:textId="77777777" w:rsidR="00E33F65" w:rsidRPr="000028C3" w:rsidRDefault="00E33F65" w:rsidP="0039664F">
            <w:pPr>
              <w:jc w:val="center"/>
              <w:rPr>
                <w:bCs/>
              </w:rPr>
            </w:pPr>
            <w:r w:rsidRPr="000028C3">
              <w:rPr>
                <w:bCs/>
              </w:rPr>
              <w:t>1</w:t>
            </w:r>
          </w:p>
        </w:tc>
      </w:tr>
      <w:tr w:rsidR="00E33F65" w:rsidRPr="000028C3" w14:paraId="59404F7D" w14:textId="77777777" w:rsidTr="00645F45">
        <w:trPr>
          <w:trHeight w:val="20"/>
        </w:trPr>
        <w:tc>
          <w:tcPr>
            <w:tcW w:w="2804" w:type="pct"/>
            <w:shd w:val="clear" w:color="auto" w:fill="FFFFFF"/>
            <w:noWrap/>
            <w:vAlign w:val="center"/>
          </w:tcPr>
          <w:p w14:paraId="0EE835D7" w14:textId="3C161B2A" w:rsidR="00E33F65" w:rsidRPr="000028C3" w:rsidRDefault="00A52F9B" w:rsidP="00462181">
            <w:pPr>
              <w:pStyle w:val="Default"/>
              <w:rPr>
                <w:rFonts w:ascii="Times New Roman" w:hAnsi="Times New Roman" w:cs="Times New Roman"/>
              </w:rPr>
            </w:pPr>
            <w:r w:rsidRPr="000028C3">
              <w:rPr>
                <w:rFonts w:ascii="Times New Roman" w:hAnsi="Times New Roman" w:cs="Times New Roman"/>
              </w:rPr>
              <w:t>Доля задолженности 10 крупнейших объектов кредитного риска в совокупной величине кредитных рисков</w:t>
            </w:r>
          </w:p>
        </w:tc>
        <w:tc>
          <w:tcPr>
            <w:tcW w:w="455" w:type="pct"/>
            <w:vMerge w:val="restart"/>
            <w:shd w:val="clear" w:color="auto" w:fill="FFFFFF"/>
            <w:vAlign w:val="center"/>
          </w:tcPr>
          <w:p w14:paraId="7D6640F5" w14:textId="77777777" w:rsidR="00E33F65" w:rsidRPr="000028C3" w:rsidRDefault="00E33F65" w:rsidP="0039664F">
            <w:pPr>
              <w:jc w:val="center"/>
            </w:pPr>
            <w:r w:rsidRPr="000028C3">
              <w:t>2/3</w:t>
            </w:r>
          </w:p>
        </w:tc>
        <w:tc>
          <w:tcPr>
            <w:tcW w:w="912" w:type="pct"/>
            <w:vMerge w:val="restart"/>
            <w:shd w:val="clear" w:color="auto" w:fill="auto"/>
            <w:vAlign w:val="center"/>
          </w:tcPr>
          <w:p w14:paraId="56D6FEA0" w14:textId="77777777" w:rsidR="00E33F65" w:rsidRPr="000028C3" w:rsidRDefault="00E33F65" w:rsidP="0039664F">
            <w:pPr>
              <w:jc w:val="center"/>
            </w:pPr>
            <w:r w:rsidRPr="000028C3">
              <w:t>Минимальная из двух</w:t>
            </w:r>
          </w:p>
        </w:tc>
        <w:tc>
          <w:tcPr>
            <w:tcW w:w="415" w:type="pct"/>
            <w:vAlign w:val="center"/>
          </w:tcPr>
          <w:p w14:paraId="10F31147" w14:textId="0F8AC580" w:rsidR="00E33F65" w:rsidRPr="000028C3" w:rsidRDefault="00BD7B03" w:rsidP="0039664F">
            <w:pPr>
              <w:jc w:val="center"/>
            </w:pPr>
            <w:r w:rsidRPr="000028C3">
              <w:t>≥ 62</w:t>
            </w:r>
          </w:p>
        </w:tc>
        <w:tc>
          <w:tcPr>
            <w:tcW w:w="415" w:type="pct"/>
            <w:vAlign w:val="center"/>
          </w:tcPr>
          <w:p w14:paraId="57EA7967" w14:textId="552AE020" w:rsidR="00E33F65" w:rsidRPr="000028C3" w:rsidRDefault="00BD7B03" w:rsidP="0039664F">
            <w:pPr>
              <w:jc w:val="center"/>
            </w:pPr>
            <w:r w:rsidRPr="000028C3">
              <w:t>≤ 25</w:t>
            </w:r>
          </w:p>
        </w:tc>
      </w:tr>
      <w:tr w:rsidR="00E33F65" w:rsidRPr="000028C3" w14:paraId="22810323" w14:textId="77777777" w:rsidTr="00645F45">
        <w:trPr>
          <w:trHeight w:val="20"/>
        </w:trPr>
        <w:tc>
          <w:tcPr>
            <w:tcW w:w="2804" w:type="pct"/>
            <w:shd w:val="clear" w:color="auto" w:fill="FFFFFF"/>
            <w:noWrap/>
            <w:vAlign w:val="center"/>
          </w:tcPr>
          <w:p w14:paraId="27BD4B8C" w14:textId="2229F6AC" w:rsidR="00E33F65" w:rsidRPr="000028C3" w:rsidRDefault="00A52F9B" w:rsidP="00645F45">
            <w:pPr>
              <w:pStyle w:val="Default"/>
              <w:rPr>
                <w:rFonts w:ascii="Times New Roman" w:hAnsi="Times New Roman" w:cs="Times New Roman"/>
              </w:rPr>
            </w:pPr>
            <w:r w:rsidRPr="000028C3">
              <w:rPr>
                <w:rFonts w:ascii="Times New Roman" w:hAnsi="Times New Roman" w:cs="Times New Roman"/>
              </w:rPr>
              <w:t>Доля задолженности крупнейшего объекта кредитного риска в совокупной величине кредитных р</w:t>
            </w:r>
            <w:r w:rsidR="00BD7B03" w:rsidRPr="000028C3">
              <w:rPr>
                <w:rFonts w:ascii="Times New Roman" w:hAnsi="Times New Roman" w:cs="Times New Roman"/>
              </w:rPr>
              <w:t>исков</w:t>
            </w:r>
          </w:p>
        </w:tc>
        <w:tc>
          <w:tcPr>
            <w:tcW w:w="455" w:type="pct"/>
            <w:vMerge/>
            <w:shd w:val="clear" w:color="auto" w:fill="FFFFFF"/>
          </w:tcPr>
          <w:p w14:paraId="24081187" w14:textId="77777777" w:rsidR="00E33F65" w:rsidRPr="000028C3" w:rsidRDefault="00E33F65" w:rsidP="0039664F"/>
        </w:tc>
        <w:tc>
          <w:tcPr>
            <w:tcW w:w="912" w:type="pct"/>
            <w:vMerge/>
            <w:shd w:val="clear" w:color="auto" w:fill="auto"/>
            <w:vAlign w:val="center"/>
          </w:tcPr>
          <w:p w14:paraId="64952F73" w14:textId="77777777" w:rsidR="00E33F65" w:rsidRPr="000028C3" w:rsidRDefault="00E33F65" w:rsidP="0039664F">
            <w:pPr>
              <w:jc w:val="center"/>
            </w:pPr>
          </w:p>
        </w:tc>
        <w:tc>
          <w:tcPr>
            <w:tcW w:w="415" w:type="pct"/>
            <w:vAlign w:val="center"/>
          </w:tcPr>
          <w:p w14:paraId="4A4A2C96" w14:textId="39484747" w:rsidR="00E33F65" w:rsidRPr="000028C3" w:rsidRDefault="00BD7B03" w:rsidP="0039664F">
            <w:pPr>
              <w:jc w:val="center"/>
            </w:pPr>
            <w:r w:rsidRPr="000028C3">
              <w:t>≥ 45</w:t>
            </w:r>
          </w:p>
        </w:tc>
        <w:tc>
          <w:tcPr>
            <w:tcW w:w="415" w:type="pct"/>
            <w:vAlign w:val="center"/>
          </w:tcPr>
          <w:p w14:paraId="1A9D6038" w14:textId="24E33933" w:rsidR="00E33F65" w:rsidRPr="000028C3" w:rsidRDefault="00E33F65" w:rsidP="0039664F">
            <w:pPr>
              <w:jc w:val="center"/>
            </w:pPr>
            <w:r w:rsidRPr="000028C3">
              <w:t>≤ 15</w:t>
            </w:r>
          </w:p>
        </w:tc>
      </w:tr>
      <w:tr w:rsidR="00E33F65" w:rsidRPr="000028C3" w14:paraId="051D3315" w14:textId="77777777" w:rsidTr="00645F45">
        <w:trPr>
          <w:trHeight w:val="20"/>
        </w:trPr>
        <w:tc>
          <w:tcPr>
            <w:tcW w:w="2804" w:type="pct"/>
            <w:shd w:val="clear" w:color="auto" w:fill="FFFFFF"/>
            <w:noWrap/>
            <w:vAlign w:val="center"/>
          </w:tcPr>
          <w:p w14:paraId="4A62116F" w14:textId="77777777" w:rsidR="00E33F65" w:rsidRPr="000028C3" w:rsidRDefault="00E33F65" w:rsidP="0039664F">
            <w:r w:rsidRPr="000028C3">
              <w:t>Коэффициент Херфиндаля-Хиршмана</w:t>
            </w:r>
          </w:p>
        </w:tc>
        <w:tc>
          <w:tcPr>
            <w:tcW w:w="455" w:type="pct"/>
            <w:shd w:val="clear" w:color="auto" w:fill="FFFFFF"/>
          </w:tcPr>
          <w:p w14:paraId="2F43A040" w14:textId="77777777" w:rsidR="00E33F65" w:rsidRPr="000028C3" w:rsidRDefault="00E33F65" w:rsidP="0039664F">
            <w:pPr>
              <w:jc w:val="center"/>
            </w:pPr>
            <w:r w:rsidRPr="000028C3">
              <w:t>1/3</w:t>
            </w:r>
          </w:p>
        </w:tc>
        <w:tc>
          <w:tcPr>
            <w:tcW w:w="912" w:type="pct"/>
            <w:shd w:val="clear" w:color="auto" w:fill="auto"/>
            <w:vAlign w:val="center"/>
          </w:tcPr>
          <w:p w14:paraId="50677152" w14:textId="77777777" w:rsidR="00E33F65" w:rsidRPr="000028C3" w:rsidRDefault="00E33F65" w:rsidP="0039664F">
            <w:pPr>
              <w:jc w:val="center"/>
            </w:pPr>
            <w:r w:rsidRPr="000028C3">
              <w:t>-</w:t>
            </w:r>
          </w:p>
        </w:tc>
        <w:tc>
          <w:tcPr>
            <w:tcW w:w="415" w:type="pct"/>
            <w:vAlign w:val="center"/>
          </w:tcPr>
          <w:p w14:paraId="2B7327DD" w14:textId="77777777" w:rsidR="00E33F65" w:rsidRPr="000028C3" w:rsidRDefault="00AD067D" w:rsidP="0039664F">
            <w:pPr>
              <w:jc w:val="center"/>
            </w:pPr>
            <w:r w:rsidRPr="000028C3">
              <w:t>≥ 0,3</w:t>
            </w:r>
          </w:p>
        </w:tc>
        <w:tc>
          <w:tcPr>
            <w:tcW w:w="415" w:type="pct"/>
            <w:vAlign w:val="center"/>
          </w:tcPr>
          <w:p w14:paraId="7BCD114A" w14:textId="77777777" w:rsidR="00E33F65" w:rsidRPr="000028C3" w:rsidRDefault="00AD067D" w:rsidP="0039664F">
            <w:pPr>
              <w:jc w:val="center"/>
            </w:pPr>
            <w:r w:rsidRPr="000028C3">
              <w:t>≤ 0,1</w:t>
            </w:r>
          </w:p>
        </w:tc>
      </w:tr>
    </w:tbl>
    <w:p w14:paraId="4C3D4F05" w14:textId="77777777" w:rsidR="00072BB4" w:rsidRPr="000028C3" w:rsidRDefault="00072BB4" w:rsidP="0039664F">
      <w:pPr>
        <w:jc w:val="both"/>
      </w:pPr>
    </w:p>
    <w:p w14:paraId="670D5AF7" w14:textId="77777777" w:rsidR="008B1955" w:rsidRPr="000028C3" w:rsidRDefault="008B1955" w:rsidP="0039664F">
      <w:pPr>
        <w:pStyle w:val="ad"/>
        <w:spacing w:before="0" w:beforeAutospacing="0" w:after="0" w:afterAutospacing="0"/>
        <w:ind w:firstLine="567"/>
        <w:jc w:val="both"/>
      </w:pPr>
      <w:r w:rsidRPr="000028C3">
        <w:t>Расчет коэффициента Херфиндаля-Хиршмана производится на основе данных анкеты по 20 крупнейшим дебиторам (в рамках факторингового портфеля), а также информации о расчетных счетах компании, депозитах и прочих объектах кредитного риска</w:t>
      </w:r>
      <w:r w:rsidR="00A52F9B" w:rsidRPr="000028C3">
        <w:t xml:space="preserve"> (включая внебалансовые обязательства)</w:t>
      </w:r>
      <w:r w:rsidRPr="000028C3">
        <w:t>. Данные по дебиторам, не вошедшим в топ-20, включаются в расчет коэффициента на основе средней величины дебиторской задолженности на одного дебитора.</w:t>
      </w:r>
    </w:p>
    <w:p w14:paraId="0667A201" w14:textId="77777777" w:rsidR="008B1955" w:rsidRPr="000028C3" w:rsidRDefault="008B1955" w:rsidP="0039664F">
      <w:pPr>
        <w:jc w:val="both"/>
        <w:rPr>
          <w:u w:val="single"/>
        </w:rPr>
      </w:pPr>
    </w:p>
    <w:p w14:paraId="50BEC5E5" w14:textId="6F2626A0" w:rsidR="008B1955" w:rsidRPr="000028C3" w:rsidRDefault="008B1955" w:rsidP="0039664F">
      <w:pPr>
        <w:pStyle w:val="ad"/>
        <w:spacing w:before="0" w:beforeAutospacing="0" w:after="0" w:afterAutospacing="0"/>
        <w:ind w:firstLine="567"/>
        <w:jc w:val="both"/>
      </w:pPr>
      <w:r w:rsidRPr="000028C3">
        <w:t>При оценке концентрации на объектах кредитног</w:t>
      </w:r>
      <w:r w:rsidR="00486E4C" w:rsidRPr="000028C3">
        <w:t>о риска, не учитываются требования</w:t>
      </w:r>
      <w:r w:rsidR="00AD067D" w:rsidRPr="000028C3">
        <w:t xml:space="preserve">, которые могут быть отнесены к условному рейтинговому классу </w:t>
      </w:r>
      <w:r w:rsidR="00486E4C" w:rsidRPr="000028C3">
        <w:t xml:space="preserve">не ниже </w:t>
      </w:r>
      <w:r w:rsidR="00486E4C" w:rsidRPr="000028C3">
        <w:rPr>
          <w:lang w:val="en-US"/>
        </w:rPr>
        <w:t>ruAA</w:t>
      </w:r>
      <w:r w:rsidR="00486E4C" w:rsidRPr="000028C3">
        <w:t>-</w:t>
      </w:r>
      <w:r w:rsidRPr="000028C3">
        <w:t>.</w:t>
      </w:r>
    </w:p>
    <w:p w14:paraId="41BAD19C" w14:textId="77777777" w:rsidR="009F7AB2" w:rsidRPr="000028C3" w:rsidRDefault="00AF7A8C" w:rsidP="0039664F">
      <w:pPr>
        <w:tabs>
          <w:tab w:val="left" w:pos="7185"/>
        </w:tabs>
        <w:jc w:val="both"/>
      </w:pPr>
      <w:r w:rsidRPr="000028C3">
        <w:tab/>
      </w:r>
    </w:p>
    <w:p w14:paraId="37082B55" w14:textId="7C772A83" w:rsidR="008B1955" w:rsidRPr="000028C3" w:rsidRDefault="00D81FD5" w:rsidP="0039664F">
      <w:pPr>
        <w:pStyle w:val="ad"/>
        <w:spacing w:before="0" w:beforeAutospacing="0" w:after="0" w:afterAutospacing="0"/>
        <w:ind w:firstLine="567"/>
        <w:jc w:val="both"/>
      </w:pPr>
      <w:r w:rsidRPr="000028C3">
        <w:t xml:space="preserve">В целях расчета показателей концентрации требования к отдельным лицам могут группироваться </w:t>
      </w:r>
      <w:r w:rsidR="00A52F9B" w:rsidRPr="000028C3">
        <w:t>при выявлении отдельных признаков экономической или юридической аффилированн</w:t>
      </w:r>
      <w:r w:rsidRPr="000028C3">
        <w:t>ости между ними</w:t>
      </w:r>
      <w:r w:rsidR="00A52F9B" w:rsidRPr="000028C3">
        <w:t>.</w:t>
      </w:r>
    </w:p>
    <w:p w14:paraId="02A6EE49" w14:textId="77777777" w:rsidR="0039664F" w:rsidRPr="000028C3" w:rsidRDefault="0039664F" w:rsidP="0039664F">
      <w:pPr>
        <w:pStyle w:val="ad"/>
        <w:spacing w:before="0" w:beforeAutospacing="0" w:after="0" w:afterAutospacing="0"/>
        <w:ind w:firstLine="567"/>
        <w:jc w:val="both"/>
      </w:pPr>
    </w:p>
    <w:p w14:paraId="122B6228" w14:textId="77777777" w:rsidR="008B1955" w:rsidRPr="000028C3" w:rsidRDefault="008B1955" w:rsidP="0098669D">
      <w:pPr>
        <w:pStyle w:val="3"/>
        <w:numPr>
          <w:ilvl w:val="1"/>
          <w:numId w:val="17"/>
        </w:numPr>
        <w:spacing w:before="0" w:after="0"/>
        <w:rPr>
          <w:rFonts w:ascii="Times New Roman" w:hAnsi="Times New Roman" w:cs="Times New Roman"/>
        </w:rPr>
      </w:pPr>
      <w:bookmarkStart w:id="46" w:name="_Toc447270435"/>
      <w:bookmarkStart w:id="47" w:name="_Toc39667619"/>
      <w:r w:rsidRPr="000028C3">
        <w:rPr>
          <w:rFonts w:ascii="Times New Roman" w:hAnsi="Times New Roman" w:cs="Times New Roman"/>
        </w:rPr>
        <w:t>Качество факторингового портфеля</w:t>
      </w:r>
      <w:bookmarkEnd w:id="46"/>
      <w:bookmarkEnd w:id="47"/>
      <w:r w:rsidRPr="000028C3">
        <w:rPr>
          <w:rFonts w:ascii="Times New Roman" w:hAnsi="Times New Roman" w:cs="Times New Roman"/>
        </w:rPr>
        <w:t xml:space="preserve"> </w:t>
      </w:r>
    </w:p>
    <w:p w14:paraId="0D3D6EFC" w14:textId="77777777" w:rsidR="0039664F" w:rsidRPr="000028C3" w:rsidRDefault="0039664F" w:rsidP="0039664F">
      <w:pPr>
        <w:pStyle w:val="ad"/>
        <w:spacing w:before="0" w:beforeAutospacing="0" w:after="0" w:afterAutospacing="0"/>
        <w:ind w:firstLine="567"/>
        <w:jc w:val="both"/>
        <w:rPr>
          <w:u w:val="single"/>
        </w:rPr>
      </w:pPr>
    </w:p>
    <w:p w14:paraId="25615380" w14:textId="498187BE" w:rsidR="00AD067D" w:rsidRPr="000028C3" w:rsidRDefault="008B1955" w:rsidP="0039664F">
      <w:pPr>
        <w:pStyle w:val="ad"/>
        <w:spacing w:before="0" w:beforeAutospacing="0" w:after="0" w:afterAutospacing="0"/>
        <w:ind w:firstLine="567"/>
        <w:jc w:val="both"/>
        <w:rPr>
          <w:u w:val="single"/>
        </w:rPr>
      </w:pPr>
      <w:r w:rsidRPr="000028C3">
        <w:rPr>
          <w:u w:val="single"/>
        </w:rPr>
        <w:t>Цель оценки</w:t>
      </w:r>
    </w:p>
    <w:p w14:paraId="21CD2D78" w14:textId="77777777" w:rsidR="00AD067D" w:rsidRPr="000028C3" w:rsidRDefault="00AD067D" w:rsidP="0039664F">
      <w:pPr>
        <w:pStyle w:val="ad"/>
        <w:spacing w:before="0" w:beforeAutospacing="0" w:after="0" w:afterAutospacing="0"/>
        <w:ind w:firstLine="567"/>
        <w:jc w:val="both"/>
      </w:pPr>
      <w:r w:rsidRPr="000028C3">
        <w:t>О</w:t>
      </w:r>
      <w:r w:rsidR="00E875EB" w:rsidRPr="000028C3">
        <w:t xml:space="preserve">пределить качество </w:t>
      </w:r>
      <w:r w:rsidR="00B10AAE" w:rsidRPr="000028C3">
        <w:t>факторингового портфеля и его</w:t>
      </w:r>
      <w:r w:rsidR="00E875EB" w:rsidRPr="000028C3">
        <w:t xml:space="preserve"> влияние на кредитоспособность компании. Позитивно оценивается высокая диверсификации портфеля по отраслям и клиентам, поскольку она снижает зависимость компании от состояния отдельной отрасли экономики и бизнеса крупных клиентов. Высокая доля просроченной задолженности свидетельствует о существенном обесценении факторингового портфеля и о недостаточно </w:t>
      </w:r>
      <w:r w:rsidR="00E875EB" w:rsidRPr="000028C3">
        <w:lastRenderedPageBreak/>
        <w:t>консервативной кредитной политике компании в прошлом, что негативно влияет на рейтинг.</w:t>
      </w:r>
      <w:bookmarkStart w:id="48" w:name="_Toc447270436"/>
    </w:p>
    <w:p w14:paraId="57561182" w14:textId="77777777" w:rsidR="00AD067D" w:rsidRPr="000028C3" w:rsidRDefault="00AD067D" w:rsidP="0039664F">
      <w:pPr>
        <w:jc w:val="both"/>
        <w:rPr>
          <w:highlight w:val="yellow"/>
        </w:rPr>
      </w:pPr>
    </w:p>
    <w:p w14:paraId="1BEA9BEB" w14:textId="77777777" w:rsidR="008B1955" w:rsidRPr="000028C3" w:rsidRDefault="004F2944" w:rsidP="0039664F">
      <w:pPr>
        <w:pStyle w:val="3"/>
        <w:spacing w:before="0" w:after="0"/>
        <w:rPr>
          <w:rFonts w:ascii="Times New Roman" w:hAnsi="Times New Roman" w:cs="Times New Roman"/>
        </w:rPr>
      </w:pPr>
      <w:bookmarkStart w:id="49" w:name="_Toc39667620"/>
      <w:r w:rsidRPr="000028C3">
        <w:rPr>
          <w:rFonts w:ascii="Times New Roman" w:hAnsi="Times New Roman" w:cs="Times New Roman"/>
        </w:rPr>
        <w:t xml:space="preserve">2.3.1. </w:t>
      </w:r>
      <w:r w:rsidR="008B1955" w:rsidRPr="000028C3">
        <w:rPr>
          <w:rFonts w:ascii="Times New Roman" w:hAnsi="Times New Roman" w:cs="Times New Roman"/>
        </w:rPr>
        <w:t xml:space="preserve">Диверсификация </w:t>
      </w:r>
      <w:r w:rsidR="00006B52" w:rsidRPr="000028C3">
        <w:rPr>
          <w:rFonts w:ascii="Times New Roman" w:hAnsi="Times New Roman" w:cs="Times New Roman"/>
        </w:rPr>
        <w:t xml:space="preserve">факторингового </w:t>
      </w:r>
      <w:r w:rsidR="008B1955" w:rsidRPr="000028C3">
        <w:rPr>
          <w:rFonts w:ascii="Times New Roman" w:hAnsi="Times New Roman" w:cs="Times New Roman"/>
        </w:rPr>
        <w:t>портфеля по отраслям</w:t>
      </w:r>
      <w:bookmarkEnd w:id="48"/>
      <w:bookmarkEnd w:id="49"/>
    </w:p>
    <w:p w14:paraId="2BBD98D4" w14:textId="77777777" w:rsidR="0039664F" w:rsidRPr="000028C3" w:rsidRDefault="0039664F" w:rsidP="0039664F">
      <w:pPr>
        <w:pStyle w:val="ad"/>
        <w:spacing w:before="0" w:beforeAutospacing="0" w:after="0" w:afterAutospacing="0"/>
        <w:ind w:firstLine="567"/>
        <w:jc w:val="both"/>
        <w:rPr>
          <w:u w:val="single"/>
        </w:rPr>
      </w:pPr>
    </w:p>
    <w:p w14:paraId="126C4B3C" w14:textId="523C091E" w:rsidR="00B10AAE" w:rsidRPr="000028C3" w:rsidRDefault="00B10AAE" w:rsidP="0039664F">
      <w:pPr>
        <w:pStyle w:val="ad"/>
        <w:spacing w:before="0" w:beforeAutospacing="0" w:after="0" w:afterAutospacing="0"/>
        <w:ind w:firstLine="567"/>
        <w:jc w:val="both"/>
      </w:pPr>
      <w:r w:rsidRPr="000028C3">
        <w:rPr>
          <w:u w:val="single"/>
        </w:rPr>
        <w:t>Алгоритм выставления оценки</w:t>
      </w:r>
    </w:p>
    <w:p w14:paraId="5F8EED80" w14:textId="77777777" w:rsidR="00AD067D" w:rsidRPr="000028C3" w:rsidRDefault="00AD067D" w:rsidP="0039664F">
      <w:pPr>
        <w:pStyle w:val="ad"/>
        <w:spacing w:before="0" w:beforeAutospacing="0" w:after="0" w:afterAutospacing="0"/>
        <w:ind w:firstLine="567"/>
        <w:jc w:val="both"/>
        <w:rPr>
          <w:i/>
        </w:rPr>
      </w:pPr>
      <w:r w:rsidRPr="000028C3">
        <w:t>Используется непрерывная линейная оценка. Показатели относятся к показателям с коротким хвостом.</w:t>
      </w:r>
    </w:p>
    <w:p w14:paraId="37590577" w14:textId="77777777" w:rsidR="00AD067D" w:rsidRPr="000028C3" w:rsidRDefault="00AD067D" w:rsidP="003966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943"/>
        <w:gridCol w:w="1690"/>
        <w:gridCol w:w="873"/>
        <w:gridCol w:w="839"/>
      </w:tblGrid>
      <w:tr w:rsidR="00AD067D" w:rsidRPr="000028C3" w14:paraId="0CDD03C5" w14:textId="77777777" w:rsidTr="0039664F">
        <w:trPr>
          <w:trHeight w:val="20"/>
        </w:trPr>
        <w:tc>
          <w:tcPr>
            <w:tcW w:w="3179" w:type="pct"/>
            <w:shd w:val="clear" w:color="auto" w:fill="FFFFFF"/>
            <w:vAlign w:val="center"/>
          </w:tcPr>
          <w:p w14:paraId="6D338131" w14:textId="15C3940E" w:rsidR="00AD067D" w:rsidRPr="000028C3" w:rsidRDefault="00AD067D" w:rsidP="0039664F">
            <w:pPr>
              <w:rPr>
                <w:bCs/>
              </w:rPr>
            </w:pPr>
            <w:r w:rsidRPr="000028C3">
              <w:rPr>
                <w:bCs/>
              </w:rPr>
              <w:t> </w:t>
            </w:r>
            <w:r w:rsidR="009D0B14" w:rsidRPr="000028C3">
              <w:t>Показатель</w:t>
            </w:r>
          </w:p>
        </w:tc>
        <w:tc>
          <w:tcPr>
            <w:tcW w:w="904" w:type="pct"/>
            <w:shd w:val="clear" w:color="auto" w:fill="FFFFFF"/>
            <w:vAlign w:val="center"/>
          </w:tcPr>
          <w:p w14:paraId="6BF02245" w14:textId="77777777" w:rsidR="00AD067D" w:rsidRPr="000028C3" w:rsidRDefault="00AD067D" w:rsidP="0039664F">
            <w:pPr>
              <w:jc w:val="center"/>
              <w:rPr>
                <w:bCs/>
              </w:rPr>
            </w:pPr>
            <w:r w:rsidRPr="000028C3">
              <w:rPr>
                <w:bCs/>
              </w:rPr>
              <w:t>Определение оценки</w:t>
            </w:r>
          </w:p>
        </w:tc>
        <w:tc>
          <w:tcPr>
            <w:tcW w:w="467" w:type="pct"/>
            <w:shd w:val="clear" w:color="auto" w:fill="FFFFFF"/>
            <w:vAlign w:val="center"/>
          </w:tcPr>
          <w:p w14:paraId="765F9970" w14:textId="77777777" w:rsidR="00AD067D" w:rsidRPr="000028C3" w:rsidRDefault="00AD067D" w:rsidP="0039664F">
            <w:pPr>
              <w:jc w:val="center"/>
              <w:rPr>
                <w:bCs/>
              </w:rPr>
            </w:pPr>
            <w:r w:rsidRPr="000028C3">
              <w:rPr>
                <w:bCs/>
              </w:rPr>
              <w:t>-1</w:t>
            </w:r>
          </w:p>
        </w:tc>
        <w:tc>
          <w:tcPr>
            <w:tcW w:w="449" w:type="pct"/>
            <w:shd w:val="clear" w:color="auto" w:fill="FFFFFF"/>
            <w:vAlign w:val="center"/>
          </w:tcPr>
          <w:p w14:paraId="4C8E5EF0" w14:textId="77777777" w:rsidR="00AD067D" w:rsidRPr="000028C3" w:rsidRDefault="00AD067D" w:rsidP="0039664F">
            <w:pPr>
              <w:jc w:val="center"/>
              <w:rPr>
                <w:bCs/>
              </w:rPr>
            </w:pPr>
            <w:r w:rsidRPr="000028C3">
              <w:rPr>
                <w:bCs/>
              </w:rPr>
              <w:t>1</w:t>
            </w:r>
          </w:p>
        </w:tc>
      </w:tr>
      <w:tr w:rsidR="00AD067D" w:rsidRPr="000028C3" w14:paraId="4D003894" w14:textId="77777777" w:rsidTr="0039664F">
        <w:trPr>
          <w:trHeight w:val="20"/>
        </w:trPr>
        <w:tc>
          <w:tcPr>
            <w:tcW w:w="3179" w:type="pct"/>
            <w:shd w:val="clear" w:color="auto" w:fill="FFFFFF"/>
            <w:vAlign w:val="bottom"/>
          </w:tcPr>
          <w:p w14:paraId="15E6433B" w14:textId="7DBD9969" w:rsidR="00AD067D" w:rsidRPr="000028C3" w:rsidRDefault="00AD067D" w:rsidP="0039664F">
            <w:r w:rsidRPr="000028C3">
              <w:t>Доля крупнейшей отрасли (подотрасли) в портфеле</w:t>
            </w:r>
            <w:r w:rsidR="00BD7B03" w:rsidRPr="000028C3">
              <w:t>, %</w:t>
            </w:r>
          </w:p>
        </w:tc>
        <w:tc>
          <w:tcPr>
            <w:tcW w:w="904" w:type="pct"/>
            <w:vMerge w:val="restart"/>
            <w:shd w:val="clear" w:color="auto" w:fill="FFFFFF"/>
            <w:vAlign w:val="center"/>
          </w:tcPr>
          <w:p w14:paraId="3DADFDC8" w14:textId="77777777" w:rsidR="00AD067D" w:rsidRPr="000028C3" w:rsidRDefault="00AD067D" w:rsidP="0039664F">
            <w:pPr>
              <w:jc w:val="center"/>
            </w:pPr>
            <w:r w:rsidRPr="000028C3">
              <w:t>Минимальная из двух</w:t>
            </w:r>
          </w:p>
        </w:tc>
        <w:tc>
          <w:tcPr>
            <w:tcW w:w="467" w:type="pct"/>
            <w:shd w:val="clear" w:color="auto" w:fill="FFFFFF"/>
            <w:vAlign w:val="center"/>
          </w:tcPr>
          <w:p w14:paraId="56EDC935" w14:textId="2C1EC7CF" w:rsidR="00AD067D" w:rsidRPr="000028C3" w:rsidRDefault="00BD7B03" w:rsidP="0039664F">
            <w:pPr>
              <w:jc w:val="center"/>
            </w:pPr>
            <w:r w:rsidRPr="000028C3">
              <w:t>≥ 60</w:t>
            </w:r>
          </w:p>
        </w:tc>
        <w:tc>
          <w:tcPr>
            <w:tcW w:w="449" w:type="pct"/>
            <w:shd w:val="clear" w:color="auto" w:fill="FFFFFF"/>
            <w:vAlign w:val="center"/>
          </w:tcPr>
          <w:p w14:paraId="7B4CD123" w14:textId="557CB121" w:rsidR="00AD067D" w:rsidRPr="000028C3" w:rsidRDefault="00BD7B03" w:rsidP="0039664F">
            <w:pPr>
              <w:jc w:val="center"/>
            </w:pPr>
            <w:r w:rsidRPr="000028C3">
              <w:t>≤ 20</w:t>
            </w:r>
          </w:p>
        </w:tc>
      </w:tr>
      <w:tr w:rsidR="00AD067D" w:rsidRPr="000028C3" w14:paraId="17015CC1" w14:textId="77777777" w:rsidTr="0039664F">
        <w:trPr>
          <w:trHeight w:val="20"/>
        </w:trPr>
        <w:tc>
          <w:tcPr>
            <w:tcW w:w="3179" w:type="pct"/>
            <w:shd w:val="clear" w:color="auto" w:fill="FFFFFF"/>
            <w:vAlign w:val="bottom"/>
          </w:tcPr>
          <w:p w14:paraId="1C877230" w14:textId="373F4D7C" w:rsidR="00AD067D" w:rsidRPr="000028C3" w:rsidRDefault="00AD067D" w:rsidP="0039664F">
            <w:r w:rsidRPr="000028C3">
              <w:t xml:space="preserve">Доля </w:t>
            </w:r>
            <w:r w:rsidR="005E54B0" w:rsidRPr="000028C3">
              <w:t>трех</w:t>
            </w:r>
            <w:r w:rsidRPr="000028C3">
              <w:t xml:space="preserve"> отраслей с максимальной долей</w:t>
            </w:r>
            <w:r w:rsidR="00BD7B03" w:rsidRPr="000028C3">
              <w:t>, %</w:t>
            </w:r>
          </w:p>
        </w:tc>
        <w:tc>
          <w:tcPr>
            <w:tcW w:w="904" w:type="pct"/>
            <w:vMerge/>
            <w:shd w:val="clear" w:color="auto" w:fill="FFFFFF"/>
            <w:vAlign w:val="center"/>
          </w:tcPr>
          <w:p w14:paraId="13346EE9" w14:textId="77777777" w:rsidR="00AD067D" w:rsidRPr="000028C3" w:rsidRDefault="00AD067D" w:rsidP="0039664F"/>
        </w:tc>
        <w:tc>
          <w:tcPr>
            <w:tcW w:w="467" w:type="pct"/>
            <w:shd w:val="clear" w:color="auto" w:fill="FFFFFF"/>
            <w:vAlign w:val="center"/>
          </w:tcPr>
          <w:p w14:paraId="5D8FA175" w14:textId="4E0BEE68" w:rsidR="00AD067D" w:rsidRPr="000028C3" w:rsidRDefault="00BD7B03" w:rsidP="0039664F">
            <w:pPr>
              <w:jc w:val="center"/>
            </w:pPr>
            <w:r w:rsidRPr="000028C3">
              <w:t>≥ 90</w:t>
            </w:r>
          </w:p>
        </w:tc>
        <w:tc>
          <w:tcPr>
            <w:tcW w:w="449" w:type="pct"/>
            <w:shd w:val="clear" w:color="auto" w:fill="FFFFFF"/>
            <w:vAlign w:val="center"/>
          </w:tcPr>
          <w:p w14:paraId="6A31E3E9" w14:textId="54B4C805" w:rsidR="00AD067D" w:rsidRPr="000028C3" w:rsidRDefault="00BD7B03" w:rsidP="0039664F">
            <w:pPr>
              <w:jc w:val="center"/>
            </w:pPr>
            <w:r w:rsidRPr="000028C3">
              <w:t>≤ 50</w:t>
            </w:r>
          </w:p>
        </w:tc>
      </w:tr>
    </w:tbl>
    <w:p w14:paraId="2A501C4D" w14:textId="52F9CA97" w:rsidR="0036150A" w:rsidRPr="000028C3" w:rsidRDefault="0036150A" w:rsidP="0039664F">
      <w:pPr>
        <w:jc w:val="both"/>
        <w:rPr>
          <w:highlight w:val="yellow"/>
        </w:rPr>
      </w:pPr>
      <w:bookmarkStart w:id="50" w:name="_Toc447270437"/>
    </w:p>
    <w:p w14:paraId="00713576" w14:textId="0BD0D4D8" w:rsidR="00BD7B03" w:rsidRPr="000028C3" w:rsidRDefault="00BD7B03" w:rsidP="00BD7B03">
      <w:pPr>
        <w:pStyle w:val="ad"/>
        <w:spacing w:before="0" w:beforeAutospacing="0" w:after="0" w:afterAutospacing="0"/>
        <w:ind w:firstLine="567"/>
        <w:jc w:val="both"/>
      </w:pPr>
      <w:r w:rsidRPr="000028C3">
        <w:t>Отрасль оптов</w:t>
      </w:r>
      <w:r w:rsidR="00992F62" w:rsidRPr="000028C3">
        <w:t>ой</w:t>
      </w:r>
      <w:r w:rsidRPr="000028C3">
        <w:t xml:space="preserve"> торговл</w:t>
      </w:r>
      <w:r w:rsidR="00992F62" w:rsidRPr="000028C3">
        <w:t>и</w:t>
      </w:r>
      <w:r w:rsidRPr="000028C3">
        <w:t xml:space="preserve"> разбивается на подотрасли: продукты питания, алкогольные напитки, табачная продукция, непродовольственные товары (косметика, парфюмерия, бытовая химия, канцелярские товары), электрооборудование, компьютеры, бытовая техника, торговля автотранспортными средствами и мотоциклами, их техническое обслуживание и ремонт, прочее.</w:t>
      </w:r>
    </w:p>
    <w:p w14:paraId="53DDD640" w14:textId="77777777" w:rsidR="00BD7B03" w:rsidRPr="000028C3" w:rsidRDefault="00BD7B03" w:rsidP="0039664F">
      <w:pPr>
        <w:jc w:val="both"/>
        <w:rPr>
          <w:highlight w:val="yellow"/>
        </w:rPr>
      </w:pPr>
    </w:p>
    <w:p w14:paraId="5E5A74B0" w14:textId="77777777" w:rsidR="008B1955" w:rsidRPr="000028C3" w:rsidRDefault="004F2944" w:rsidP="0039664F">
      <w:pPr>
        <w:pStyle w:val="3"/>
        <w:spacing w:before="0" w:after="0"/>
        <w:rPr>
          <w:rFonts w:ascii="Times New Roman" w:hAnsi="Times New Roman" w:cs="Times New Roman"/>
        </w:rPr>
      </w:pPr>
      <w:bookmarkStart w:id="51" w:name="_Toc39667621"/>
      <w:r w:rsidRPr="000028C3">
        <w:rPr>
          <w:rFonts w:ascii="Times New Roman" w:hAnsi="Times New Roman" w:cs="Times New Roman"/>
        </w:rPr>
        <w:t xml:space="preserve">2.3.2. </w:t>
      </w:r>
      <w:r w:rsidR="008B1955" w:rsidRPr="000028C3">
        <w:rPr>
          <w:rFonts w:ascii="Times New Roman" w:hAnsi="Times New Roman" w:cs="Times New Roman"/>
        </w:rPr>
        <w:t>Диверсификация факторингового портфеля по клиентам</w:t>
      </w:r>
      <w:bookmarkEnd w:id="50"/>
      <w:bookmarkEnd w:id="51"/>
    </w:p>
    <w:p w14:paraId="216A6983" w14:textId="77777777" w:rsidR="0039664F" w:rsidRPr="000028C3" w:rsidRDefault="0039664F" w:rsidP="0039664F">
      <w:pPr>
        <w:pStyle w:val="ad"/>
        <w:spacing w:before="0" w:beforeAutospacing="0" w:after="0" w:afterAutospacing="0"/>
        <w:ind w:firstLine="567"/>
        <w:jc w:val="both"/>
        <w:rPr>
          <w:u w:val="single"/>
        </w:rPr>
      </w:pPr>
    </w:p>
    <w:p w14:paraId="4F3B5F0D" w14:textId="66D3C075" w:rsidR="00AD067D" w:rsidRPr="000028C3" w:rsidRDefault="00AD067D" w:rsidP="0039664F">
      <w:pPr>
        <w:pStyle w:val="ad"/>
        <w:spacing w:before="0" w:beforeAutospacing="0" w:after="0" w:afterAutospacing="0"/>
        <w:ind w:firstLine="567"/>
        <w:jc w:val="both"/>
      </w:pPr>
      <w:r w:rsidRPr="000028C3">
        <w:rPr>
          <w:u w:val="single"/>
        </w:rPr>
        <w:t>Алгоритм выставления оценки</w:t>
      </w:r>
    </w:p>
    <w:p w14:paraId="33BA4AC4" w14:textId="77777777" w:rsidR="005D74F3" w:rsidRPr="000028C3" w:rsidRDefault="005D74F3" w:rsidP="0039664F">
      <w:pPr>
        <w:pStyle w:val="ad"/>
        <w:spacing w:before="0" w:beforeAutospacing="0" w:after="0" w:afterAutospacing="0"/>
        <w:ind w:firstLine="567"/>
        <w:jc w:val="both"/>
        <w:rPr>
          <w:i/>
        </w:rPr>
      </w:pPr>
      <w:r w:rsidRPr="000028C3">
        <w:t>Используется непрерывная линейная оценка. Показатели относятся к показателям с коротким хвостом.</w:t>
      </w:r>
    </w:p>
    <w:p w14:paraId="0CD32144" w14:textId="77777777" w:rsidR="005D74F3" w:rsidRPr="000028C3" w:rsidRDefault="005D74F3" w:rsidP="003966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804"/>
        <w:gridCol w:w="1705"/>
        <w:gridCol w:w="918"/>
        <w:gridCol w:w="918"/>
      </w:tblGrid>
      <w:tr w:rsidR="0039664F" w:rsidRPr="000028C3" w14:paraId="6A49C36C" w14:textId="77777777" w:rsidTr="00645F45">
        <w:trPr>
          <w:trHeight w:val="20"/>
        </w:trPr>
        <w:tc>
          <w:tcPr>
            <w:tcW w:w="3106" w:type="pct"/>
            <w:shd w:val="clear" w:color="auto" w:fill="FFFFFF"/>
            <w:vAlign w:val="center"/>
          </w:tcPr>
          <w:p w14:paraId="1AAFDBF0" w14:textId="1BA14AE9" w:rsidR="005D74F3" w:rsidRPr="000028C3" w:rsidRDefault="009D0B14" w:rsidP="0039664F">
            <w:pPr>
              <w:rPr>
                <w:bCs/>
              </w:rPr>
            </w:pPr>
            <w:r w:rsidRPr="000028C3">
              <w:t>Показатель</w:t>
            </w:r>
          </w:p>
        </w:tc>
        <w:tc>
          <w:tcPr>
            <w:tcW w:w="912" w:type="pct"/>
            <w:shd w:val="clear" w:color="auto" w:fill="FFFFFF"/>
            <w:vAlign w:val="center"/>
          </w:tcPr>
          <w:p w14:paraId="67953C6F" w14:textId="77777777" w:rsidR="005D74F3" w:rsidRPr="000028C3" w:rsidRDefault="005D74F3" w:rsidP="0039664F">
            <w:pPr>
              <w:jc w:val="center"/>
              <w:rPr>
                <w:bCs/>
              </w:rPr>
            </w:pPr>
            <w:r w:rsidRPr="000028C3">
              <w:rPr>
                <w:bCs/>
              </w:rPr>
              <w:t>Определение оценки</w:t>
            </w:r>
          </w:p>
        </w:tc>
        <w:tc>
          <w:tcPr>
            <w:tcW w:w="491" w:type="pct"/>
            <w:shd w:val="clear" w:color="auto" w:fill="FFFFFF"/>
            <w:vAlign w:val="center"/>
          </w:tcPr>
          <w:p w14:paraId="633C5BA5" w14:textId="77777777" w:rsidR="005D74F3" w:rsidRPr="000028C3" w:rsidRDefault="005D74F3" w:rsidP="0039664F">
            <w:pPr>
              <w:jc w:val="center"/>
              <w:rPr>
                <w:bCs/>
              </w:rPr>
            </w:pPr>
            <w:r w:rsidRPr="000028C3">
              <w:rPr>
                <w:bCs/>
              </w:rPr>
              <w:t>-1</w:t>
            </w:r>
          </w:p>
        </w:tc>
        <w:tc>
          <w:tcPr>
            <w:tcW w:w="491" w:type="pct"/>
            <w:shd w:val="clear" w:color="auto" w:fill="FFFFFF"/>
            <w:vAlign w:val="center"/>
          </w:tcPr>
          <w:p w14:paraId="1D94A34F" w14:textId="77777777" w:rsidR="005D74F3" w:rsidRPr="000028C3" w:rsidRDefault="005D74F3" w:rsidP="0039664F">
            <w:pPr>
              <w:jc w:val="center"/>
              <w:rPr>
                <w:bCs/>
              </w:rPr>
            </w:pPr>
            <w:r w:rsidRPr="000028C3">
              <w:rPr>
                <w:bCs/>
              </w:rPr>
              <w:t>1</w:t>
            </w:r>
          </w:p>
        </w:tc>
      </w:tr>
      <w:tr w:rsidR="0039664F" w:rsidRPr="000028C3" w14:paraId="2312AEDC" w14:textId="77777777" w:rsidTr="00645F45">
        <w:trPr>
          <w:trHeight w:val="20"/>
        </w:trPr>
        <w:tc>
          <w:tcPr>
            <w:tcW w:w="3106" w:type="pct"/>
            <w:shd w:val="clear" w:color="auto" w:fill="FFFFFF"/>
            <w:noWrap/>
            <w:vAlign w:val="center"/>
          </w:tcPr>
          <w:p w14:paraId="2ADAE924" w14:textId="69A56B1A" w:rsidR="005D74F3" w:rsidRPr="000028C3" w:rsidRDefault="005D74F3" w:rsidP="0039664F">
            <w:r w:rsidRPr="000028C3">
              <w:t>Доля 5 крупнейших клиентов / поставщиков в факторинговом портфеле</w:t>
            </w:r>
            <w:r w:rsidR="00BD7B03" w:rsidRPr="000028C3">
              <w:t>, %</w:t>
            </w:r>
          </w:p>
        </w:tc>
        <w:tc>
          <w:tcPr>
            <w:tcW w:w="912" w:type="pct"/>
            <w:vMerge w:val="restart"/>
            <w:shd w:val="clear" w:color="auto" w:fill="FFFFFF"/>
            <w:vAlign w:val="center"/>
          </w:tcPr>
          <w:p w14:paraId="2B2EDAED" w14:textId="77777777" w:rsidR="005D74F3" w:rsidRPr="000028C3" w:rsidRDefault="005D74F3" w:rsidP="0039664F">
            <w:pPr>
              <w:jc w:val="center"/>
            </w:pPr>
            <w:r w:rsidRPr="000028C3">
              <w:t>Минимальная из двух</w:t>
            </w:r>
          </w:p>
        </w:tc>
        <w:tc>
          <w:tcPr>
            <w:tcW w:w="491" w:type="pct"/>
            <w:shd w:val="clear" w:color="auto" w:fill="FFFFFF"/>
            <w:vAlign w:val="center"/>
          </w:tcPr>
          <w:p w14:paraId="3F918F90" w14:textId="31D02657" w:rsidR="005D74F3" w:rsidRPr="000028C3" w:rsidRDefault="00BD7B03" w:rsidP="0039664F">
            <w:pPr>
              <w:jc w:val="center"/>
            </w:pPr>
            <w:r w:rsidRPr="000028C3">
              <w:t>≥ 85</w:t>
            </w:r>
          </w:p>
        </w:tc>
        <w:tc>
          <w:tcPr>
            <w:tcW w:w="491" w:type="pct"/>
            <w:shd w:val="clear" w:color="auto" w:fill="FFFFFF"/>
            <w:vAlign w:val="center"/>
          </w:tcPr>
          <w:p w14:paraId="4E3D5C81" w14:textId="6CAD9FDA" w:rsidR="005D74F3" w:rsidRPr="000028C3" w:rsidRDefault="005D74F3" w:rsidP="0039664F">
            <w:pPr>
              <w:jc w:val="center"/>
            </w:pPr>
            <w:r w:rsidRPr="000028C3">
              <w:t>≤ 45</w:t>
            </w:r>
          </w:p>
        </w:tc>
      </w:tr>
      <w:tr w:rsidR="0039664F" w:rsidRPr="000028C3" w14:paraId="6D008B6C" w14:textId="77777777" w:rsidTr="00645F45">
        <w:trPr>
          <w:trHeight w:val="20"/>
        </w:trPr>
        <w:tc>
          <w:tcPr>
            <w:tcW w:w="3106" w:type="pct"/>
            <w:shd w:val="clear" w:color="auto" w:fill="FFFFFF"/>
            <w:noWrap/>
            <w:vAlign w:val="center"/>
          </w:tcPr>
          <w:p w14:paraId="1ECAFA47" w14:textId="1B5E9ACF" w:rsidR="005D74F3" w:rsidRPr="000028C3" w:rsidRDefault="005D74F3" w:rsidP="0039664F">
            <w:r w:rsidRPr="000028C3">
              <w:t>Доля задолженности крупнейшего клиента / поставщика в портфеле</w:t>
            </w:r>
            <w:r w:rsidR="00BD7B03" w:rsidRPr="000028C3">
              <w:t>, %</w:t>
            </w:r>
          </w:p>
        </w:tc>
        <w:tc>
          <w:tcPr>
            <w:tcW w:w="912" w:type="pct"/>
            <w:vMerge/>
            <w:shd w:val="clear" w:color="auto" w:fill="FFFFFF"/>
            <w:vAlign w:val="bottom"/>
          </w:tcPr>
          <w:p w14:paraId="6BF02CCA" w14:textId="77777777" w:rsidR="005D74F3" w:rsidRPr="000028C3" w:rsidRDefault="005D74F3" w:rsidP="0039664F"/>
        </w:tc>
        <w:tc>
          <w:tcPr>
            <w:tcW w:w="491" w:type="pct"/>
            <w:shd w:val="clear" w:color="auto" w:fill="FFFFFF"/>
            <w:vAlign w:val="center"/>
          </w:tcPr>
          <w:p w14:paraId="77F327A8" w14:textId="5B3DFED6" w:rsidR="005D74F3" w:rsidRPr="000028C3" w:rsidRDefault="00BD7B03" w:rsidP="0039664F">
            <w:pPr>
              <w:jc w:val="center"/>
            </w:pPr>
            <w:r w:rsidRPr="000028C3">
              <w:t>≥ 30</w:t>
            </w:r>
          </w:p>
        </w:tc>
        <w:tc>
          <w:tcPr>
            <w:tcW w:w="491" w:type="pct"/>
            <w:shd w:val="clear" w:color="auto" w:fill="FFFFFF"/>
            <w:vAlign w:val="center"/>
          </w:tcPr>
          <w:p w14:paraId="464555FC" w14:textId="646E4086" w:rsidR="005D74F3" w:rsidRPr="000028C3" w:rsidRDefault="00BD7B03" w:rsidP="0039664F">
            <w:pPr>
              <w:jc w:val="center"/>
            </w:pPr>
            <w:r w:rsidRPr="000028C3">
              <w:t>≤ 10</w:t>
            </w:r>
          </w:p>
        </w:tc>
      </w:tr>
    </w:tbl>
    <w:p w14:paraId="48F19722" w14:textId="77777777" w:rsidR="00AD067D" w:rsidRPr="000028C3" w:rsidRDefault="00AD067D" w:rsidP="0039664F">
      <w:pPr>
        <w:jc w:val="both"/>
        <w:rPr>
          <w:highlight w:val="yellow"/>
        </w:rPr>
      </w:pPr>
      <w:bookmarkStart w:id="52" w:name="_Toc447270438"/>
    </w:p>
    <w:p w14:paraId="773FD894" w14:textId="77777777" w:rsidR="008B1955" w:rsidRPr="000028C3" w:rsidRDefault="004F2944" w:rsidP="0039664F">
      <w:pPr>
        <w:pStyle w:val="3"/>
        <w:spacing w:before="0" w:after="0"/>
        <w:rPr>
          <w:rFonts w:ascii="Times New Roman" w:hAnsi="Times New Roman" w:cs="Times New Roman"/>
        </w:rPr>
      </w:pPr>
      <w:bookmarkStart w:id="53" w:name="_Toc39667622"/>
      <w:r w:rsidRPr="000028C3">
        <w:rPr>
          <w:rFonts w:ascii="Times New Roman" w:hAnsi="Times New Roman" w:cs="Times New Roman"/>
        </w:rPr>
        <w:t xml:space="preserve">2.3.3. </w:t>
      </w:r>
      <w:r w:rsidR="008B1955" w:rsidRPr="000028C3">
        <w:rPr>
          <w:rFonts w:ascii="Times New Roman" w:hAnsi="Times New Roman" w:cs="Times New Roman"/>
        </w:rPr>
        <w:t>Уровень просроче</w:t>
      </w:r>
      <w:bookmarkEnd w:id="52"/>
      <w:r w:rsidR="00256454" w:rsidRPr="000028C3">
        <w:rPr>
          <w:rFonts w:ascii="Times New Roman" w:hAnsi="Times New Roman" w:cs="Times New Roman"/>
        </w:rPr>
        <w:t>нной задолженности</w:t>
      </w:r>
      <w:bookmarkEnd w:id="53"/>
    </w:p>
    <w:p w14:paraId="49DF2E10" w14:textId="77777777" w:rsidR="0039664F" w:rsidRPr="000028C3" w:rsidRDefault="0039664F" w:rsidP="0039664F">
      <w:pPr>
        <w:pStyle w:val="ad"/>
        <w:spacing w:before="0" w:beforeAutospacing="0" w:after="0" w:afterAutospacing="0"/>
        <w:ind w:firstLine="567"/>
        <w:jc w:val="both"/>
        <w:rPr>
          <w:u w:val="single"/>
        </w:rPr>
      </w:pPr>
    </w:p>
    <w:p w14:paraId="67648ED0" w14:textId="488E8C9C" w:rsidR="00316E6F" w:rsidRPr="000028C3" w:rsidRDefault="00316E6F" w:rsidP="0039664F">
      <w:pPr>
        <w:pStyle w:val="ad"/>
        <w:spacing w:before="0" w:beforeAutospacing="0" w:after="0" w:afterAutospacing="0"/>
        <w:ind w:firstLine="567"/>
        <w:jc w:val="both"/>
      </w:pPr>
      <w:r w:rsidRPr="000028C3">
        <w:rPr>
          <w:u w:val="single"/>
        </w:rPr>
        <w:t>Алгоритм выставления оценки</w:t>
      </w:r>
    </w:p>
    <w:p w14:paraId="17C7B4E1" w14:textId="77777777" w:rsidR="00316E6F" w:rsidRPr="000028C3" w:rsidRDefault="00316E6F" w:rsidP="0039664F">
      <w:pPr>
        <w:pStyle w:val="ad"/>
        <w:spacing w:before="0" w:beforeAutospacing="0" w:after="0" w:afterAutospacing="0"/>
        <w:ind w:firstLine="567"/>
        <w:jc w:val="both"/>
        <w:rPr>
          <w:i/>
        </w:rPr>
      </w:pPr>
      <w:r w:rsidRPr="000028C3">
        <w:t>Используется непрерывная линейная оценка. Показатели относятся к показателям с коротким хвостом.</w:t>
      </w:r>
    </w:p>
    <w:p w14:paraId="6372E41E" w14:textId="77777777" w:rsidR="00316E6F" w:rsidRPr="000028C3" w:rsidRDefault="00316E6F" w:rsidP="003966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806"/>
        <w:gridCol w:w="1699"/>
        <w:gridCol w:w="920"/>
        <w:gridCol w:w="920"/>
      </w:tblGrid>
      <w:tr w:rsidR="00316E6F" w:rsidRPr="000028C3" w14:paraId="74A719F7" w14:textId="77777777" w:rsidTr="00645F45">
        <w:trPr>
          <w:trHeight w:val="20"/>
        </w:trPr>
        <w:tc>
          <w:tcPr>
            <w:tcW w:w="3107" w:type="pct"/>
            <w:shd w:val="clear" w:color="auto" w:fill="FFFFFF"/>
            <w:vAlign w:val="bottom"/>
          </w:tcPr>
          <w:p w14:paraId="49A63E92" w14:textId="190CD057" w:rsidR="00316E6F" w:rsidRPr="000028C3" w:rsidRDefault="00316E6F" w:rsidP="0039664F">
            <w:pPr>
              <w:rPr>
                <w:bCs/>
              </w:rPr>
            </w:pPr>
            <w:r w:rsidRPr="000028C3">
              <w:rPr>
                <w:bCs/>
              </w:rPr>
              <w:t> </w:t>
            </w:r>
            <w:r w:rsidR="009D0B14" w:rsidRPr="000028C3">
              <w:t>Показатель</w:t>
            </w:r>
          </w:p>
        </w:tc>
        <w:tc>
          <w:tcPr>
            <w:tcW w:w="909" w:type="pct"/>
            <w:shd w:val="clear" w:color="auto" w:fill="FFFFFF"/>
            <w:vAlign w:val="center"/>
          </w:tcPr>
          <w:p w14:paraId="09BB418E" w14:textId="77777777" w:rsidR="00316E6F" w:rsidRPr="000028C3" w:rsidRDefault="00316E6F" w:rsidP="0039664F">
            <w:pPr>
              <w:jc w:val="center"/>
              <w:rPr>
                <w:bCs/>
              </w:rPr>
            </w:pPr>
            <w:r w:rsidRPr="000028C3">
              <w:rPr>
                <w:bCs/>
              </w:rPr>
              <w:t>Вес</w:t>
            </w:r>
          </w:p>
        </w:tc>
        <w:tc>
          <w:tcPr>
            <w:tcW w:w="492" w:type="pct"/>
            <w:shd w:val="clear" w:color="auto" w:fill="FFFFFF"/>
            <w:vAlign w:val="center"/>
          </w:tcPr>
          <w:p w14:paraId="6FCEA83E" w14:textId="77777777" w:rsidR="00316E6F" w:rsidRPr="000028C3" w:rsidRDefault="00316E6F" w:rsidP="0039664F">
            <w:pPr>
              <w:jc w:val="center"/>
              <w:rPr>
                <w:bCs/>
              </w:rPr>
            </w:pPr>
            <w:r w:rsidRPr="000028C3">
              <w:rPr>
                <w:bCs/>
              </w:rPr>
              <w:t>-1</w:t>
            </w:r>
          </w:p>
        </w:tc>
        <w:tc>
          <w:tcPr>
            <w:tcW w:w="492" w:type="pct"/>
            <w:shd w:val="clear" w:color="auto" w:fill="FFFFFF"/>
            <w:vAlign w:val="center"/>
          </w:tcPr>
          <w:p w14:paraId="6619538C" w14:textId="77777777" w:rsidR="00316E6F" w:rsidRPr="000028C3" w:rsidRDefault="00316E6F" w:rsidP="0039664F">
            <w:pPr>
              <w:jc w:val="center"/>
              <w:rPr>
                <w:bCs/>
              </w:rPr>
            </w:pPr>
            <w:r w:rsidRPr="000028C3">
              <w:rPr>
                <w:bCs/>
              </w:rPr>
              <w:t>1</w:t>
            </w:r>
          </w:p>
        </w:tc>
      </w:tr>
      <w:tr w:rsidR="00316E6F" w:rsidRPr="000028C3" w14:paraId="6EA2F9DD" w14:textId="77777777" w:rsidTr="00645F45">
        <w:trPr>
          <w:trHeight w:val="20"/>
        </w:trPr>
        <w:tc>
          <w:tcPr>
            <w:tcW w:w="3107" w:type="pct"/>
            <w:shd w:val="clear" w:color="auto" w:fill="FFFFFF"/>
            <w:noWrap/>
            <w:vAlign w:val="center"/>
          </w:tcPr>
          <w:p w14:paraId="056F6F66" w14:textId="3635B039" w:rsidR="00316E6F" w:rsidRPr="000028C3" w:rsidRDefault="00316E6F" w:rsidP="00645F45">
            <w:r w:rsidRPr="000028C3">
              <w:t>Доля просроченной задолженности (сверх льготного периода)</w:t>
            </w:r>
            <w:r w:rsidR="00645F45" w:rsidRPr="000028C3">
              <w:t xml:space="preserve"> </w:t>
            </w:r>
            <w:r w:rsidRPr="000028C3">
              <w:t>в факторинговом портфеле</w:t>
            </w:r>
            <w:r w:rsidR="00BD7B03" w:rsidRPr="000028C3">
              <w:t>, %</w:t>
            </w:r>
          </w:p>
        </w:tc>
        <w:tc>
          <w:tcPr>
            <w:tcW w:w="909" w:type="pct"/>
            <w:shd w:val="clear" w:color="auto" w:fill="FFFFFF"/>
            <w:vAlign w:val="center"/>
          </w:tcPr>
          <w:p w14:paraId="1F114FC2" w14:textId="77777777" w:rsidR="00316E6F" w:rsidRPr="000028C3" w:rsidRDefault="00316E6F" w:rsidP="0039664F">
            <w:pPr>
              <w:jc w:val="center"/>
              <w:rPr>
                <w:lang w:val="en-US"/>
              </w:rPr>
            </w:pPr>
            <w:r w:rsidRPr="000028C3">
              <w:rPr>
                <w:lang w:val="en-US"/>
              </w:rPr>
              <w:t>60%</w:t>
            </w:r>
          </w:p>
        </w:tc>
        <w:tc>
          <w:tcPr>
            <w:tcW w:w="492" w:type="pct"/>
            <w:shd w:val="clear" w:color="auto" w:fill="FFFFFF"/>
            <w:vAlign w:val="center"/>
          </w:tcPr>
          <w:p w14:paraId="762D85B0" w14:textId="311A7B63" w:rsidR="00316E6F" w:rsidRPr="000028C3" w:rsidRDefault="00BD7B03" w:rsidP="0039664F">
            <w:pPr>
              <w:jc w:val="center"/>
            </w:pPr>
            <w:r w:rsidRPr="000028C3">
              <w:t>≥ 11</w:t>
            </w:r>
          </w:p>
        </w:tc>
        <w:tc>
          <w:tcPr>
            <w:tcW w:w="492" w:type="pct"/>
            <w:shd w:val="clear" w:color="auto" w:fill="FFFFFF"/>
            <w:vAlign w:val="center"/>
          </w:tcPr>
          <w:p w14:paraId="4B6EA454" w14:textId="3BFE9778" w:rsidR="00316E6F" w:rsidRPr="000028C3" w:rsidRDefault="00BD7B03" w:rsidP="0039664F">
            <w:pPr>
              <w:jc w:val="center"/>
            </w:pPr>
            <w:r w:rsidRPr="000028C3">
              <w:t>≤ 3</w:t>
            </w:r>
          </w:p>
        </w:tc>
      </w:tr>
      <w:tr w:rsidR="00316E6F" w:rsidRPr="000028C3" w14:paraId="6F4644A5" w14:textId="77777777" w:rsidTr="00645F45">
        <w:trPr>
          <w:trHeight w:val="20"/>
        </w:trPr>
        <w:tc>
          <w:tcPr>
            <w:tcW w:w="3107" w:type="pct"/>
            <w:shd w:val="clear" w:color="auto" w:fill="FFFFFF"/>
            <w:noWrap/>
            <w:vAlign w:val="center"/>
          </w:tcPr>
          <w:p w14:paraId="7D587AD5" w14:textId="35D92934" w:rsidR="00316E6F" w:rsidRPr="000028C3" w:rsidRDefault="00316E6F" w:rsidP="0039664F">
            <w:r w:rsidRPr="000028C3">
              <w:t>Доля просроченной задолженности (льготный период + 90 дней) в факторинговом портфеле</w:t>
            </w:r>
            <w:r w:rsidR="00BD7B03" w:rsidRPr="000028C3">
              <w:t>, %</w:t>
            </w:r>
          </w:p>
        </w:tc>
        <w:tc>
          <w:tcPr>
            <w:tcW w:w="909" w:type="pct"/>
            <w:shd w:val="clear" w:color="auto" w:fill="FFFFFF"/>
            <w:vAlign w:val="center"/>
          </w:tcPr>
          <w:p w14:paraId="466D3EC8" w14:textId="77777777" w:rsidR="00316E6F" w:rsidRPr="000028C3" w:rsidRDefault="00316E6F" w:rsidP="0039664F">
            <w:pPr>
              <w:jc w:val="center"/>
              <w:rPr>
                <w:lang w:val="en-US"/>
              </w:rPr>
            </w:pPr>
            <w:r w:rsidRPr="000028C3">
              <w:rPr>
                <w:lang w:val="en-US"/>
              </w:rPr>
              <w:t>40%</w:t>
            </w:r>
          </w:p>
        </w:tc>
        <w:tc>
          <w:tcPr>
            <w:tcW w:w="492" w:type="pct"/>
            <w:shd w:val="clear" w:color="auto" w:fill="FFFFFF"/>
            <w:vAlign w:val="center"/>
          </w:tcPr>
          <w:p w14:paraId="680E4CCE" w14:textId="6D3E73FE" w:rsidR="00316E6F" w:rsidRPr="000028C3" w:rsidRDefault="00316E6F" w:rsidP="0039664F">
            <w:pPr>
              <w:jc w:val="center"/>
              <w:rPr>
                <w:lang w:val="en-US"/>
              </w:rPr>
            </w:pPr>
            <w:r w:rsidRPr="000028C3">
              <w:t>≥ 70</w:t>
            </w:r>
          </w:p>
        </w:tc>
        <w:tc>
          <w:tcPr>
            <w:tcW w:w="492" w:type="pct"/>
            <w:shd w:val="clear" w:color="auto" w:fill="FFFFFF"/>
            <w:vAlign w:val="center"/>
          </w:tcPr>
          <w:p w14:paraId="07A565FD" w14:textId="40D5D4F0" w:rsidR="00316E6F" w:rsidRPr="000028C3" w:rsidRDefault="00316E6F" w:rsidP="0039664F">
            <w:pPr>
              <w:jc w:val="center"/>
              <w:rPr>
                <w:lang w:val="en-US"/>
              </w:rPr>
            </w:pPr>
            <w:r w:rsidRPr="000028C3">
              <w:t>≤ 30</w:t>
            </w:r>
          </w:p>
        </w:tc>
      </w:tr>
    </w:tbl>
    <w:p w14:paraId="75C44E72" w14:textId="77777777" w:rsidR="00F40330" w:rsidRPr="000028C3" w:rsidRDefault="00F40330" w:rsidP="0039664F">
      <w:pPr>
        <w:jc w:val="both"/>
      </w:pPr>
    </w:p>
    <w:p w14:paraId="070269D2" w14:textId="77777777" w:rsidR="00874FAE" w:rsidRPr="000028C3" w:rsidRDefault="008B1955" w:rsidP="0039664F">
      <w:pPr>
        <w:pStyle w:val="ad"/>
        <w:spacing w:before="0" w:beforeAutospacing="0" w:after="0" w:afterAutospacing="0"/>
        <w:ind w:firstLine="567"/>
        <w:jc w:val="both"/>
      </w:pPr>
      <w:r w:rsidRPr="000028C3">
        <w:t>В показателе косвенно оценивается эффективность регрессионной работы (чем выше доля просроч</w:t>
      </w:r>
      <w:r w:rsidR="00874FAE" w:rsidRPr="000028C3">
        <w:t>енной задолженности</w:t>
      </w:r>
      <w:r w:rsidRPr="000028C3">
        <w:t xml:space="preserve"> «льготный период + 90 дней», тем хуже эффективность регресс</w:t>
      </w:r>
      <w:r w:rsidR="00874FAE" w:rsidRPr="000028C3">
        <w:t>и</w:t>
      </w:r>
      <w:r w:rsidRPr="000028C3">
        <w:t>онной работы).</w:t>
      </w:r>
    </w:p>
    <w:p w14:paraId="02A26141" w14:textId="6656D759" w:rsidR="008B1955" w:rsidRPr="000028C3" w:rsidRDefault="00874FAE" w:rsidP="0039664F">
      <w:pPr>
        <w:pStyle w:val="ad"/>
        <w:spacing w:before="0" w:beforeAutospacing="0" w:after="0" w:afterAutospacing="0"/>
        <w:ind w:firstLine="567"/>
        <w:jc w:val="both"/>
      </w:pPr>
      <w:r w:rsidRPr="000028C3">
        <w:lastRenderedPageBreak/>
        <w:t>Оценка фактора может быть снижена на 0,5-1 балл,</w:t>
      </w:r>
      <w:r w:rsidR="008B1955" w:rsidRPr="000028C3">
        <w:t xml:space="preserve"> если для </w:t>
      </w:r>
      <w:r w:rsidRPr="000028C3">
        <w:t>компании</w:t>
      </w:r>
      <w:r w:rsidR="008B1955" w:rsidRPr="000028C3">
        <w:t xml:space="preserve"> характерна активная переуступка проблемной задолженности</w:t>
      </w:r>
      <w:r w:rsidR="004F2944" w:rsidRPr="000028C3">
        <w:t xml:space="preserve"> (в зависимости от распространенности такой практики)</w:t>
      </w:r>
      <w:r w:rsidR="008B1955" w:rsidRPr="000028C3">
        <w:t>.</w:t>
      </w:r>
    </w:p>
    <w:p w14:paraId="2C905B35" w14:textId="77777777" w:rsidR="00BD7B03" w:rsidRPr="000028C3" w:rsidRDefault="00BD7B03" w:rsidP="0039664F">
      <w:pPr>
        <w:pStyle w:val="ad"/>
        <w:spacing w:before="0" w:beforeAutospacing="0" w:after="0" w:afterAutospacing="0"/>
        <w:ind w:firstLine="567"/>
        <w:jc w:val="both"/>
      </w:pPr>
    </w:p>
    <w:p w14:paraId="4992F30A" w14:textId="77777777" w:rsidR="008B1955" w:rsidRPr="000028C3" w:rsidRDefault="008B1955" w:rsidP="0098669D">
      <w:pPr>
        <w:pStyle w:val="3"/>
        <w:numPr>
          <w:ilvl w:val="1"/>
          <w:numId w:val="17"/>
        </w:numPr>
        <w:spacing w:before="0" w:after="0"/>
        <w:rPr>
          <w:rFonts w:ascii="Times New Roman" w:hAnsi="Times New Roman" w:cs="Times New Roman"/>
        </w:rPr>
      </w:pPr>
      <w:bookmarkStart w:id="54" w:name="_Toc447270439"/>
      <w:bookmarkStart w:id="55" w:name="_Toc39667623"/>
      <w:r w:rsidRPr="000028C3">
        <w:rPr>
          <w:rFonts w:ascii="Times New Roman" w:hAnsi="Times New Roman" w:cs="Times New Roman"/>
        </w:rPr>
        <w:t>Качество прочих активов</w:t>
      </w:r>
      <w:bookmarkEnd w:id="54"/>
      <w:r w:rsidRPr="000028C3">
        <w:rPr>
          <w:rFonts w:ascii="Times New Roman" w:hAnsi="Times New Roman" w:cs="Times New Roman"/>
        </w:rPr>
        <w:t xml:space="preserve"> </w:t>
      </w:r>
      <w:r w:rsidR="00D75260" w:rsidRPr="000028C3">
        <w:rPr>
          <w:rFonts w:ascii="Times New Roman" w:hAnsi="Times New Roman" w:cs="Times New Roman"/>
        </w:rPr>
        <w:t>и внебалансовых обязательств</w:t>
      </w:r>
      <w:bookmarkEnd w:id="55"/>
    </w:p>
    <w:p w14:paraId="0124D1A7" w14:textId="77777777" w:rsidR="0039664F" w:rsidRPr="000028C3" w:rsidRDefault="0039664F" w:rsidP="0039664F">
      <w:pPr>
        <w:pStyle w:val="ad"/>
        <w:spacing w:before="0" w:beforeAutospacing="0" w:after="0" w:afterAutospacing="0"/>
        <w:ind w:firstLine="567"/>
        <w:jc w:val="both"/>
        <w:rPr>
          <w:u w:val="single"/>
        </w:rPr>
      </w:pPr>
    </w:p>
    <w:p w14:paraId="6F8673C8" w14:textId="77777777" w:rsidR="0039664F" w:rsidRPr="000028C3" w:rsidRDefault="008B1955" w:rsidP="0039664F">
      <w:pPr>
        <w:pStyle w:val="ad"/>
        <w:spacing w:before="0" w:beforeAutospacing="0" w:after="0" w:afterAutospacing="0"/>
        <w:ind w:firstLine="567"/>
        <w:jc w:val="both"/>
      </w:pPr>
      <w:r w:rsidRPr="000028C3">
        <w:rPr>
          <w:u w:val="single"/>
        </w:rPr>
        <w:t>Цель оценки</w:t>
      </w:r>
    </w:p>
    <w:p w14:paraId="207B2650" w14:textId="1A2F7D59" w:rsidR="00D3655B" w:rsidRPr="000028C3" w:rsidRDefault="0039664F" w:rsidP="00EF679D">
      <w:pPr>
        <w:ind w:firstLine="567"/>
        <w:jc w:val="both"/>
        <w:rPr>
          <w:u w:val="single"/>
        </w:rPr>
      </w:pPr>
      <w:r w:rsidRPr="000028C3">
        <w:rPr>
          <w:bCs/>
        </w:rPr>
        <w:t>О</w:t>
      </w:r>
      <w:r w:rsidR="000C4021" w:rsidRPr="000028C3">
        <w:rPr>
          <w:bCs/>
        </w:rPr>
        <w:t xml:space="preserve">пределить степень возможного обесценения </w:t>
      </w:r>
      <w:r w:rsidR="00D33EA0" w:rsidRPr="000028C3">
        <w:rPr>
          <w:bCs/>
        </w:rPr>
        <w:t>прочих</w:t>
      </w:r>
      <w:r w:rsidR="000C4021" w:rsidRPr="000028C3">
        <w:rPr>
          <w:bCs/>
        </w:rPr>
        <w:t xml:space="preserve"> активов под риском в случае срочной реализации или при очередном циклическом спаде в экономике</w:t>
      </w:r>
      <w:r w:rsidR="00D33EA0" w:rsidRPr="000028C3">
        <w:rPr>
          <w:bCs/>
        </w:rPr>
        <w:t xml:space="preserve">, а также оценить </w:t>
      </w:r>
      <w:r w:rsidR="00D33EA0" w:rsidRPr="000028C3">
        <w:t>качество внебалансовых обязательств компании</w:t>
      </w:r>
      <w:r w:rsidR="000C4021" w:rsidRPr="000028C3">
        <w:rPr>
          <w:bCs/>
        </w:rPr>
        <w:t xml:space="preserve">. </w:t>
      </w:r>
      <w:bookmarkStart w:id="56" w:name="_Toc277183409"/>
      <w:r w:rsidR="00B10AAE" w:rsidRPr="000028C3">
        <w:t xml:space="preserve">Под прочими активами </w:t>
      </w:r>
      <w:r w:rsidR="00B10AAE" w:rsidRPr="000028C3">
        <w:rPr>
          <w:bCs/>
        </w:rPr>
        <w:t>понимаются все активы компании за исключением факторингового портфеля.</w:t>
      </w:r>
      <w:bookmarkEnd w:id="56"/>
      <w:r w:rsidR="00B10AAE" w:rsidRPr="000028C3">
        <w:rPr>
          <w:bCs/>
        </w:rPr>
        <w:t xml:space="preserve"> </w:t>
      </w:r>
    </w:p>
    <w:p w14:paraId="3443ECF5" w14:textId="77777777" w:rsidR="00EB4C6D" w:rsidRDefault="00EB4C6D" w:rsidP="0039664F">
      <w:pPr>
        <w:pStyle w:val="ad"/>
        <w:spacing w:before="0" w:beforeAutospacing="0" w:after="0" w:afterAutospacing="0"/>
        <w:ind w:firstLine="567"/>
        <w:jc w:val="both"/>
        <w:rPr>
          <w:u w:val="single"/>
        </w:rPr>
      </w:pPr>
    </w:p>
    <w:p w14:paraId="2F797B9E" w14:textId="2AE87E59" w:rsidR="008B1955" w:rsidRPr="000028C3" w:rsidRDefault="008B1955" w:rsidP="0039664F">
      <w:pPr>
        <w:pStyle w:val="ad"/>
        <w:spacing w:before="0" w:beforeAutospacing="0" w:after="0" w:afterAutospacing="0"/>
        <w:ind w:firstLine="567"/>
        <w:jc w:val="both"/>
        <w:rPr>
          <w:u w:val="single"/>
        </w:rPr>
      </w:pPr>
      <w:r w:rsidRPr="000028C3">
        <w:rPr>
          <w:u w:val="single"/>
        </w:rPr>
        <w:t>Алгоритм оценки</w:t>
      </w:r>
    </w:p>
    <w:p w14:paraId="49BB1E8A" w14:textId="00145B94" w:rsidR="00EF679D" w:rsidRPr="000028C3" w:rsidRDefault="008B1955" w:rsidP="0039664F">
      <w:pPr>
        <w:pStyle w:val="ad"/>
        <w:spacing w:before="0" w:beforeAutospacing="0" w:after="0" w:afterAutospacing="0"/>
        <w:ind w:firstLine="567"/>
        <w:jc w:val="both"/>
      </w:pPr>
      <w:r w:rsidRPr="000028C3">
        <w:t>Качество прочих активов</w:t>
      </w:r>
      <w:r w:rsidR="00D33EA0" w:rsidRPr="000028C3">
        <w:t xml:space="preserve"> и внебалансовых обязательств</w:t>
      </w:r>
      <w:r w:rsidRPr="000028C3">
        <w:t xml:space="preserve"> анализируется на последнюю отчетную дату</w:t>
      </w:r>
      <w:r w:rsidR="00F40330" w:rsidRPr="000028C3">
        <w:t xml:space="preserve"> (показатель без </w:t>
      </w:r>
      <w:r w:rsidR="00746791" w:rsidRPr="000028C3">
        <w:t>«</w:t>
      </w:r>
      <w:r w:rsidR="00F40330" w:rsidRPr="000028C3">
        <w:t>хвоста</w:t>
      </w:r>
      <w:r w:rsidR="00746791" w:rsidRPr="000028C3">
        <w:t>»</w:t>
      </w:r>
      <w:r w:rsidR="00F40330" w:rsidRPr="000028C3">
        <w:t>)</w:t>
      </w:r>
      <w:r w:rsidRPr="000028C3">
        <w:t xml:space="preserve"> при помощи синтетического коэффициента</w:t>
      </w:r>
      <w:r w:rsidR="00EF679D" w:rsidRPr="000028C3">
        <w:t xml:space="preserve"> (непрерывная линейная оценка)</w:t>
      </w:r>
      <w:r w:rsidRPr="000028C3">
        <w:t>.</w:t>
      </w:r>
    </w:p>
    <w:p w14:paraId="27BF81F3" w14:textId="16EE70DF" w:rsidR="00EF679D" w:rsidRPr="000028C3" w:rsidRDefault="00EF679D" w:rsidP="00EF679D">
      <w:pPr>
        <w:pStyle w:val="ad"/>
        <w:spacing w:before="0" w:beforeAutospacing="0" w:after="0" w:afterAutospacing="0"/>
        <w:ind w:firstLine="567"/>
        <w:jc w:val="both"/>
      </w:pPr>
    </w:p>
    <w:tbl>
      <w:tblPr>
        <w:tblStyle w:val="ac"/>
        <w:tblW w:w="5000" w:type="pct"/>
        <w:tblLook w:val="04A0" w:firstRow="1" w:lastRow="0" w:firstColumn="1" w:lastColumn="0" w:noHBand="0" w:noVBand="1"/>
      </w:tblPr>
      <w:tblGrid>
        <w:gridCol w:w="6328"/>
        <w:gridCol w:w="1626"/>
        <w:gridCol w:w="1391"/>
      </w:tblGrid>
      <w:tr w:rsidR="00EF679D" w:rsidRPr="000028C3" w14:paraId="74E0E14B" w14:textId="77777777" w:rsidTr="006629B5">
        <w:tc>
          <w:tcPr>
            <w:tcW w:w="3386" w:type="pct"/>
          </w:tcPr>
          <w:p w14:paraId="78E90397" w14:textId="77777777" w:rsidR="00EF679D" w:rsidRPr="000028C3" w:rsidRDefault="00EF679D" w:rsidP="006629B5">
            <w:r w:rsidRPr="000028C3">
              <w:t>Показатель</w:t>
            </w:r>
          </w:p>
        </w:tc>
        <w:tc>
          <w:tcPr>
            <w:tcW w:w="870" w:type="pct"/>
            <w:vAlign w:val="center"/>
          </w:tcPr>
          <w:p w14:paraId="1E3BC087" w14:textId="77777777" w:rsidR="00EF679D" w:rsidRPr="000028C3" w:rsidRDefault="00EF679D" w:rsidP="006629B5">
            <w:pPr>
              <w:jc w:val="center"/>
            </w:pPr>
            <w:r w:rsidRPr="000028C3">
              <w:t>-1</w:t>
            </w:r>
          </w:p>
        </w:tc>
        <w:tc>
          <w:tcPr>
            <w:tcW w:w="744" w:type="pct"/>
            <w:vAlign w:val="center"/>
          </w:tcPr>
          <w:p w14:paraId="7555BA81" w14:textId="77777777" w:rsidR="00EF679D" w:rsidRPr="000028C3" w:rsidRDefault="00EF679D" w:rsidP="006629B5">
            <w:pPr>
              <w:jc w:val="center"/>
            </w:pPr>
            <w:r w:rsidRPr="000028C3">
              <w:t>1</w:t>
            </w:r>
          </w:p>
        </w:tc>
      </w:tr>
      <w:tr w:rsidR="00EF679D" w:rsidRPr="000028C3" w14:paraId="0209ED56" w14:textId="77777777" w:rsidTr="006629B5">
        <w:tc>
          <w:tcPr>
            <w:tcW w:w="3386" w:type="pct"/>
          </w:tcPr>
          <w:p w14:paraId="722FF2F4" w14:textId="77777777" w:rsidR="00EF679D" w:rsidRPr="000028C3" w:rsidRDefault="00EF679D" w:rsidP="006629B5">
            <w:pPr>
              <w:rPr>
                <w:lang w:val="en-US"/>
              </w:rPr>
            </w:pPr>
            <w:r w:rsidRPr="000028C3">
              <w:t>Синтетический коэффициент</w:t>
            </w:r>
            <w:r w:rsidRPr="000028C3">
              <w:rPr>
                <w:lang w:val="en-US"/>
              </w:rPr>
              <w:t xml:space="preserve"> </w:t>
            </w:r>
          </w:p>
        </w:tc>
        <w:tc>
          <w:tcPr>
            <w:tcW w:w="870" w:type="pct"/>
            <w:vAlign w:val="center"/>
          </w:tcPr>
          <w:p w14:paraId="34886C75" w14:textId="77777777" w:rsidR="00EF679D" w:rsidRPr="000028C3" w:rsidRDefault="00EF679D" w:rsidP="006629B5">
            <w:pPr>
              <w:jc w:val="center"/>
            </w:pPr>
            <w:r w:rsidRPr="000028C3">
              <w:t>≤ 0,15</w:t>
            </w:r>
          </w:p>
        </w:tc>
        <w:tc>
          <w:tcPr>
            <w:tcW w:w="744" w:type="pct"/>
            <w:vAlign w:val="center"/>
          </w:tcPr>
          <w:p w14:paraId="70B59B0B" w14:textId="77777777" w:rsidR="00EF679D" w:rsidRPr="000028C3" w:rsidRDefault="00EF679D" w:rsidP="006629B5">
            <w:pPr>
              <w:jc w:val="center"/>
            </w:pPr>
            <w:r w:rsidRPr="000028C3">
              <w:t>≥ 0,9</w:t>
            </w:r>
          </w:p>
        </w:tc>
      </w:tr>
    </w:tbl>
    <w:p w14:paraId="1CE0A77E" w14:textId="77777777" w:rsidR="008B1955" w:rsidRPr="000028C3" w:rsidRDefault="008B1955" w:rsidP="0039664F">
      <w:pPr>
        <w:jc w:val="both"/>
      </w:pPr>
    </w:p>
    <w:p w14:paraId="71864C63" w14:textId="7014823B" w:rsidR="006D5DB4" w:rsidRPr="000028C3" w:rsidRDefault="00C85236" w:rsidP="002445E3">
      <w:pPr>
        <w:jc w:val="center"/>
        <w:rPr>
          <w:i/>
          <w:sz w:val="28"/>
        </w:rPr>
      </w:pPr>
      <m:oMathPara>
        <m:oMathParaPr>
          <m:jc m:val="center"/>
        </m:oMathParaPr>
        <m:oMath>
          <m:r>
            <w:rPr>
              <w:rFonts w:ascii="Cambria Math" w:hAnsi="Cambria Math"/>
              <w:sz w:val="22"/>
            </w:rPr>
            <m:t xml:space="preserve">Синтетический коэффициент= </m:t>
          </m:r>
          <m:f>
            <m:fPr>
              <m:ctrlPr>
                <w:rPr>
                  <w:rFonts w:ascii="Cambria Math" w:hAnsi="Cambria Math"/>
                  <w:i/>
                  <w:sz w:val="22"/>
                </w:rPr>
              </m:ctrlPr>
            </m:fPr>
            <m:num>
              <m:nary>
                <m:naryPr>
                  <m:chr m:val="∑"/>
                  <m:limLoc m:val="undOvr"/>
                  <m:subHide m:val="1"/>
                  <m:supHide m:val="1"/>
                  <m:ctrlPr>
                    <w:rPr>
                      <w:rFonts w:ascii="Cambria Math" w:hAnsi="Cambria Math"/>
                      <w:i/>
                      <w:sz w:val="22"/>
                    </w:rPr>
                  </m:ctrlPr>
                </m:naryPr>
                <m:sub/>
                <m:sup/>
                <m:e>
                  <m:sSub>
                    <m:sSubPr>
                      <m:ctrlPr>
                        <w:rPr>
                          <w:rFonts w:ascii="Cambria Math" w:hAnsi="Cambria Math"/>
                          <w:i/>
                          <w:sz w:val="22"/>
                        </w:rPr>
                      </m:ctrlPr>
                    </m:sSubPr>
                    <m:e>
                      <m:r>
                        <w:rPr>
                          <w:rFonts w:ascii="Cambria Math" w:hAnsi="Cambria Math"/>
                          <w:sz w:val="22"/>
                        </w:rPr>
                        <m:t>Стоимость</m:t>
                      </m:r>
                      <m:r>
                        <w:rPr>
                          <w:rFonts w:ascii="Cambria Math" w:hAnsi="Cambria Math"/>
                          <w:sz w:val="22"/>
                        </w:rPr>
                        <m:t xml:space="preserve"> актива (внебалансового обязательства)</m:t>
                      </m:r>
                    </m:e>
                    <m:sub>
                      <m:r>
                        <w:rPr>
                          <w:rFonts w:ascii="Cambria Math" w:hAnsi="Cambria Math"/>
                          <w:sz w:val="22"/>
                          <w:lang w:val="en-US"/>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Коэффициент корректировки</m:t>
                      </m:r>
                    </m:e>
                    <m:sub>
                      <m:r>
                        <w:rPr>
                          <w:rFonts w:ascii="Cambria Math" w:hAnsi="Cambria Math"/>
                          <w:sz w:val="22"/>
                          <w:lang w:val="en-US"/>
                        </w:rPr>
                        <m:t>i</m:t>
                      </m:r>
                    </m:sub>
                  </m:sSub>
                </m:e>
              </m:nary>
            </m:num>
            <m:den>
              <m:r>
                <w:rPr>
                  <w:rFonts w:ascii="Cambria Math" w:hAnsi="Cambria Math"/>
                  <w:sz w:val="22"/>
                </w:rPr>
                <m:t>Совокупная величина прочих а</m:t>
              </m:r>
              <m:r>
                <w:rPr>
                  <w:rFonts w:ascii="Cambria Math" w:hAnsi="Cambria Math"/>
                  <w:sz w:val="22"/>
                </w:rPr>
                <m:t>ктив</m:t>
              </m:r>
              <m:r>
                <w:rPr>
                  <w:rFonts w:ascii="Cambria Math" w:hAnsi="Cambria Math"/>
                  <w:sz w:val="22"/>
                </w:rPr>
                <m:t>ов и внебалансовых обязательств под рисков</m:t>
              </m:r>
            </m:den>
          </m:f>
        </m:oMath>
      </m:oMathPara>
    </w:p>
    <w:p w14:paraId="482D53F9" w14:textId="2284B839" w:rsidR="006D5DB4" w:rsidRPr="000028C3" w:rsidRDefault="006D5DB4" w:rsidP="002445E3">
      <w:pPr>
        <w:jc w:val="center"/>
        <w:rPr>
          <w:sz w:val="28"/>
        </w:rPr>
      </w:pPr>
    </w:p>
    <w:p w14:paraId="3271F8EF" w14:textId="5DD5063F" w:rsidR="005B6B71" w:rsidRPr="000028C3" w:rsidRDefault="003367FE" w:rsidP="006F39EA">
      <w:pPr>
        <w:pStyle w:val="ad"/>
        <w:spacing w:before="0" w:beforeAutospacing="0" w:after="0" w:afterAutospacing="0"/>
        <w:ind w:firstLine="567"/>
        <w:jc w:val="both"/>
      </w:pPr>
      <w:r w:rsidRPr="000028C3">
        <w:rPr>
          <w:iCs/>
        </w:rPr>
        <w:t xml:space="preserve">Для оценки качества </w:t>
      </w:r>
      <w:r w:rsidR="00BC2A73" w:rsidRPr="000028C3">
        <w:rPr>
          <w:iCs/>
        </w:rPr>
        <w:t xml:space="preserve">прочих </w:t>
      </w:r>
      <w:r w:rsidRPr="000028C3">
        <w:rPr>
          <w:iCs/>
        </w:rPr>
        <w:t>активов и всех показателей ликвидности вводится понятие «коэффициент корректировки</w:t>
      </w:r>
      <w:r w:rsidR="00FD1880" w:rsidRPr="000028C3">
        <w:rPr>
          <w:iCs/>
        </w:rPr>
        <w:t xml:space="preserve"> стоимости </w:t>
      </w:r>
      <w:r w:rsidR="00BC2A73" w:rsidRPr="000028C3">
        <w:rPr>
          <w:iCs/>
        </w:rPr>
        <w:t xml:space="preserve">прочих </w:t>
      </w:r>
      <w:r w:rsidR="00FD1880" w:rsidRPr="000028C3">
        <w:rPr>
          <w:iCs/>
        </w:rPr>
        <w:t>активов</w:t>
      </w:r>
      <w:r w:rsidRPr="000028C3">
        <w:rPr>
          <w:iCs/>
        </w:rPr>
        <w:t>»</w:t>
      </w:r>
      <w:r w:rsidR="00FD1880" w:rsidRPr="000028C3">
        <w:rPr>
          <w:iCs/>
        </w:rPr>
        <w:t xml:space="preserve"> (далее – «коэффициент корректировки»)</w:t>
      </w:r>
      <w:r w:rsidRPr="000028C3">
        <w:rPr>
          <w:iCs/>
        </w:rPr>
        <w:t xml:space="preserve">. </w:t>
      </w:r>
      <w:r w:rsidR="002C4488" w:rsidRPr="000028C3">
        <w:rPr>
          <w:bCs/>
        </w:rPr>
        <w:t>Коэффициент корректировки</w:t>
      </w:r>
      <w:r w:rsidR="00C25CDB" w:rsidRPr="000028C3">
        <w:rPr>
          <w:bCs/>
        </w:rPr>
        <w:t xml:space="preserve"> </w:t>
      </w:r>
      <w:r w:rsidR="002C4488" w:rsidRPr="000028C3">
        <w:t xml:space="preserve">– это коэффициент, корректирующий балансовую стоимость того или иного актива </w:t>
      </w:r>
      <w:r w:rsidR="002C4488" w:rsidRPr="000028C3">
        <w:rPr>
          <w:iCs/>
        </w:rPr>
        <w:t>в зависимости от его качества. Коэффициент находится в диапазоне [0;1], по наиболее качественным активам он составляет 1.</w:t>
      </w:r>
      <w:r w:rsidRPr="000028C3">
        <w:rPr>
          <w:iCs/>
        </w:rPr>
        <w:t xml:space="preserve"> </w:t>
      </w:r>
      <w:r w:rsidR="002C4488" w:rsidRPr="000028C3">
        <w:rPr>
          <w:iCs/>
        </w:rPr>
        <w:t>Коэффициент корректировки зависит от соответствия отдельного взятого актива</w:t>
      </w:r>
      <w:r w:rsidR="008B6814" w:rsidRPr="000028C3">
        <w:rPr>
          <w:iCs/>
        </w:rPr>
        <w:t xml:space="preserve"> </w:t>
      </w:r>
      <w:r w:rsidR="002C4488" w:rsidRPr="000028C3">
        <w:rPr>
          <w:iCs/>
        </w:rPr>
        <w:t>определенным критериям, зависящим от его типа. При корректировке стоимости активов Агентство руководствуется понятием материальности. Суммарная доля анализируемых активов должна составлять не менее 90% балансовой стоимости активов.</w:t>
      </w:r>
    </w:p>
    <w:p w14:paraId="7B093DB2" w14:textId="77777777" w:rsidR="0058128C" w:rsidRPr="000028C3" w:rsidRDefault="0058128C" w:rsidP="0039664F">
      <w:pPr>
        <w:jc w:val="both"/>
      </w:pPr>
    </w:p>
    <w:tbl>
      <w:tblPr>
        <w:tblW w:w="5000" w:type="pct"/>
        <w:tblLook w:val="0000" w:firstRow="0" w:lastRow="0" w:firstColumn="0" w:lastColumn="0" w:noHBand="0" w:noVBand="0"/>
      </w:tblPr>
      <w:tblGrid>
        <w:gridCol w:w="7493"/>
        <w:gridCol w:w="1852"/>
      </w:tblGrid>
      <w:tr w:rsidR="0058128C" w:rsidRPr="000028C3" w14:paraId="1A87C764"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bottom"/>
          </w:tcPr>
          <w:p w14:paraId="2C90CCBA" w14:textId="77777777" w:rsidR="0058128C" w:rsidRPr="000028C3" w:rsidRDefault="0058128C" w:rsidP="0039664F">
            <w:r w:rsidRPr="000028C3">
              <w:rPr>
                <w:bCs/>
              </w:rPr>
              <w:t>Денежные средства, банковские вклады (депозиты), векселя, облигации, займы, а также дебиторская задолженность, начисленная по соответствующим долговым инструментам</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A0AC72C" w14:textId="77777777" w:rsidR="0058128C" w:rsidRPr="000028C3" w:rsidRDefault="003150DF" w:rsidP="0039664F">
            <w:pPr>
              <w:jc w:val="center"/>
            </w:pPr>
            <w:r w:rsidRPr="000028C3">
              <w:t xml:space="preserve">Коэффициент </w:t>
            </w:r>
            <w:r w:rsidR="00A342BD" w:rsidRPr="000028C3">
              <w:t>корректировки</w:t>
            </w:r>
          </w:p>
        </w:tc>
      </w:tr>
      <w:tr w:rsidR="00A342BD" w:rsidRPr="000028C3" w14:paraId="3D49F050"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65F90A16" w14:textId="747B168E" w:rsidR="00A342BD" w:rsidRPr="000028C3" w:rsidRDefault="00A342BD" w:rsidP="0039664F">
            <w:r w:rsidRPr="000028C3">
              <w:t xml:space="preserve">Условные рейтинговые классы контрагента </w:t>
            </w:r>
            <w:r w:rsidRPr="000028C3">
              <w:rPr>
                <w:lang w:val="en-US"/>
              </w:rPr>
              <w:t>ruAAA</w:t>
            </w:r>
            <w:r w:rsidRPr="000028C3">
              <w:t xml:space="preserve">, </w:t>
            </w:r>
            <w:r w:rsidRPr="000028C3">
              <w:rPr>
                <w:lang w:val="en-US"/>
              </w:rPr>
              <w:t>ruAA</w:t>
            </w:r>
            <w:r w:rsidRPr="000028C3">
              <w:t xml:space="preserve">+, </w:t>
            </w:r>
            <w:r w:rsidRPr="000028C3">
              <w:rPr>
                <w:lang w:val="en-US"/>
              </w:rPr>
              <w:t>ruAA</w:t>
            </w:r>
            <w:r w:rsidRPr="000028C3">
              <w:t xml:space="preserve">, </w:t>
            </w:r>
            <w:r w:rsidRPr="000028C3">
              <w:rPr>
                <w:lang w:val="en-US"/>
              </w:rPr>
              <w:t>ruAA</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4E821" w14:textId="77777777" w:rsidR="00A342BD" w:rsidRPr="000028C3" w:rsidRDefault="00A342BD" w:rsidP="0039664F">
            <w:pPr>
              <w:jc w:val="center"/>
            </w:pPr>
            <w:r w:rsidRPr="000028C3">
              <w:t>1</w:t>
            </w:r>
          </w:p>
        </w:tc>
      </w:tr>
      <w:tr w:rsidR="00A342BD" w:rsidRPr="000028C3" w14:paraId="148CBEA2"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5894FAFD" w14:textId="19AA235F" w:rsidR="00A342BD" w:rsidRPr="000028C3" w:rsidRDefault="00A342BD" w:rsidP="0039664F">
            <w:r w:rsidRPr="000028C3">
              <w:t xml:space="preserve">Условный рейтинговый класс контрагента </w:t>
            </w:r>
            <w:r w:rsidRPr="000028C3">
              <w:rPr>
                <w:lang w:val="en-US"/>
              </w:rPr>
              <w:t>ruA</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9227" w14:textId="77777777" w:rsidR="00A342BD" w:rsidRPr="000028C3" w:rsidRDefault="00A342BD" w:rsidP="0039664F">
            <w:pPr>
              <w:jc w:val="center"/>
            </w:pPr>
            <w:r w:rsidRPr="000028C3">
              <w:t>0,975</w:t>
            </w:r>
          </w:p>
        </w:tc>
      </w:tr>
      <w:tr w:rsidR="00A342BD" w:rsidRPr="000028C3" w14:paraId="30E36EBD"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767A05DE" w14:textId="2F1BBAEB" w:rsidR="00A342BD" w:rsidRPr="000028C3" w:rsidRDefault="00A342BD" w:rsidP="0039664F">
            <w:r w:rsidRPr="000028C3">
              <w:t xml:space="preserve">Условные рейтинговые классы контрагента </w:t>
            </w:r>
            <w:r w:rsidRPr="000028C3">
              <w:rPr>
                <w:lang w:val="en-US"/>
              </w:rPr>
              <w:t>ruA</w:t>
            </w:r>
            <w:r w:rsidRPr="000028C3">
              <w:t xml:space="preserve"> и </w:t>
            </w:r>
            <w:r w:rsidRPr="000028C3">
              <w:rPr>
                <w:lang w:val="en-US"/>
              </w:rPr>
              <w:t>ruA</w:t>
            </w:r>
            <w:r w:rsidRPr="000028C3">
              <w:t>-</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01E9E" w14:textId="77777777" w:rsidR="00A342BD" w:rsidRPr="000028C3" w:rsidRDefault="00A342BD" w:rsidP="0039664F">
            <w:pPr>
              <w:jc w:val="center"/>
            </w:pPr>
            <w:r w:rsidRPr="000028C3">
              <w:t>0,95</w:t>
            </w:r>
          </w:p>
        </w:tc>
      </w:tr>
      <w:tr w:rsidR="00A342BD" w:rsidRPr="000028C3" w14:paraId="1F3349D9"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201C0C3F" w14:textId="55DEA72E" w:rsidR="00A342BD" w:rsidRPr="000028C3" w:rsidRDefault="00A342BD" w:rsidP="0039664F">
            <w:r w:rsidRPr="000028C3">
              <w:t xml:space="preserve">Условный рейтинговый класс контрагента </w:t>
            </w:r>
            <w:r w:rsidRPr="000028C3">
              <w:rPr>
                <w:lang w:val="en-US"/>
              </w:rPr>
              <w:t>ruBBB</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EA094" w14:textId="77777777" w:rsidR="00A342BD" w:rsidRPr="000028C3" w:rsidRDefault="00A342BD" w:rsidP="0039664F">
            <w:pPr>
              <w:jc w:val="center"/>
            </w:pPr>
            <w:r w:rsidRPr="000028C3">
              <w:t>0,925</w:t>
            </w:r>
          </w:p>
        </w:tc>
      </w:tr>
      <w:tr w:rsidR="00A342BD" w:rsidRPr="000028C3" w14:paraId="351A464B"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0DA4DBE2" w14:textId="59C0796F" w:rsidR="00A342BD" w:rsidRPr="000028C3" w:rsidRDefault="00A342BD" w:rsidP="0039664F">
            <w:r w:rsidRPr="000028C3">
              <w:t xml:space="preserve">Условный рейтинговый класс контрагента </w:t>
            </w:r>
            <w:r w:rsidRPr="000028C3">
              <w:rPr>
                <w:lang w:val="en-US"/>
              </w:rPr>
              <w:t>ruBBB</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41C9C" w14:textId="77777777" w:rsidR="00A342BD" w:rsidRPr="000028C3" w:rsidRDefault="00A342BD" w:rsidP="0039664F">
            <w:pPr>
              <w:jc w:val="center"/>
            </w:pPr>
            <w:r w:rsidRPr="000028C3">
              <w:t>0,875</w:t>
            </w:r>
          </w:p>
        </w:tc>
      </w:tr>
      <w:tr w:rsidR="00A342BD" w:rsidRPr="000028C3" w14:paraId="1791DCF9"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4C0778DF" w14:textId="7C1DDE39" w:rsidR="00A342BD" w:rsidRPr="000028C3" w:rsidRDefault="00A342BD" w:rsidP="0039664F">
            <w:r w:rsidRPr="000028C3">
              <w:t xml:space="preserve">Условные рейтинговые классы контрагента </w:t>
            </w:r>
            <w:r w:rsidRPr="000028C3">
              <w:rPr>
                <w:lang w:val="en-US"/>
              </w:rPr>
              <w:t>ruBBB</w:t>
            </w:r>
            <w:r w:rsidRPr="000028C3">
              <w:t xml:space="preserve">- и </w:t>
            </w:r>
            <w:r w:rsidRPr="000028C3">
              <w:rPr>
                <w:lang w:val="en-US"/>
              </w:rPr>
              <w:t>ruBB</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B4E3BE" w14:textId="77777777" w:rsidR="00A342BD" w:rsidRPr="000028C3" w:rsidRDefault="00A342BD" w:rsidP="0039664F">
            <w:pPr>
              <w:jc w:val="center"/>
            </w:pPr>
            <w:r w:rsidRPr="000028C3">
              <w:t>0,85</w:t>
            </w:r>
          </w:p>
        </w:tc>
      </w:tr>
      <w:tr w:rsidR="00A342BD" w:rsidRPr="000028C3" w14:paraId="37E5B89F"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51D6F3FA" w14:textId="2F573667" w:rsidR="00A342BD" w:rsidRPr="000028C3" w:rsidRDefault="00A342BD" w:rsidP="0039664F">
            <w:r w:rsidRPr="000028C3">
              <w:t xml:space="preserve">Условный рейтинговый класс контрагента </w:t>
            </w:r>
            <w:r w:rsidRPr="000028C3">
              <w:rPr>
                <w:lang w:val="en-US"/>
              </w:rPr>
              <w:t>ruBB</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5AAE83" w14:textId="77777777" w:rsidR="00A342BD" w:rsidRPr="000028C3" w:rsidRDefault="00A342BD" w:rsidP="0039664F">
            <w:pPr>
              <w:jc w:val="center"/>
            </w:pPr>
            <w:r w:rsidRPr="000028C3">
              <w:t>0,75</w:t>
            </w:r>
          </w:p>
        </w:tc>
      </w:tr>
      <w:tr w:rsidR="00A342BD" w:rsidRPr="000028C3" w14:paraId="028FB638"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02E88E39" w14:textId="4186A0B5" w:rsidR="00A342BD" w:rsidRPr="000028C3" w:rsidRDefault="00A342BD" w:rsidP="0039664F">
            <w:r w:rsidRPr="000028C3">
              <w:t xml:space="preserve">Условные рейтинговые классы контрагента </w:t>
            </w:r>
            <w:r w:rsidRPr="000028C3">
              <w:rPr>
                <w:lang w:val="en-US"/>
              </w:rPr>
              <w:t>ruBB</w:t>
            </w:r>
            <w:r w:rsidRPr="000028C3">
              <w:t xml:space="preserve">-, </w:t>
            </w:r>
            <w:r w:rsidRPr="000028C3">
              <w:rPr>
                <w:lang w:val="en-US"/>
              </w:rPr>
              <w:t>ruB</w:t>
            </w:r>
            <w:r w:rsidRPr="000028C3">
              <w:t xml:space="preserve">+, </w:t>
            </w:r>
            <w:r w:rsidRPr="000028C3">
              <w:rPr>
                <w:lang w:val="en-US"/>
              </w:rPr>
              <w:t>ruB</w:t>
            </w:r>
            <w:r w:rsidRPr="000028C3">
              <w:t xml:space="preserve">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4C7BF" w14:textId="77777777" w:rsidR="00A342BD" w:rsidRPr="000028C3" w:rsidRDefault="00A342BD" w:rsidP="0039664F">
            <w:pPr>
              <w:jc w:val="center"/>
            </w:pPr>
            <w:r w:rsidRPr="000028C3">
              <w:t>0,6</w:t>
            </w:r>
          </w:p>
        </w:tc>
      </w:tr>
      <w:tr w:rsidR="00A342BD" w:rsidRPr="000028C3" w14:paraId="7DC9DE40"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5E4E45ED" w14:textId="1BCC4C6A" w:rsidR="00A342BD" w:rsidRPr="000028C3" w:rsidRDefault="00A342BD" w:rsidP="0039664F">
            <w:r w:rsidRPr="000028C3">
              <w:t xml:space="preserve">Условный рейтинговый класс контрагента </w:t>
            </w:r>
            <w:r w:rsidRPr="000028C3">
              <w:rPr>
                <w:lang w:val="en-US"/>
              </w:rPr>
              <w:t>ruB</w:t>
            </w:r>
            <w:r w:rsidRPr="000028C3">
              <w:t>- или ниже, или определить условный рейтинговый класс не представляется возможным.</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D8F28" w14:textId="77777777" w:rsidR="00A342BD" w:rsidRPr="000028C3" w:rsidRDefault="00A342BD" w:rsidP="0039664F">
            <w:pPr>
              <w:jc w:val="center"/>
            </w:pPr>
            <w:r w:rsidRPr="000028C3">
              <w:t>0,25</w:t>
            </w:r>
          </w:p>
        </w:tc>
      </w:tr>
      <w:tr w:rsidR="0058128C" w:rsidRPr="000028C3" w14:paraId="32B5A951"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44602CAB" w14:textId="77777777" w:rsidR="0058128C" w:rsidRPr="000028C3" w:rsidRDefault="0058128C" w:rsidP="0039664F">
            <w:r w:rsidRPr="000028C3">
              <w:lastRenderedPageBreak/>
              <w:t xml:space="preserve">У контрагента отозвана лицензия или введен мораторий на исполнение обязательств, или он находится в состоянии дефолта, или есть иные основания полагать значительное обесценение актива / его фиктивность.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E79DB" w14:textId="77777777" w:rsidR="0058128C" w:rsidRPr="000028C3" w:rsidRDefault="0058128C" w:rsidP="0039664F">
            <w:pPr>
              <w:jc w:val="center"/>
            </w:pPr>
            <w:r w:rsidRPr="000028C3">
              <w:t>0</w:t>
            </w:r>
          </w:p>
        </w:tc>
      </w:tr>
      <w:tr w:rsidR="0058128C" w:rsidRPr="000028C3" w14:paraId="3D9455B9"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bottom"/>
          </w:tcPr>
          <w:p w14:paraId="7E2D4B55" w14:textId="77777777" w:rsidR="0058128C" w:rsidRPr="000028C3" w:rsidRDefault="0058128C" w:rsidP="0039664F">
            <w:r w:rsidRPr="000028C3">
              <w:rPr>
                <w:bCs/>
              </w:rPr>
              <w:t>Акции и вклады в уставные (складочные) капиталы</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AB003F3" w14:textId="77777777" w:rsidR="0058128C" w:rsidRPr="000028C3" w:rsidRDefault="0058128C" w:rsidP="0039664F">
            <w:pPr>
              <w:snapToGrid w:val="0"/>
              <w:jc w:val="center"/>
            </w:pPr>
          </w:p>
        </w:tc>
      </w:tr>
      <w:tr w:rsidR="0058128C" w:rsidRPr="000028C3" w14:paraId="0585E4AA"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7EA968E1" w14:textId="77777777" w:rsidR="0058128C" w:rsidRPr="000028C3" w:rsidRDefault="0058128C" w:rsidP="0039664F">
            <w:r w:rsidRPr="000028C3">
              <w:t>Котируемые</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754D" w14:textId="77777777" w:rsidR="0058128C" w:rsidRPr="000028C3" w:rsidRDefault="0058128C" w:rsidP="0039664F">
            <w:pPr>
              <w:jc w:val="center"/>
            </w:pPr>
            <w:r w:rsidRPr="000028C3">
              <w:t>0,8–0</w:t>
            </w:r>
          </w:p>
        </w:tc>
      </w:tr>
      <w:tr w:rsidR="0058128C" w:rsidRPr="000028C3" w14:paraId="5D649355"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tcPr>
          <w:p w14:paraId="7CA2117D" w14:textId="77777777" w:rsidR="0058128C" w:rsidRPr="000028C3" w:rsidRDefault="0058128C" w:rsidP="0039664F">
            <w:proofErr w:type="spellStart"/>
            <w:r w:rsidRPr="000028C3">
              <w:t>Некотируемые</w:t>
            </w:r>
            <w:proofErr w:type="spellEnd"/>
            <w:r w:rsidRPr="000028C3">
              <w:t xml:space="preserve"> акции и</w:t>
            </w:r>
            <w:r w:rsidRPr="000028C3">
              <w:rPr>
                <w:bCs/>
              </w:rPr>
              <w:t xml:space="preserve"> вклады в уставные (складочные) капиталы</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5F067" w14:textId="77777777" w:rsidR="0058128C" w:rsidRPr="000028C3" w:rsidRDefault="0058128C" w:rsidP="0039664F">
            <w:pPr>
              <w:jc w:val="center"/>
            </w:pPr>
            <w:r w:rsidRPr="000028C3">
              <w:t>0,5–0</w:t>
            </w:r>
          </w:p>
        </w:tc>
      </w:tr>
      <w:tr w:rsidR="0058128C" w:rsidRPr="000028C3" w14:paraId="1B489A7F"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center"/>
          </w:tcPr>
          <w:p w14:paraId="7674FDB7" w14:textId="77777777" w:rsidR="0058128C" w:rsidRPr="000028C3" w:rsidRDefault="0058128C" w:rsidP="0039664F">
            <w:r w:rsidRPr="000028C3">
              <w:rPr>
                <w:bCs/>
              </w:rPr>
              <w:t>Недвижимость, земельные участки</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1364D85" w14:textId="77777777" w:rsidR="0058128C" w:rsidRPr="000028C3" w:rsidRDefault="0058128C" w:rsidP="0039664F">
            <w:pPr>
              <w:snapToGrid w:val="0"/>
              <w:jc w:val="center"/>
            </w:pPr>
          </w:p>
        </w:tc>
      </w:tr>
      <w:tr w:rsidR="0058128C" w:rsidRPr="000028C3" w14:paraId="255FD4F1"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vAlign w:val="center"/>
          </w:tcPr>
          <w:p w14:paraId="4B5BAFF0" w14:textId="77777777" w:rsidR="0058128C" w:rsidRPr="000028C3" w:rsidRDefault="0058128C" w:rsidP="0039664F">
            <w:r w:rsidRPr="000028C3">
              <w:rPr>
                <w:bCs/>
              </w:rPr>
              <w:t xml:space="preserve">Недвижимость </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95934" w14:textId="77777777" w:rsidR="0058128C" w:rsidRPr="000028C3" w:rsidRDefault="0058128C" w:rsidP="0039664F">
            <w:pPr>
              <w:jc w:val="center"/>
            </w:pPr>
            <w:r w:rsidRPr="000028C3">
              <w:t>0,8–0,5</w:t>
            </w:r>
          </w:p>
        </w:tc>
      </w:tr>
      <w:tr w:rsidR="0058128C" w:rsidRPr="000028C3" w14:paraId="51EA60B2"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vAlign w:val="center"/>
          </w:tcPr>
          <w:p w14:paraId="6878EC1A" w14:textId="77777777" w:rsidR="0058128C" w:rsidRPr="000028C3" w:rsidRDefault="0058128C" w:rsidP="0039664F">
            <w:r w:rsidRPr="000028C3">
              <w:rPr>
                <w:bCs/>
              </w:rPr>
              <w:t>Вложения в незавершенное строительство, земельные участки</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69763" w14:textId="77777777" w:rsidR="0058128C" w:rsidRPr="000028C3" w:rsidRDefault="0058128C" w:rsidP="0039664F">
            <w:pPr>
              <w:jc w:val="center"/>
            </w:pPr>
            <w:r w:rsidRPr="000028C3">
              <w:t>0,5–0</w:t>
            </w:r>
          </w:p>
        </w:tc>
      </w:tr>
      <w:tr w:rsidR="0058128C" w:rsidRPr="000028C3" w14:paraId="01E747F8"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bottom"/>
          </w:tcPr>
          <w:p w14:paraId="278C5B31" w14:textId="505D7F9E" w:rsidR="0058128C" w:rsidRPr="000028C3" w:rsidRDefault="00691322" w:rsidP="0039664F">
            <w:r w:rsidRPr="000028C3">
              <w:rPr>
                <w:bCs/>
              </w:rPr>
              <w:t>Основные средства за исключением недвижимости</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933F11" w14:textId="6509F162" w:rsidR="0058128C" w:rsidRPr="000028C3" w:rsidRDefault="00691322" w:rsidP="0039664F">
            <w:pPr>
              <w:snapToGrid w:val="0"/>
              <w:jc w:val="center"/>
            </w:pPr>
            <w:r w:rsidRPr="000028C3">
              <w:t>0,3-0,8</w:t>
            </w:r>
          </w:p>
        </w:tc>
      </w:tr>
      <w:tr w:rsidR="0058128C" w:rsidRPr="000028C3" w14:paraId="5D709C64"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bottom"/>
          </w:tcPr>
          <w:p w14:paraId="5F783817" w14:textId="77777777" w:rsidR="0058128C" w:rsidRPr="000028C3" w:rsidRDefault="0058128C" w:rsidP="0039664F">
            <w:r w:rsidRPr="000028C3">
              <w:rPr>
                <w:bCs/>
              </w:rPr>
              <w:t>Нематериальные активы</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20CBB0D" w14:textId="77777777" w:rsidR="0058128C" w:rsidRPr="000028C3" w:rsidRDefault="0058128C" w:rsidP="0039664F">
            <w:pPr>
              <w:snapToGrid w:val="0"/>
              <w:jc w:val="center"/>
            </w:pPr>
          </w:p>
        </w:tc>
      </w:tr>
      <w:tr w:rsidR="0058128C" w:rsidRPr="000028C3" w14:paraId="37971110"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vAlign w:val="bottom"/>
          </w:tcPr>
          <w:p w14:paraId="442C8AC9" w14:textId="77777777" w:rsidR="0058128C" w:rsidRPr="000028C3" w:rsidRDefault="0058128C" w:rsidP="0039664F">
            <w:r w:rsidRPr="000028C3">
              <w:rPr>
                <w:bCs/>
              </w:rPr>
              <w:t>Гудвилл</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50E6B" w14:textId="77777777" w:rsidR="0058128C" w:rsidRPr="000028C3" w:rsidRDefault="0058128C" w:rsidP="0039664F">
            <w:pPr>
              <w:jc w:val="center"/>
            </w:pPr>
            <w:r w:rsidRPr="000028C3">
              <w:t>0</w:t>
            </w:r>
          </w:p>
        </w:tc>
      </w:tr>
      <w:tr w:rsidR="0058128C" w:rsidRPr="000028C3" w14:paraId="1452190F" w14:textId="77777777" w:rsidTr="00EB4C6D">
        <w:trPr>
          <w:trHeight w:val="23"/>
        </w:trPr>
        <w:tc>
          <w:tcPr>
            <w:tcW w:w="4009" w:type="pct"/>
            <w:tcBorders>
              <w:top w:val="single" w:sz="4" w:space="0" w:color="000000"/>
              <w:left w:val="single" w:sz="4" w:space="0" w:color="000000"/>
              <w:bottom w:val="single" w:sz="4" w:space="0" w:color="000000"/>
            </w:tcBorders>
            <w:shd w:val="clear" w:color="auto" w:fill="auto"/>
            <w:vAlign w:val="bottom"/>
          </w:tcPr>
          <w:p w14:paraId="397665C2" w14:textId="77777777" w:rsidR="0058128C" w:rsidRPr="000028C3" w:rsidRDefault="0058128C" w:rsidP="0039664F">
            <w:r w:rsidRPr="000028C3">
              <w:rPr>
                <w:bCs/>
              </w:rPr>
              <w:t>Прочие нематериальные активы (в том числе лицензии, которые классифицированы в отчетности как гудвилл)</w:t>
            </w:r>
          </w:p>
        </w:tc>
        <w:tc>
          <w:tcPr>
            <w:tcW w:w="9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AA03E" w14:textId="77777777" w:rsidR="0058128C" w:rsidRPr="000028C3" w:rsidRDefault="0058128C" w:rsidP="0039664F">
            <w:pPr>
              <w:jc w:val="center"/>
            </w:pPr>
            <w:r w:rsidRPr="000028C3">
              <w:t>0,5–0</w:t>
            </w:r>
          </w:p>
        </w:tc>
      </w:tr>
      <w:tr w:rsidR="0058128C" w:rsidRPr="000028C3" w14:paraId="438B2438"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bottom"/>
          </w:tcPr>
          <w:p w14:paraId="2C980035" w14:textId="77777777" w:rsidR="0058128C" w:rsidRPr="000028C3" w:rsidRDefault="0058128C" w:rsidP="0039664F">
            <w:r w:rsidRPr="000028C3">
              <w:rPr>
                <w:bCs/>
              </w:rPr>
              <w:t xml:space="preserve">Дебиторская задолженность, не относящаяся к </w:t>
            </w:r>
            <w:r w:rsidR="003150DF" w:rsidRPr="000028C3">
              <w:rPr>
                <w:bCs/>
              </w:rPr>
              <w:t>факторинговому</w:t>
            </w:r>
            <w:r w:rsidRPr="000028C3">
              <w:rPr>
                <w:bCs/>
              </w:rPr>
              <w:t xml:space="preserve"> портфелю</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4CCE17" w14:textId="44ED9BEE" w:rsidR="0058128C" w:rsidRPr="000028C3" w:rsidRDefault="006F39EA" w:rsidP="0039664F">
            <w:pPr>
              <w:snapToGrid w:val="0"/>
              <w:jc w:val="center"/>
            </w:pPr>
            <w:r w:rsidRPr="000028C3">
              <w:t>0-0,8</w:t>
            </w:r>
          </w:p>
        </w:tc>
      </w:tr>
      <w:tr w:rsidR="0058128C" w:rsidRPr="000028C3" w14:paraId="1A6065E1"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bottom"/>
          </w:tcPr>
          <w:p w14:paraId="29A3EF90" w14:textId="77777777" w:rsidR="0058128C" w:rsidRPr="000028C3" w:rsidRDefault="0058128C" w:rsidP="0039664F">
            <w:r w:rsidRPr="000028C3">
              <w:rPr>
                <w:bCs/>
              </w:rPr>
              <w:t>Слитки золота, серебра, платины и палладия, памятные и другие монеты Российской Федерации из драгоценных металлов</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12A2F2C" w14:textId="77777777" w:rsidR="0058128C" w:rsidRPr="000028C3" w:rsidRDefault="0058128C" w:rsidP="0039664F">
            <w:pPr>
              <w:jc w:val="center"/>
            </w:pPr>
            <w:r w:rsidRPr="000028C3">
              <w:t>1–0,3</w:t>
            </w:r>
          </w:p>
        </w:tc>
      </w:tr>
      <w:tr w:rsidR="0058128C" w:rsidRPr="000028C3" w14:paraId="4DA047FA" w14:textId="77777777" w:rsidTr="00EB4C6D">
        <w:trPr>
          <w:trHeight w:val="23"/>
        </w:trPr>
        <w:tc>
          <w:tcPr>
            <w:tcW w:w="4009" w:type="pct"/>
            <w:tcBorders>
              <w:top w:val="single" w:sz="4" w:space="0" w:color="000000"/>
              <w:left w:val="single" w:sz="4" w:space="0" w:color="000000"/>
              <w:bottom w:val="single" w:sz="4" w:space="0" w:color="000000"/>
            </w:tcBorders>
            <w:shd w:val="clear" w:color="auto" w:fill="D9D9D9"/>
            <w:vAlign w:val="center"/>
          </w:tcPr>
          <w:p w14:paraId="7F3139BB" w14:textId="77777777" w:rsidR="0058128C" w:rsidRPr="000028C3" w:rsidRDefault="0058128C" w:rsidP="0039664F">
            <w:r w:rsidRPr="000028C3">
              <w:rPr>
                <w:bCs/>
              </w:rPr>
              <w:t>Прочие активы</w:t>
            </w:r>
          </w:p>
        </w:tc>
        <w:tc>
          <w:tcPr>
            <w:tcW w:w="9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E80C8B3" w14:textId="77777777" w:rsidR="0058128C" w:rsidRPr="000028C3" w:rsidRDefault="0058128C" w:rsidP="0039664F">
            <w:pPr>
              <w:jc w:val="center"/>
            </w:pPr>
            <w:r w:rsidRPr="000028C3">
              <w:t>Определяется индивидуально, но не более 0,5</w:t>
            </w:r>
          </w:p>
        </w:tc>
      </w:tr>
    </w:tbl>
    <w:p w14:paraId="18F63091" w14:textId="77777777" w:rsidR="0058128C" w:rsidRPr="000028C3" w:rsidRDefault="0058128C" w:rsidP="0039664F">
      <w:pPr>
        <w:pStyle w:val="af7"/>
        <w:jc w:val="both"/>
        <w:rPr>
          <w:rFonts w:ascii="Times New Roman" w:hAnsi="Times New Roman" w:cs="Times New Roman"/>
          <w:iCs/>
          <w:szCs w:val="24"/>
        </w:rPr>
      </w:pPr>
    </w:p>
    <w:p w14:paraId="37B1EFFC"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Если балансовая стоимость котируемых акций определяется не на основе справедливой стоимости, Агентство пересчитывает стоимость таких акций по рыночным ценам на основе текущих торгов, а полученная величина умножается на 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котируемым акциям зависит от объема торгов и от волатильности цен на акции. Если волатильность является очень высокой, а объем торгов незначителен относительно иных торгуемых сопоставимых компаний, то коэффициент снижается вплоть до 0.</w:t>
      </w:r>
    </w:p>
    <w:p w14:paraId="40507110"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w:t>
      </w:r>
      <w:proofErr w:type="spellStart"/>
      <w:r w:rsidRPr="000028C3">
        <w:rPr>
          <w:rFonts w:ascii="Times New Roman" w:hAnsi="Times New Roman" w:cs="Times New Roman"/>
          <w:iCs/>
          <w:szCs w:val="24"/>
        </w:rPr>
        <w:t>некотируемым</w:t>
      </w:r>
      <w:proofErr w:type="spellEnd"/>
      <w:r w:rsidRPr="000028C3">
        <w:rPr>
          <w:rFonts w:ascii="Times New Roman" w:hAnsi="Times New Roman" w:cs="Times New Roman"/>
          <w:iCs/>
          <w:szCs w:val="24"/>
        </w:rPr>
        <w:t xml:space="preserve"> акциям и вкладам в уставные (складочные) капиталы зависит от условного рейтингового класса эмитента акций.</w:t>
      </w:r>
    </w:p>
    <w:p w14:paraId="690E3678" w14:textId="25A4ACC1"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Коэффициент </w:t>
      </w:r>
      <w:r w:rsidR="00FD1880" w:rsidRPr="000028C3">
        <w:rPr>
          <w:rFonts w:ascii="Times New Roman" w:hAnsi="Times New Roman" w:cs="Times New Roman"/>
          <w:iCs/>
          <w:szCs w:val="24"/>
        </w:rPr>
        <w:t>коррект</w:t>
      </w:r>
      <w:r w:rsidR="002B0910" w:rsidRPr="000028C3">
        <w:rPr>
          <w:rFonts w:ascii="Times New Roman" w:hAnsi="Times New Roman" w:cs="Times New Roman"/>
          <w:iCs/>
          <w:szCs w:val="24"/>
        </w:rPr>
        <w:t>ировки</w:t>
      </w:r>
      <w:r w:rsidRPr="000028C3">
        <w:rPr>
          <w:rFonts w:ascii="Times New Roman" w:hAnsi="Times New Roman" w:cs="Times New Roman"/>
          <w:iCs/>
          <w:szCs w:val="24"/>
        </w:rPr>
        <w:t xml:space="preserve"> по ценным бумагам может быть снижен до 0 при условии их учета в депозитарии (у брокера), отнесенном к условному рейтинговому классу ниже </w:t>
      </w:r>
      <w:r w:rsidR="009E2B1B" w:rsidRPr="000028C3">
        <w:rPr>
          <w:rFonts w:ascii="Times New Roman" w:hAnsi="Times New Roman" w:cs="Times New Roman"/>
          <w:iCs/>
          <w:szCs w:val="24"/>
          <w:lang w:val="en-US"/>
        </w:rPr>
        <w:t>ruBB</w:t>
      </w:r>
      <w:r w:rsidR="009E2B1B" w:rsidRPr="000028C3">
        <w:rPr>
          <w:rFonts w:ascii="Times New Roman" w:hAnsi="Times New Roman" w:cs="Times New Roman"/>
          <w:iCs/>
          <w:szCs w:val="24"/>
        </w:rPr>
        <w:t xml:space="preserve"> </w:t>
      </w:r>
      <w:r w:rsidRPr="000028C3">
        <w:rPr>
          <w:rFonts w:ascii="Times New Roman" w:hAnsi="Times New Roman" w:cs="Times New Roman"/>
          <w:iCs/>
          <w:szCs w:val="24"/>
        </w:rPr>
        <w:t>и имеющем негативную (сомнительную) репутацию, по мнению Агентства.</w:t>
      </w:r>
    </w:p>
    <w:p w14:paraId="614C9A9E"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Если балансовая стоимость недвижимости определяется не на основе рыночной стоимости, Агентство пересчитывает стоимость такой недвижимости по рыночным ценам на основе сопоставимых сделок или стоимости по отчету оценщика (при доступности такой информации), а полученная величина умножается на 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недвижимости зависит от деловой репутации оценщика недвижимости, даты проведения оценки (на пике цен или нет), фактов, свидетельствующих о снижении / повышении стоимости актива.</w:t>
      </w:r>
      <w:r w:rsidR="009C6CB6" w:rsidRPr="000028C3">
        <w:rPr>
          <w:rFonts w:ascii="Times New Roman" w:hAnsi="Times New Roman" w:cs="Times New Roman"/>
          <w:iCs/>
          <w:szCs w:val="24"/>
        </w:rPr>
        <w:t xml:space="preserve"> С точки зрения репутации оценщика Агентством негативно оценивается аффилированность оценщика с объектом рейтинга, наличие фактов завышения стоимости оцениваемого имущества, исключение оценщика из СРО, а также </w:t>
      </w:r>
      <w:r w:rsidR="009C6CB6" w:rsidRPr="000028C3">
        <w:rPr>
          <w:rFonts w:ascii="Times New Roman" w:hAnsi="Times New Roman" w:cs="Times New Roman"/>
          <w:iCs/>
          <w:szCs w:val="24"/>
        </w:rPr>
        <w:lastRenderedPageBreak/>
        <w:t>иная информация, характеризующая оценщика негативно (публикации в СМИ и пр.).</w:t>
      </w:r>
    </w:p>
    <w:p w14:paraId="52D4975C"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вложениям в незавершенное строительство при отсутствии отчета оценщика зависит от стадии строительства объекта и месторасположения объекта. При наличии отчета коэффициент </w:t>
      </w:r>
      <w:r w:rsidR="009C6CB6"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определяется деловой репутацией оценщика.</w:t>
      </w:r>
    </w:p>
    <w:p w14:paraId="40BF76D8"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Земельные участки сельскохозяйственного назначения, как правило, </w:t>
      </w:r>
      <w:r w:rsidR="003150DF" w:rsidRPr="000028C3">
        <w:rPr>
          <w:rFonts w:ascii="Times New Roman" w:hAnsi="Times New Roman" w:cs="Times New Roman"/>
          <w:iCs/>
          <w:szCs w:val="24"/>
        </w:rPr>
        <w:t>учитываются с меньшим коэффициентом</w:t>
      </w:r>
      <w:r w:rsidR="002B0910" w:rsidRPr="000028C3">
        <w:rPr>
          <w:rFonts w:ascii="Times New Roman" w:hAnsi="Times New Roman" w:cs="Times New Roman"/>
          <w:iCs/>
          <w:szCs w:val="24"/>
        </w:rPr>
        <w:t xml:space="preserve"> корректировки</w:t>
      </w:r>
      <w:r w:rsidRPr="000028C3">
        <w:rPr>
          <w:rFonts w:ascii="Times New Roman" w:hAnsi="Times New Roman" w:cs="Times New Roman"/>
          <w:iCs/>
          <w:szCs w:val="24"/>
        </w:rPr>
        <w:t>, чем земли прочего назначения.</w:t>
      </w:r>
    </w:p>
    <w:p w14:paraId="0C3F0ED2"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прочим нематериальным активам зависит от возможности отделения актива от объекта рейтинга и спроса на него на рынке, а также от условий лицензионных соглашений.</w:t>
      </w:r>
    </w:p>
    <w:p w14:paraId="6A28334D"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ПИФ и ИСУ выбирается в зависимости от вида имущества ПИФ и ИСУ.</w:t>
      </w:r>
    </w:p>
    <w:p w14:paraId="234506D6" w14:textId="77777777" w:rsidR="0058128C" w:rsidRPr="000028C3" w:rsidRDefault="0058128C" w:rsidP="0098669D">
      <w:pPr>
        <w:pStyle w:val="af7"/>
        <w:numPr>
          <w:ilvl w:val="0"/>
          <w:numId w:val="28"/>
        </w:numPr>
        <w:suppressAutoHyphens/>
        <w:ind w:left="1276" w:hanging="283"/>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по дебиторской задолженности определяется на основе следующих факторов:</w:t>
      </w:r>
    </w:p>
    <w:p w14:paraId="2A240EDE" w14:textId="77777777" w:rsidR="0058128C" w:rsidRPr="000028C3" w:rsidRDefault="0058128C" w:rsidP="0098669D">
      <w:pPr>
        <w:pStyle w:val="af7"/>
        <w:numPr>
          <w:ilvl w:val="0"/>
          <w:numId w:val="29"/>
        </w:numPr>
        <w:suppressAutoHyphens/>
        <w:ind w:left="2127" w:hanging="425"/>
        <w:contextualSpacing w:val="0"/>
        <w:jc w:val="both"/>
        <w:rPr>
          <w:rFonts w:ascii="Times New Roman" w:hAnsi="Times New Roman" w:cs="Times New Roman"/>
          <w:iCs/>
          <w:szCs w:val="24"/>
        </w:rPr>
      </w:pPr>
      <w:r w:rsidRPr="000028C3">
        <w:rPr>
          <w:rFonts w:ascii="Times New Roman" w:hAnsi="Times New Roman" w:cs="Times New Roman"/>
          <w:iCs/>
          <w:szCs w:val="24"/>
        </w:rPr>
        <w:t xml:space="preserve">финансовая дисциплина дебиторов (как правило, по дебиторам, по которым на момент оценки есть просроченная задолженность, коэффициент </w:t>
      </w:r>
      <w:r w:rsidR="009C6CB6" w:rsidRPr="000028C3">
        <w:rPr>
          <w:rFonts w:ascii="Times New Roman" w:hAnsi="Times New Roman" w:cs="Times New Roman"/>
          <w:iCs/>
          <w:szCs w:val="24"/>
        </w:rPr>
        <w:t>корректировки</w:t>
      </w:r>
      <w:r w:rsidRPr="000028C3">
        <w:rPr>
          <w:rFonts w:ascii="Times New Roman" w:hAnsi="Times New Roman" w:cs="Times New Roman"/>
          <w:iCs/>
          <w:szCs w:val="24"/>
        </w:rPr>
        <w:t xml:space="preserve"> составляет 0; исключения возможны, если просроченная задолженность является деловой практикой, принятой между объектом рейтинга и дебитором, к примеру по аналогичным контрактам дебитор в прошлом после образования просроченной задолженности исполнял свои обязательства перед объектом рейтинга в полном объеме; корректировка может применяться только при хорошем финансовом положении дебитора);</w:t>
      </w:r>
    </w:p>
    <w:p w14:paraId="445B2D4B" w14:textId="77777777" w:rsidR="0058128C" w:rsidRPr="000028C3" w:rsidRDefault="0058128C" w:rsidP="0098669D">
      <w:pPr>
        <w:pStyle w:val="af7"/>
        <w:numPr>
          <w:ilvl w:val="0"/>
          <w:numId w:val="29"/>
        </w:numPr>
        <w:suppressAutoHyphens/>
        <w:ind w:left="2127" w:hanging="425"/>
        <w:contextualSpacing w:val="0"/>
        <w:jc w:val="both"/>
        <w:rPr>
          <w:rFonts w:ascii="Times New Roman" w:hAnsi="Times New Roman" w:cs="Times New Roman"/>
          <w:iCs/>
          <w:szCs w:val="24"/>
        </w:rPr>
      </w:pPr>
      <w:r w:rsidRPr="000028C3">
        <w:rPr>
          <w:rFonts w:ascii="Times New Roman" w:hAnsi="Times New Roman" w:cs="Times New Roman"/>
          <w:iCs/>
          <w:szCs w:val="24"/>
        </w:rPr>
        <w:t>динамика оборачиваемости дебиторской задолженности (отношения объема погашенной задолженности за период к объему дебиторской задолженности на начало периода; резкое увеличение периода оборота дебиторской задолженности может свидетельствовать об ухудшении финансовой дисциплины дебиторов, то есть условный рейтинговый класс снижается);</w:t>
      </w:r>
    </w:p>
    <w:p w14:paraId="78E57D7E" w14:textId="77777777" w:rsidR="0058128C" w:rsidRPr="000028C3" w:rsidRDefault="0058128C" w:rsidP="0098669D">
      <w:pPr>
        <w:pStyle w:val="af7"/>
        <w:numPr>
          <w:ilvl w:val="0"/>
          <w:numId w:val="29"/>
        </w:numPr>
        <w:suppressAutoHyphens/>
        <w:ind w:left="2127" w:hanging="425"/>
        <w:contextualSpacing w:val="0"/>
        <w:jc w:val="both"/>
        <w:rPr>
          <w:rFonts w:ascii="Times New Roman" w:hAnsi="Times New Roman" w:cs="Times New Roman"/>
          <w:u w:val="single"/>
        </w:rPr>
      </w:pPr>
      <w:r w:rsidRPr="000028C3">
        <w:rPr>
          <w:rFonts w:ascii="Times New Roman" w:hAnsi="Times New Roman" w:cs="Times New Roman"/>
          <w:iCs/>
          <w:szCs w:val="24"/>
        </w:rPr>
        <w:t xml:space="preserve">наличие обеспечения по дебиторской задолженности (чем выше доля обеспеченной дебиторской задолженности и чем качественнее обеспечение, тем выше коэффициент </w:t>
      </w:r>
      <w:r w:rsidR="002B0910" w:rsidRPr="000028C3">
        <w:rPr>
          <w:rFonts w:ascii="Times New Roman" w:hAnsi="Times New Roman" w:cs="Times New Roman"/>
          <w:iCs/>
          <w:szCs w:val="24"/>
        </w:rPr>
        <w:t>корректировки</w:t>
      </w:r>
      <w:r w:rsidRPr="000028C3">
        <w:rPr>
          <w:rFonts w:ascii="Times New Roman" w:hAnsi="Times New Roman" w:cs="Times New Roman"/>
          <w:iCs/>
          <w:szCs w:val="24"/>
        </w:rPr>
        <w:t>, то есть условный рейтинговый класс).</w:t>
      </w:r>
    </w:p>
    <w:p w14:paraId="170C5684" w14:textId="7B4272CF" w:rsidR="0058128C" w:rsidRPr="000028C3" w:rsidRDefault="0058128C" w:rsidP="0039664F">
      <w:pPr>
        <w:pStyle w:val="af7"/>
        <w:ind w:left="0"/>
        <w:jc w:val="both"/>
        <w:rPr>
          <w:rFonts w:ascii="Times New Roman" w:hAnsi="Times New Roman" w:cs="Times New Roman"/>
          <w:highlight w:val="yellow"/>
        </w:rPr>
      </w:pPr>
    </w:p>
    <w:p w14:paraId="4F5FD6A6" w14:textId="477659B1" w:rsidR="00D75260" w:rsidRPr="000028C3" w:rsidRDefault="00C25CDB" w:rsidP="00936C87">
      <w:pPr>
        <w:ind w:firstLine="567"/>
        <w:jc w:val="both"/>
        <w:rPr>
          <w:color w:val="000000"/>
        </w:rPr>
      </w:pPr>
      <w:r w:rsidRPr="000028C3">
        <w:rPr>
          <w:iCs/>
        </w:rPr>
        <w:t>При наличии</w:t>
      </w:r>
      <w:r w:rsidR="00936C87" w:rsidRPr="000028C3">
        <w:rPr>
          <w:iCs/>
        </w:rPr>
        <w:t xml:space="preserve"> поручительств, гарантий или иных внебалансовых обязательств, предоставленных компанией, </w:t>
      </w:r>
      <w:r w:rsidRPr="000028C3">
        <w:rPr>
          <w:iCs/>
        </w:rPr>
        <w:t>полученн</w:t>
      </w:r>
      <w:r w:rsidR="00936C87" w:rsidRPr="000028C3">
        <w:rPr>
          <w:iCs/>
        </w:rPr>
        <w:t>ый</w:t>
      </w:r>
      <w:r w:rsidRPr="000028C3">
        <w:rPr>
          <w:iCs/>
        </w:rPr>
        <w:t xml:space="preserve"> синтетическ</w:t>
      </w:r>
      <w:r w:rsidR="00936C87" w:rsidRPr="000028C3">
        <w:rPr>
          <w:iCs/>
        </w:rPr>
        <w:t>ий</w:t>
      </w:r>
      <w:r w:rsidRPr="000028C3">
        <w:rPr>
          <w:iCs/>
        </w:rPr>
        <w:t xml:space="preserve"> коэффициент</w:t>
      </w:r>
      <w:r w:rsidR="00936C87" w:rsidRPr="000028C3">
        <w:rPr>
          <w:iCs/>
        </w:rPr>
        <w:t xml:space="preserve"> корректируется</w:t>
      </w:r>
      <w:r w:rsidR="00406C7D" w:rsidRPr="000028C3">
        <w:rPr>
          <w:iCs/>
        </w:rPr>
        <w:t>: в числитель</w:t>
      </w:r>
      <w:r w:rsidR="00936C87" w:rsidRPr="000028C3">
        <w:rPr>
          <w:iCs/>
        </w:rPr>
        <w:t xml:space="preserve"> добавляются внебалансовые обязательства, умноженные на соответствующий коэффициент корректировки, в знаменатель – все внебалансовые обязательства. </w:t>
      </w:r>
      <w:r w:rsidR="00936C87" w:rsidRPr="000028C3">
        <w:rPr>
          <w:bCs/>
        </w:rPr>
        <w:t>Коэффициент корректировки</w:t>
      </w:r>
      <w:r w:rsidR="00936C87" w:rsidRPr="000028C3">
        <w:rPr>
          <w:b/>
          <w:bCs/>
        </w:rPr>
        <w:t xml:space="preserve"> </w:t>
      </w:r>
      <w:r w:rsidR="00936C87" w:rsidRPr="000028C3">
        <w:rPr>
          <w:iCs/>
        </w:rPr>
        <w:t xml:space="preserve">стоимости внебалансовых обязательств определяется </w:t>
      </w:r>
      <w:r w:rsidR="00D75260" w:rsidRPr="000028C3">
        <w:rPr>
          <w:color w:val="000000"/>
        </w:rPr>
        <w:t>на основе причисления к одному из условных рейтинговых классов (по аналогии с прочими активами), исходя из вероятности реализации условных обязательств (</w:t>
      </w:r>
      <w:r w:rsidR="00936C87" w:rsidRPr="000028C3">
        <w:rPr>
          <w:iCs/>
        </w:rPr>
        <w:t>чем она выше, тем ближе коэффициент учета к 1</w:t>
      </w:r>
      <w:r w:rsidR="00D75260" w:rsidRPr="000028C3">
        <w:rPr>
          <w:color w:val="000000"/>
        </w:rPr>
        <w:t xml:space="preserve">) и возможного влияния на ликвидность и капитал при реализации данного риска. </w:t>
      </w:r>
    </w:p>
    <w:p w14:paraId="2ABA9033" w14:textId="77777777" w:rsidR="00D75260" w:rsidRPr="000028C3" w:rsidRDefault="00D75260" w:rsidP="0039664F">
      <w:pPr>
        <w:pStyle w:val="af7"/>
        <w:ind w:left="0"/>
        <w:jc w:val="both"/>
        <w:rPr>
          <w:rFonts w:ascii="Times New Roman" w:hAnsi="Times New Roman" w:cs="Times New Roman"/>
        </w:rPr>
      </w:pPr>
    </w:p>
    <w:p w14:paraId="523AAB99" w14:textId="77777777" w:rsidR="0058128C" w:rsidRPr="000028C3" w:rsidRDefault="0058128C" w:rsidP="0039664F">
      <w:pPr>
        <w:pStyle w:val="ad"/>
        <w:spacing w:before="0" w:beforeAutospacing="0" w:after="0" w:afterAutospacing="0"/>
        <w:ind w:firstLine="567"/>
        <w:jc w:val="both"/>
      </w:pPr>
      <w:r w:rsidRPr="000028C3">
        <w:t xml:space="preserve">Балл за качество прочих активов </w:t>
      </w:r>
      <w:r w:rsidR="00D75260" w:rsidRPr="000028C3">
        <w:t xml:space="preserve">и внебалансовых обязательств </w:t>
      </w:r>
      <w:r w:rsidRPr="000028C3">
        <w:t>может быть скорректирован вниз, если они подвержены повышенным отраслевым рискам, не учтенным при оценке диверсификации по объектам кредитного риска (то есть активы</w:t>
      </w:r>
      <w:r w:rsidR="00D75260" w:rsidRPr="000028C3">
        <w:t xml:space="preserve"> или </w:t>
      </w:r>
      <w:r w:rsidR="00D75260" w:rsidRPr="000028C3">
        <w:lastRenderedPageBreak/>
        <w:t>обязательства</w:t>
      </w:r>
      <w:r w:rsidRPr="000028C3">
        <w:t xml:space="preserve"> диверсифицированы по объектам вложений, но концентрированы на одной-двух отраслях).</w:t>
      </w:r>
    </w:p>
    <w:p w14:paraId="21A6BA56" w14:textId="77777777" w:rsidR="00C85236" w:rsidRPr="000028C3" w:rsidRDefault="00C85236" w:rsidP="0039664F">
      <w:pPr>
        <w:jc w:val="both"/>
        <w:rPr>
          <w:highlight w:val="yellow"/>
        </w:rPr>
      </w:pPr>
    </w:p>
    <w:p w14:paraId="14474917" w14:textId="77777777" w:rsidR="008B1955" w:rsidRPr="000028C3" w:rsidRDefault="008B1955" w:rsidP="0098669D">
      <w:pPr>
        <w:pStyle w:val="3"/>
        <w:numPr>
          <w:ilvl w:val="1"/>
          <w:numId w:val="17"/>
        </w:numPr>
        <w:spacing w:before="0" w:after="0"/>
        <w:rPr>
          <w:rFonts w:ascii="Times New Roman" w:hAnsi="Times New Roman" w:cs="Times New Roman"/>
        </w:rPr>
      </w:pPr>
      <w:bookmarkStart w:id="57" w:name="_Toc447270440"/>
      <w:bookmarkStart w:id="58" w:name="_Toc159582224"/>
      <w:bookmarkStart w:id="59" w:name="_Toc39667624"/>
      <w:bookmarkEnd w:id="41"/>
      <w:r w:rsidRPr="000028C3">
        <w:rPr>
          <w:rFonts w:ascii="Times New Roman" w:hAnsi="Times New Roman" w:cs="Times New Roman"/>
        </w:rPr>
        <w:t>Рентабельность</w:t>
      </w:r>
      <w:bookmarkEnd w:id="57"/>
      <w:bookmarkEnd w:id="59"/>
      <w:r w:rsidRPr="000028C3">
        <w:rPr>
          <w:rFonts w:ascii="Times New Roman" w:hAnsi="Times New Roman" w:cs="Times New Roman"/>
        </w:rPr>
        <w:t xml:space="preserve"> </w:t>
      </w:r>
    </w:p>
    <w:p w14:paraId="339C652F" w14:textId="77777777" w:rsidR="0039664F" w:rsidRPr="000028C3" w:rsidRDefault="0039664F" w:rsidP="0039664F">
      <w:pPr>
        <w:pStyle w:val="ad"/>
        <w:spacing w:before="0" w:beforeAutospacing="0" w:after="0" w:afterAutospacing="0"/>
        <w:ind w:firstLine="567"/>
        <w:jc w:val="both"/>
        <w:rPr>
          <w:u w:val="single"/>
        </w:rPr>
      </w:pPr>
    </w:p>
    <w:p w14:paraId="509C20C3" w14:textId="77777777" w:rsidR="0039664F" w:rsidRPr="000028C3" w:rsidRDefault="008B1955" w:rsidP="0039664F">
      <w:pPr>
        <w:pStyle w:val="ad"/>
        <w:spacing w:before="0" w:beforeAutospacing="0" w:after="0" w:afterAutospacing="0"/>
        <w:ind w:firstLine="567"/>
        <w:jc w:val="both"/>
        <w:rPr>
          <w:u w:val="single"/>
        </w:rPr>
      </w:pPr>
      <w:r w:rsidRPr="000028C3">
        <w:rPr>
          <w:u w:val="single"/>
        </w:rPr>
        <w:t>Цель оценки</w:t>
      </w:r>
    </w:p>
    <w:p w14:paraId="0DCBB4A6" w14:textId="076C1A4E" w:rsidR="00D3655B" w:rsidRPr="000028C3" w:rsidRDefault="0039664F" w:rsidP="0039664F">
      <w:pPr>
        <w:pStyle w:val="ad"/>
        <w:spacing w:before="0" w:beforeAutospacing="0" w:after="0" w:afterAutospacing="0"/>
        <w:ind w:firstLine="567"/>
        <w:jc w:val="both"/>
      </w:pPr>
      <w:r w:rsidRPr="000028C3">
        <w:t>А</w:t>
      </w:r>
      <w:r w:rsidR="004647F3" w:rsidRPr="000028C3">
        <w:t>нализ</w:t>
      </w:r>
      <w:r w:rsidR="00D3655B" w:rsidRPr="000028C3">
        <w:t xml:space="preserve"> способност</w:t>
      </w:r>
      <w:r w:rsidR="004647F3" w:rsidRPr="000028C3">
        <w:t>и</w:t>
      </w:r>
      <w:r w:rsidR="00D3655B" w:rsidRPr="000028C3">
        <w:t xml:space="preserve"> компании генерировать стабильный положительный финансовый результат и </w:t>
      </w:r>
      <w:r w:rsidR="004647F3" w:rsidRPr="000028C3">
        <w:t xml:space="preserve">оценка </w:t>
      </w:r>
      <w:r w:rsidR="00D3655B" w:rsidRPr="000028C3">
        <w:t>соответстви</w:t>
      </w:r>
      <w:r w:rsidR="004647F3" w:rsidRPr="000028C3">
        <w:t>я</w:t>
      </w:r>
      <w:r w:rsidR="00D3655B" w:rsidRPr="000028C3">
        <w:t xml:space="preserve"> финансового результата требуемой инвесторами доходности в факторинговом секторе.</w:t>
      </w:r>
    </w:p>
    <w:p w14:paraId="5ADE0E1C" w14:textId="77777777" w:rsidR="00D3655B" w:rsidRPr="000028C3" w:rsidRDefault="00D3655B" w:rsidP="0039664F">
      <w:pPr>
        <w:rPr>
          <w:u w:val="single"/>
        </w:rPr>
      </w:pPr>
    </w:p>
    <w:p w14:paraId="13D01ECB" w14:textId="5939E013" w:rsidR="008B1955" w:rsidRPr="000028C3" w:rsidRDefault="008B1955" w:rsidP="0039664F">
      <w:pPr>
        <w:pStyle w:val="ad"/>
        <w:spacing w:before="0" w:beforeAutospacing="0" w:after="0" w:afterAutospacing="0"/>
        <w:ind w:firstLine="567"/>
        <w:jc w:val="both"/>
      </w:pPr>
      <w:r w:rsidRPr="000028C3">
        <w:rPr>
          <w:u w:val="single"/>
        </w:rPr>
        <w:t>Алгоритм выставления оценки</w:t>
      </w:r>
    </w:p>
    <w:p w14:paraId="3B561383" w14:textId="53BFF09F" w:rsidR="009B5178" w:rsidRPr="000028C3" w:rsidRDefault="00CF69E8" w:rsidP="009B5178">
      <w:pPr>
        <w:pStyle w:val="ad"/>
        <w:spacing w:before="0" w:beforeAutospacing="0" w:after="0" w:afterAutospacing="0"/>
        <w:ind w:firstLine="567"/>
        <w:jc w:val="both"/>
      </w:pPr>
      <w:r w:rsidRPr="000028C3">
        <w:t xml:space="preserve">Рентабельность капитала и активов по РСБУ рассчитывается за последние </w:t>
      </w:r>
      <w:r w:rsidR="00D9602C" w:rsidRPr="000028C3">
        <w:t>4 квартала</w:t>
      </w:r>
      <w:r w:rsidRPr="000028C3">
        <w:t xml:space="preserve">. Рентабельность капитала и активов по МСФО рассчитывается за 2 последних завершившихся года при наличии годовой отчетности по МСФО за этот период. При отсутствии отчетности по МСФО рассчитывается рентабельность капитала / активов по РСБУ за </w:t>
      </w:r>
      <w:r w:rsidR="00D9602C" w:rsidRPr="000028C3">
        <w:t>8 кварталов</w:t>
      </w:r>
      <w:r w:rsidRPr="000028C3">
        <w:t xml:space="preserve"> с переводом в годовое выражение, скорректированная на ожидаемое чистое </w:t>
      </w:r>
      <w:proofErr w:type="spellStart"/>
      <w:r w:rsidRPr="000028C3">
        <w:t>доформирование</w:t>
      </w:r>
      <w:proofErr w:type="spellEnd"/>
      <w:r w:rsidRPr="000028C3">
        <w:t xml:space="preserve"> резервов на возможные потери.</w:t>
      </w:r>
      <w:r w:rsidR="009B5178" w:rsidRPr="000028C3" w:rsidDel="00CF69E8">
        <w:t xml:space="preserve"> </w:t>
      </w:r>
      <w:r w:rsidR="009B5178" w:rsidRPr="000028C3">
        <w:t>Используется непрерывная линейная оценка.</w:t>
      </w:r>
    </w:p>
    <w:p w14:paraId="6237D7C1" w14:textId="77777777" w:rsidR="00CF69E8" w:rsidRPr="000028C3" w:rsidRDefault="00CF69E8" w:rsidP="0039664F">
      <w:pPr>
        <w:rPr>
          <w:highlight w:val="yellow"/>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134"/>
        <w:gridCol w:w="2129"/>
        <w:gridCol w:w="987"/>
        <w:gridCol w:w="989"/>
      </w:tblGrid>
      <w:tr w:rsidR="00502754" w:rsidRPr="000028C3" w14:paraId="1146A878" w14:textId="77777777" w:rsidTr="00EB4C6D">
        <w:trPr>
          <w:trHeight w:val="20"/>
        </w:trPr>
        <w:tc>
          <w:tcPr>
            <w:tcW w:w="2197" w:type="pct"/>
            <w:shd w:val="clear" w:color="auto" w:fill="auto"/>
            <w:vAlign w:val="center"/>
          </w:tcPr>
          <w:p w14:paraId="7277C4F0" w14:textId="55FCE125" w:rsidR="00273838" w:rsidRPr="000028C3" w:rsidRDefault="009D0B14" w:rsidP="00EB4C6D">
            <w:pPr>
              <w:rPr>
                <w:bCs/>
              </w:rPr>
            </w:pPr>
            <w:r w:rsidRPr="000028C3">
              <w:t>Показатель</w:t>
            </w:r>
          </w:p>
        </w:tc>
        <w:tc>
          <w:tcPr>
            <w:tcW w:w="607" w:type="pct"/>
            <w:shd w:val="clear" w:color="auto" w:fill="auto"/>
            <w:vAlign w:val="center"/>
          </w:tcPr>
          <w:p w14:paraId="77CB1B5A" w14:textId="77777777" w:rsidR="00273838" w:rsidRPr="000028C3" w:rsidRDefault="00273838" w:rsidP="00EB4C6D">
            <w:pPr>
              <w:jc w:val="center"/>
              <w:rPr>
                <w:bCs/>
              </w:rPr>
            </w:pPr>
            <w:r w:rsidRPr="000028C3">
              <w:rPr>
                <w:bCs/>
              </w:rPr>
              <w:t>Вес</w:t>
            </w:r>
          </w:p>
        </w:tc>
        <w:tc>
          <w:tcPr>
            <w:tcW w:w="1139" w:type="pct"/>
            <w:shd w:val="clear" w:color="auto" w:fill="auto"/>
            <w:vAlign w:val="center"/>
          </w:tcPr>
          <w:p w14:paraId="45E548C0" w14:textId="77777777" w:rsidR="00273838" w:rsidRPr="000028C3" w:rsidRDefault="00273838" w:rsidP="00EB4C6D">
            <w:pPr>
              <w:jc w:val="center"/>
              <w:rPr>
                <w:bCs/>
              </w:rPr>
            </w:pPr>
            <w:r w:rsidRPr="000028C3">
              <w:rPr>
                <w:bCs/>
              </w:rPr>
              <w:t>Определение оценки</w:t>
            </w:r>
          </w:p>
        </w:tc>
        <w:tc>
          <w:tcPr>
            <w:tcW w:w="528" w:type="pct"/>
            <w:shd w:val="clear" w:color="auto" w:fill="auto"/>
            <w:vAlign w:val="center"/>
          </w:tcPr>
          <w:p w14:paraId="0824CDBD" w14:textId="77777777" w:rsidR="00273838" w:rsidRPr="000028C3" w:rsidRDefault="00273838" w:rsidP="00EB4C6D">
            <w:pPr>
              <w:jc w:val="center"/>
              <w:rPr>
                <w:bCs/>
              </w:rPr>
            </w:pPr>
            <w:r w:rsidRPr="000028C3">
              <w:rPr>
                <w:bCs/>
              </w:rPr>
              <w:t>-1</w:t>
            </w:r>
          </w:p>
        </w:tc>
        <w:tc>
          <w:tcPr>
            <w:tcW w:w="529" w:type="pct"/>
            <w:shd w:val="clear" w:color="auto" w:fill="auto"/>
            <w:vAlign w:val="center"/>
          </w:tcPr>
          <w:p w14:paraId="06F572ED" w14:textId="77777777" w:rsidR="00273838" w:rsidRPr="000028C3" w:rsidRDefault="00273838" w:rsidP="00EB4C6D">
            <w:pPr>
              <w:jc w:val="center"/>
              <w:rPr>
                <w:bCs/>
              </w:rPr>
            </w:pPr>
            <w:r w:rsidRPr="000028C3">
              <w:rPr>
                <w:bCs/>
              </w:rPr>
              <w:t>1</w:t>
            </w:r>
          </w:p>
        </w:tc>
      </w:tr>
      <w:tr w:rsidR="00502754" w:rsidRPr="000028C3" w14:paraId="0FD44DD0" w14:textId="77777777" w:rsidTr="00677F5A">
        <w:trPr>
          <w:trHeight w:val="20"/>
        </w:trPr>
        <w:tc>
          <w:tcPr>
            <w:tcW w:w="2197" w:type="pct"/>
            <w:shd w:val="clear" w:color="auto" w:fill="auto"/>
            <w:noWrap/>
          </w:tcPr>
          <w:p w14:paraId="5EB9CA2D" w14:textId="36C81EDA" w:rsidR="00273838" w:rsidRPr="000028C3" w:rsidRDefault="00273838" w:rsidP="0039664F">
            <w:pPr>
              <w:jc w:val="both"/>
            </w:pPr>
            <w:r w:rsidRPr="000028C3">
              <w:t>Рентабельность капитала по РСБУ</w:t>
            </w:r>
            <w:r w:rsidR="00BD7B03" w:rsidRPr="000028C3">
              <w:t>, %</w:t>
            </w:r>
          </w:p>
        </w:tc>
        <w:tc>
          <w:tcPr>
            <w:tcW w:w="607" w:type="pct"/>
            <w:shd w:val="clear" w:color="auto" w:fill="auto"/>
            <w:vAlign w:val="center"/>
          </w:tcPr>
          <w:p w14:paraId="188DFE3C" w14:textId="77777777" w:rsidR="00273838" w:rsidRPr="000028C3" w:rsidRDefault="00273838" w:rsidP="0039664F">
            <w:pPr>
              <w:jc w:val="center"/>
            </w:pPr>
            <w:r w:rsidRPr="000028C3">
              <w:t>30%</w:t>
            </w:r>
          </w:p>
        </w:tc>
        <w:tc>
          <w:tcPr>
            <w:tcW w:w="1139" w:type="pct"/>
            <w:shd w:val="clear" w:color="auto" w:fill="auto"/>
          </w:tcPr>
          <w:p w14:paraId="1A5F0E21" w14:textId="77777777" w:rsidR="00273838" w:rsidRPr="000028C3" w:rsidRDefault="00273838" w:rsidP="0039664F">
            <w:pPr>
              <w:jc w:val="center"/>
            </w:pPr>
            <w:r w:rsidRPr="000028C3">
              <w:t>-</w:t>
            </w:r>
          </w:p>
        </w:tc>
        <w:tc>
          <w:tcPr>
            <w:tcW w:w="528" w:type="pct"/>
            <w:shd w:val="clear" w:color="auto" w:fill="auto"/>
            <w:vAlign w:val="center"/>
          </w:tcPr>
          <w:p w14:paraId="4BADC2A8" w14:textId="5D14054D" w:rsidR="00273838" w:rsidRPr="000028C3" w:rsidRDefault="00BD7B03" w:rsidP="0039664F">
            <w:pPr>
              <w:jc w:val="center"/>
            </w:pPr>
            <w:r w:rsidRPr="000028C3">
              <w:t>≤ 2</w:t>
            </w:r>
          </w:p>
        </w:tc>
        <w:tc>
          <w:tcPr>
            <w:tcW w:w="529" w:type="pct"/>
            <w:shd w:val="clear" w:color="auto" w:fill="auto"/>
            <w:vAlign w:val="center"/>
          </w:tcPr>
          <w:p w14:paraId="6411897C" w14:textId="1433EB5A" w:rsidR="00273838" w:rsidRPr="000028C3" w:rsidRDefault="00BD7B03" w:rsidP="0039664F">
            <w:pPr>
              <w:jc w:val="center"/>
            </w:pPr>
            <w:r w:rsidRPr="000028C3">
              <w:t>≥ 15</w:t>
            </w:r>
          </w:p>
        </w:tc>
      </w:tr>
      <w:tr w:rsidR="00502754" w:rsidRPr="000028C3" w14:paraId="54AF3EDB" w14:textId="77777777" w:rsidTr="00677F5A">
        <w:trPr>
          <w:trHeight w:val="20"/>
        </w:trPr>
        <w:tc>
          <w:tcPr>
            <w:tcW w:w="2197" w:type="pct"/>
            <w:shd w:val="clear" w:color="auto" w:fill="auto"/>
            <w:noWrap/>
          </w:tcPr>
          <w:p w14:paraId="5EB9F063" w14:textId="20BF9461" w:rsidR="00273838" w:rsidRPr="000028C3" w:rsidRDefault="00273838" w:rsidP="0039664F">
            <w:pPr>
              <w:jc w:val="both"/>
            </w:pPr>
            <w:r w:rsidRPr="000028C3">
              <w:t>Рентабельность активов по РСБУ</w:t>
            </w:r>
            <w:r w:rsidR="00BD7B03" w:rsidRPr="000028C3">
              <w:t>, %</w:t>
            </w:r>
          </w:p>
        </w:tc>
        <w:tc>
          <w:tcPr>
            <w:tcW w:w="607" w:type="pct"/>
            <w:shd w:val="clear" w:color="auto" w:fill="auto"/>
            <w:vAlign w:val="center"/>
          </w:tcPr>
          <w:p w14:paraId="1E47FF47" w14:textId="77777777" w:rsidR="00273838" w:rsidRPr="000028C3" w:rsidRDefault="00273838" w:rsidP="0039664F">
            <w:pPr>
              <w:jc w:val="center"/>
            </w:pPr>
            <w:r w:rsidRPr="000028C3">
              <w:t>40%</w:t>
            </w:r>
          </w:p>
        </w:tc>
        <w:tc>
          <w:tcPr>
            <w:tcW w:w="1139" w:type="pct"/>
            <w:shd w:val="clear" w:color="auto" w:fill="auto"/>
          </w:tcPr>
          <w:p w14:paraId="4B18FD31" w14:textId="77777777" w:rsidR="00273838" w:rsidRPr="000028C3" w:rsidRDefault="00273838" w:rsidP="0039664F">
            <w:pPr>
              <w:jc w:val="center"/>
            </w:pPr>
            <w:r w:rsidRPr="000028C3">
              <w:t>-</w:t>
            </w:r>
          </w:p>
        </w:tc>
        <w:tc>
          <w:tcPr>
            <w:tcW w:w="528" w:type="pct"/>
            <w:shd w:val="clear" w:color="auto" w:fill="auto"/>
            <w:vAlign w:val="center"/>
          </w:tcPr>
          <w:p w14:paraId="18B615B2" w14:textId="28AD068A" w:rsidR="00273838" w:rsidRPr="000028C3" w:rsidRDefault="00BD7B03" w:rsidP="0039664F">
            <w:pPr>
              <w:jc w:val="center"/>
            </w:pPr>
            <w:r w:rsidRPr="000028C3">
              <w:t>≤ 0,5</w:t>
            </w:r>
          </w:p>
        </w:tc>
        <w:tc>
          <w:tcPr>
            <w:tcW w:w="529" w:type="pct"/>
            <w:shd w:val="clear" w:color="auto" w:fill="auto"/>
            <w:vAlign w:val="center"/>
          </w:tcPr>
          <w:p w14:paraId="1C6B1FCA" w14:textId="5F40E267" w:rsidR="00273838" w:rsidRPr="000028C3" w:rsidRDefault="00BD7B03" w:rsidP="0039664F">
            <w:pPr>
              <w:jc w:val="center"/>
            </w:pPr>
            <w:r w:rsidRPr="000028C3">
              <w:t>≥ 2</w:t>
            </w:r>
          </w:p>
        </w:tc>
      </w:tr>
      <w:tr w:rsidR="00502754" w:rsidRPr="000028C3" w14:paraId="761CA6E8" w14:textId="77777777" w:rsidTr="00677F5A">
        <w:trPr>
          <w:trHeight w:val="20"/>
        </w:trPr>
        <w:tc>
          <w:tcPr>
            <w:tcW w:w="2197" w:type="pct"/>
            <w:shd w:val="clear" w:color="auto" w:fill="auto"/>
            <w:noWrap/>
          </w:tcPr>
          <w:p w14:paraId="620B336B" w14:textId="0FA29CCA" w:rsidR="00273838" w:rsidRPr="000028C3" w:rsidRDefault="00273838" w:rsidP="0039664F">
            <w:pPr>
              <w:jc w:val="both"/>
            </w:pPr>
            <w:r w:rsidRPr="000028C3">
              <w:t>Рентабельность капитала по МСФО / Скорректированная рентабельность капитала по РСБУ</w:t>
            </w:r>
            <w:r w:rsidR="00BD7B03" w:rsidRPr="000028C3">
              <w:t>, %</w:t>
            </w:r>
          </w:p>
        </w:tc>
        <w:tc>
          <w:tcPr>
            <w:tcW w:w="607" w:type="pct"/>
            <w:vMerge w:val="restart"/>
            <w:shd w:val="clear" w:color="auto" w:fill="auto"/>
            <w:vAlign w:val="center"/>
          </w:tcPr>
          <w:p w14:paraId="62C0843C" w14:textId="77777777" w:rsidR="00273838" w:rsidRPr="000028C3" w:rsidRDefault="00273838" w:rsidP="0039664F">
            <w:pPr>
              <w:jc w:val="center"/>
            </w:pPr>
            <w:r w:rsidRPr="000028C3">
              <w:t>30%</w:t>
            </w:r>
          </w:p>
        </w:tc>
        <w:tc>
          <w:tcPr>
            <w:tcW w:w="1139" w:type="pct"/>
            <w:vMerge w:val="restart"/>
            <w:shd w:val="clear" w:color="auto" w:fill="auto"/>
            <w:vAlign w:val="center"/>
          </w:tcPr>
          <w:p w14:paraId="0E9DCF03" w14:textId="77777777" w:rsidR="00273838" w:rsidRPr="000028C3" w:rsidRDefault="00273838" w:rsidP="0039664F">
            <w:pPr>
              <w:jc w:val="center"/>
            </w:pPr>
            <w:r w:rsidRPr="000028C3">
              <w:t>Минимальная из двух</w:t>
            </w:r>
          </w:p>
        </w:tc>
        <w:tc>
          <w:tcPr>
            <w:tcW w:w="528" w:type="pct"/>
            <w:shd w:val="clear" w:color="auto" w:fill="auto"/>
            <w:vAlign w:val="center"/>
          </w:tcPr>
          <w:p w14:paraId="571B5811" w14:textId="770A009E" w:rsidR="00273838" w:rsidRPr="000028C3" w:rsidRDefault="00BD7B03" w:rsidP="0039664F">
            <w:pPr>
              <w:jc w:val="center"/>
            </w:pPr>
            <w:r w:rsidRPr="000028C3">
              <w:t>≤ 0</w:t>
            </w:r>
          </w:p>
        </w:tc>
        <w:tc>
          <w:tcPr>
            <w:tcW w:w="529" w:type="pct"/>
            <w:shd w:val="clear" w:color="auto" w:fill="auto"/>
            <w:vAlign w:val="center"/>
          </w:tcPr>
          <w:p w14:paraId="4F0E63EF" w14:textId="41FBDEE6" w:rsidR="00273838" w:rsidRPr="000028C3" w:rsidRDefault="00BD7B03" w:rsidP="0039664F">
            <w:pPr>
              <w:jc w:val="center"/>
            </w:pPr>
            <w:r w:rsidRPr="000028C3">
              <w:t>≥ 10</w:t>
            </w:r>
          </w:p>
        </w:tc>
      </w:tr>
      <w:tr w:rsidR="00502754" w:rsidRPr="000028C3" w14:paraId="14F77CA9" w14:textId="77777777" w:rsidTr="00677F5A">
        <w:trPr>
          <w:trHeight w:val="20"/>
        </w:trPr>
        <w:tc>
          <w:tcPr>
            <w:tcW w:w="2197" w:type="pct"/>
            <w:shd w:val="clear" w:color="auto" w:fill="auto"/>
            <w:noWrap/>
          </w:tcPr>
          <w:p w14:paraId="443BFF60" w14:textId="426B662C" w:rsidR="00273838" w:rsidRPr="000028C3" w:rsidRDefault="00273838" w:rsidP="0039664F">
            <w:pPr>
              <w:jc w:val="both"/>
            </w:pPr>
            <w:r w:rsidRPr="000028C3">
              <w:t>Рентабельность активов по МСФО / Скорректированная рентабельность активов по РСБУ</w:t>
            </w:r>
            <w:r w:rsidR="00BD7B03" w:rsidRPr="000028C3">
              <w:t>, %</w:t>
            </w:r>
          </w:p>
        </w:tc>
        <w:tc>
          <w:tcPr>
            <w:tcW w:w="607" w:type="pct"/>
            <w:vMerge/>
            <w:shd w:val="clear" w:color="auto" w:fill="auto"/>
            <w:vAlign w:val="center"/>
          </w:tcPr>
          <w:p w14:paraId="4CC0F1B2" w14:textId="77777777" w:rsidR="00273838" w:rsidRPr="000028C3" w:rsidRDefault="00273838" w:rsidP="0039664F">
            <w:pPr>
              <w:jc w:val="center"/>
            </w:pPr>
          </w:p>
        </w:tc>
        <w:tc>
          <w:tcPr>
            <w:tcW w:w="1139" w:type="pct"/>
            <w:vMerge/>
            <w:shd w:val="clear" w:color="auto" w:fill="auto"/>
          </w:tcPr>
          <w:p w14:paraId="2105221E" w14:textId="77777777" w:rsidR="00273838" w:rsidRPr="000028C3" w:rsidRDefault="00273838" w:rsidP="0039664F">
            <w:pPr>
              <w:jc w:val="center"/>
            </w:pPr>
          </w:p>
        </w:tc>
        <w:tc>
          <w:tcPr>
            <w:tcW w:w="528" w:type="pct"/>
            <w:shd w:val="clear" w:color="auto" w:fill="auto"/>
            <w:vAlign w:val="center"/>
          </w:tcPr>
          <w:p w14:paraId="5CFA9451" w14:textId="61DD732F" w:rsidR="00273838" w:rsidRPr="000028C3" w:rsidRDefault="00BD7B03" w:rsidP="0039664F">
            <w:pPr>
              <w:jc w:val="center"/>
            </w:pPr>
            <w:r w:rsidRPr="000028C3">
              <w:t>≤ 0</w:t>
            </w:r>
          </w:p>
        </w:tc>
        <w:tc>
          <w:tcPr>
            <w:tcW w:w="529" w:type="pct"/>
            <w:shd w:val="clear" w:color="auto" w:fill="auto"/>
            <w:vAlign w:val="center"/>
          </w:tcPr>
          <w:p w14:paraId="1418C2D7" w14:textId="0B521048" w:rsidR="00273838" w:rsidRPr="000028C3" w:rsidRDefault="00BD7B03" w:rsidP="0039664F">
            <w:pPr>
              <w:jc w:val="center"/>
            </w:pPr>
            <w:r w:rsidRPr="000028C3">
              <w:t>≥ 1,5</w:t>
            </w:r>
          </w:p>
        </w:tc>
      </w:tr>
    </w:tbl>
    <w:p w14:paraId="75762EF7" w14:textId="77777777" w:rsidR="00F65E8C" w:rsidRPr="000028C3" w:rsidRDefault="00F65E8C" w:rsidP="0039664F">
      <w:pPr>
        <w:jc w:val="both"/>
        <w:rPr>
          <w:highlight w:val="yellow"/>
        </w:rPr>
      </w:pPr>
    </w:p>
    <w:p w14:paraId="33FE1E0A" w14:textId="2A91BFFD" w:rsidR="008B1955" w:rsidRPr="000028C3" w:rsidRDefault="008B1955" w:rsidP="0039664F">
      <w:pPr>
        <w:pStyle w:val="ad"/>
        <w:spacing w:before="0" w:beforeAutospacing="0" w:after="0" w:afterAutospacing="0"/>
        <w:ind w:firstLine="567"/>
        <w:jc w:val="both"/>
      </w:pPr>
      <w:r w:rsidRPr="000028C3">
        <w:t xml:space="preserve">Если </w:t>
      </w:r>
      <w:r w:rsidR="007931E8" w:rsidRPr="000028C3">
        <w:t>компания</w:t>
      </w:r>
      <w:r w:rsidRPr="000028C3">
        <w:t xml:space="preserve"> характеризуется отрицательной величиной капитала по РСБУ и </w:t>
      </w:r>
      <w:r w:rsidR="002955F4">
        <w:t>(или)</w:t>
      </w:r>
      <w:r w:rsidRPr="000028C3">
        <w:t xml:space="preserve"> МСФО, оценка рассчитывается исключительно по рентабельности активов</w:t>
      </w:r>
      <w:r w:rsidR="00B10742" w:rsidRPr="000028C3">
        <w:t>, в пользу которой перераспределяется вес</w:t>
      </w:r>
      <w:r w:rsidR="00441842" w:rsidRPr="000028C3">
        <w:t xml:space="preserve"> фактора рентабельность</w:t>
      </w:r>
      <w:r w:rsidRPr="000028C3">
        <w:t>.</w:t>
      </w:r>
    </w:p>
    <w:p w14:paraId="36D32DDD" w14:textId="77777777" w:rsidR="008B1955" w:rsidRPr="000028C3" w:rsidRDefault="007931E8" w:rsidP="0039664F">
      <w:pPr>
        <w:pStyle w:val="ad"/>
        <w:spacing w:before="0" w:beforeAutospacing="0" w:after="0" w:afterAutospacing="0"/>
        <w:ind w:firstLine="567"/>
        <w:jc w:val="both"/>
      </w:pPr>
      <w:r w:rsidRPr="000028C3">
        <w:t xml:space="preserve">Оценка фактора </w:t>
      </w:r>
      <w:r w:rsidR="008B1955" w:rsidRPr="000028C3">
        <w:t xml:space="preserve">может корректироваться </w:t>
      </w:r>
      <w:r w:rsidR="00AF7A8C" w:rsidRPr="000028C3">
        <w:t>не более</w:t>
      </w:r>
      <w:r w:rsidRPr="000028C3">
        <w:t xml:space="preserve"> чем на 0,5 </w:t>
      </w:r>
      <w:r w:rsidR="008B1955" w:rsidRPr="000028C3">
        <w:t>при высоком влиянии нестабильных компонентов.</w:t>
      </w:r>
    </w:p>
    <w:p w14:paraId="5E935505" w14:textId="77777777" w:rsidR="00273838" w:rsidRPr="000028C3" w:rsidRDefault="00273838" w:rsidP="0039664F">
      <w:pPr>
        <w:jc w:val="both"/>
        <w:rPr>
          <w:b/>
          <w:highlight w:val="yellow"/>
        </w:rPr>
      </w:pPr>
    </w:p>
    <w:p w14:paraId="55318392" w14:textId="77777777" w:rsidR="008B1955" w:rsidRPr="000028C3" w:rsidRDefault="00273838" w:rsidP="005B6B71">
      <w:pPr>
        <w:pStyle w:val="ad"/>
        <w:spacing w:before="0" w:beforeAutospacing="0" w:after="0" w:afterAutospacing="0"/>
        <w:ind w:firstLine="567"/>
        <w:jc w:val="both"/>
      </w:pPr>
      <w:r w:rsidRPr="000028C3">
        <w:t>Формулы расчета коэффициентов.</w:t>
      </w:r>
    </w:p>
    <w:tbl>
      <w:tblPr>
        <w:tblpPr w:leftFromText="180" w:rightFromText="180" w:vertAnchor="text" w:horzAnchor="margin" w:tblpX="108" w:tblpY="1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089"/>
      </w:tblGrid>
      <w:tr w:rsidR="008B1955" w:rsidRPr="000028C3" w14:paraId="28E92903" w14:textId="77777777" w:rsidTr="006F39EA">
        <w:tc>
          <w:tcPr>
            <w:tcW w:w="1742" w:type="pct"/>
          </w:tcPr>
          <w:p w14:paraId="67916150" w14:textId="77777777" w:rsidR="008B1955" w:rsidRPr="000028C3" w:rsidRDefault="008B1955" w:rsidP="005B6B71">
            <w:pPr>
              <w:jc w:val="both"/>
            </w:pPr>
            <w:r w:rsidRPr="000028C3">
              <w:t>Показатель</w:t>
            </w:r>
          </w:p>
        </w:tc>
        <w:tc>
          <w:tcPr>
            <w:tcW w:w="3258" w:type="pct"/>
          </w:tcPr>
          <w:p w14:paraId="4F4F1BC5" w14:textId="77777777" w:rsidR="008B1955" w:rsidRPr="000028C3" w:rsidRDefault="008B1955" w:rsidP="005B6B71">
            <w:pPr>
              <w:jc w:val="both"/>
            </w:pPr>
            <w:r w:rsidRPr="000028C3">
              <w:t>Формула расчета</w:t>
            </w:r>
          </w:p>
        </w:tc>
      </w:tr>
      <w:tr w:rsidR="008B1955" w:rsidRPr="000028C3" w14:paraId="7E7F10BE" w14:textId="77777777" w:rsidTr="006F39EA">
        <w:tc>
          <w:tcPr>
            <w:tcW w:w="1742" w:type="pct"/>
          </w:tcPr>
          <w:p w14:paraId="13D726C4" w14:textId="77777777" w:rsidR="008B1955" w:rsidRPr="000028C3" w:rsidRDefault="008B1955" w:rsidP="005B6B71">
            <w:pPr>
              <w:jc w:val="both"/>
              <w:rPr>
                <w:u w:val="single"/>
              </w:rPr>
            </w:pPr>
            <w:r w:rsidRPr="000028C3">
              <w:t>Рентабельность активов по РСБУ</w:t>
            </w:r>
            <w:r w:rsidR="003526E6" w:rsidRPr="000028C3">
              <w:t xml:space="preserve"> </w:t>
            </w:r>
            <w:r w:rsidRPr="000028C3">
              <w:t>(</w:t>
            </w:r>
            <w:r w:rsidRPr="000028C3">
              <w:rPr>
                <w:lang w:val="en-US"/>
              </w:rPr>
              <w:t>Return</w:t>
            </w:r>
            <w:r w:rsidRPr="000028C3">
              <w:t xml:space="preserve"> </w:t>
            </w:r>
            <w:r w:rsidRPr="000028C3">
              <w:rPr>
                <w:lang w:val="en-US"/>
              </w:rPr>
              <w:t>on</w:t>
            </w:r>
            <w:r w:rsidRPr="000028C3">
              <w:t xml:space="preserve"> </w:t>
            </w:r>
            <w:r w:rsidRPr="000028C3">
              <w:rPr>
                <w:lang w:val="en-US"/>
              </w:rPr>
              <w:t>Assets</w:t>
            </w:r>
            <w:r w:rsidRPr="000028C3">
              <w:t>)</w:t>
            </w:r>
          </w:p>
        </w:tc>
        <w:tc>
          <w:tcPr>
            <w:tcW w:w="3258" w:type="pct"/>
          </w:tcPr>
          <w:p w14:paraId="3FF6FC67" w14:textId="77777777" w:rsidR="008B1955" w:rsidRPr="000028C3" w:rsidRDefault="008B1955" w:rsidP="005B6B71">
            <w:pPr>
              <w:jc w:val="both"/>
            </w:pPr>
            <w:r w:rsidRPr="000028C3">
              <w:rPr>
                <w:lang w:val="en-US"/>
              </w:rPr>
              <w:t>ROA</w:t>
            </w:r>
            <w:r w:rsidRPr="000028C3">
              <w:t xml:space="preserve"> = ЧП</w:t>
            </w:r>
            <w:r w:rsidR="00273838" w:rsidRPr="000028C3">
              <w:t xml:space="preserve"> </w:t>
            </w:r>
            <w:r w:rsidRPr="000028C3">
              <w:t>/</w:t>
            </w:r>
            <w:r w:rsidR="00273838" w:rsidRPr="000028C3">
              <w:t xml:space="preserve"> </w:t>
            </w:r>
            <w:r w:rsidRPr="000028C3">
              <w:t>&lt;ВБ &gt;,</w:t>
            </w:r>
          </w:p>
          <w:p w14:paraId="013DD509" w14:textId="77777777" w:rsidR="008B1955" w:rsidRPr="000028C3" w:rsidRDefault="008B1955" w:rsidP="005B6B71">
            <w:pPr>
              <w:jc w:val="both"/>
            </w:pPr>
            <w:r w:rsidRPr="000028C3">
              <w:t>где:</w:t>
            </w:r>
          </w:p>
          <w:p w14:paraId="3C227709" w14:textId="77777777" w:rsidR="008B1955" w:rsidRPr="000028C3" w:rsidRDefault="008B1955" w:rsidP="005B6B71">
            <w:pPr>
              <w:jc w:val="both"/>
            </w:pPr>
            <w:r w:rsidRPr="000028C3">
              <w:t xml:space="preserve">ЧП – чистая прибыль компании </w:t>
            </w:r>
            <w:r w:rsidR="00F65E8C" w:rsidRPr="000028C3">
              <w:t>за 12 мес.</w:t>
            </w:r>
          </w:p>
          <w:p w14:paraId="113D7A07" w14:textId="583514A0" w:rsidR="008B1955" w:rsidRPr="000028C3" w:rsidRDefault="008B1955" w:rsidP="005B6B71">
            <w:pPr>
              <w:pStyle w:val="9"/>
              <w:spacing w:before="0" w:after="0"/>
              <w:jc w:val="both"/>
              <w:rPr>
                <w:rFonts w:ascii="Times New Roman" w:hAnsi="Times New Roman" w:cs="Times New Roman"/>
                <w:sz w:val="24"/>
                <w:szCs w:val="24"/>
              </w:rPr>
            </w:pPr>
            <w:r w:rsidRPr="000028C3">
              <w:rPr>
                <w:rFonts w:ascii="Times New Roman" w:hAnsi="Times New Roman" w:cs="Times New Roman"/>
                <w:sz w:val="24"/>
                <w:szCs w:val="24"/>
              </w:rPr>
              <w:t xml:space="preserve">&lt;ВБ&gt; – среднее за </w:t>
            </w:r>
            <w:r w:rsidR="00F65E8C" w:rsidRPr="000028C3">
              <w:rPr>
                <w:rFonts w:ascii="Times New Roman" w:hAnsi="Times New Roman" w:cs="Times New Roman"/>
                <w:sz w:val="24"/>
                <w:szCs w:val="24"/>
              </w:rPr>
              <w:t>12 мес.</w:t>
            </w:r>
            <w:r w:rsidRPr="000028C3">
              <w:rPr>
                <w:rFonts w:ascii="Times New Roman" w:hAnsi="Times New Roman" w:cs="Times New Roman"/>
                <w:sz w:val="24"/>
                <w:szCs w:val="24"/>
              </w:rPr>
              <w:t xml:space="preserve"> значение валюты баланса компании </w:t>
            </w:r>
          </w:p>
        </w:tc>
      </w:tr>
      <w:tr w:rsidR="008B1955" w:rsidRPr="000028C3" w14:paraId="71699851" w14:textId="77777777" w:rsidTr="006F39EA">
        <w:tc>
          <w:tcPr>
            <w:tcW w:w="1742" w:type="pct"/>
          </w:tcPr>
          <w:p w14:paraId="6BB23DAF" w14:textId="77777777" w:rsidR="008B1955" w:rsidRPr="000028C3" w:rsidRDefault="008B1955" w:rsidP="0039664F">
            <w:pPr>
              <w:jc w:val="both"/>
              <w:rPr>
                <w:u w:val="single"/>
              </w:rPr>
            </w:pPr>
            <w:r w:rsidRPr="000028C3">
              <w:t>Рентабельность собственного капитала по РСБУ</w:t>
            </w:r>
            <w:r w:rsidR="003526E6" w:rsidRPr="000028C3">
              <w:t xml:space="preserve"> </w:t>
            </w:r>
            <w:r w:rsidRPr="000028C3">
              <w:t>(</w:t>
            </w:r>
            <w:r w:rsidRPr="000028C3">
              <w:rPr>
                <w:lang w:val="en-US"/>
              </w:rPr>
              <w:t>Return</w:t>
            </w:r>
            <w:r w:rsidRPr="000028C3">
              <w:t xml:space="preserve"> </w:t>
            </w:r>
            <w:r w:rsidRPr="000028C3">
              <w:rPr>
                <w:lang w:val="en-US"/>
              </w:rPr>
              <w:t>on</w:t>
            </w:r>
            <w:r w:rsidRPr="000028C3">
              <w:t xml:space="preserve"> </w:t>
            </w:r>
            <w:r w:rsidRPr="000028C3">
              <w:rPr>
                <w:lang w:val="en-US"/>
              </w:rPr>
              <w:t>Equity</w:t>
            </w:r>
            <w:r w:rsidRPr="000028C3">
              <w:t>)</w:t>
            </w:r>
          </w:p>
        </w:tc>
        <w:tc>
          <w:tcPr>
            <w:tcW w:w="3258" w:type="pct"/>
          </w:tcPr>
          <w:p w14:paraId="2FF55BBC" w14:textId="77777777" w:rsidR="008B1955" w:rsidRPr="000028C3" w:rsidRDefault="008B1955" w:rsidP="0039664F">
            <w:pPr>
              <w:jc w:val="both"/>
            </w:pPr>
            <w:r w:rsidRPr="000028C3">
              <w:rPr>
                <w:lang w:val="en-US"/>
              </w:rPr>
              <w:t>ROE</w:t>
            </w:r>
            <w:r w:rsidRPr="000028C3">
              <w:t xml:space="preserve"> = ЧП</w:t>
            </w:r>
            <w:r w:rsidR="00273838" w:rsidRPr="000028C3">
              <w:t xml:space="preserve"> </w:t>
            </w:r>
            <w:r w:rsidRPr="000028C3">
              <w:t>/</w:t>
            </w:r>
            <w:r w:rsidR="00273838" w:rsidRPr="000028C3">
              <w:t xml:space="preserve"> </w:t>
            </w:r>
            <w:r w:rsidRPr="000028C3">
              <w:t>&lt;СК&gt;,</w:t>
            </w:r>
          </w:p>
          <w:p w14:paraId="72CD0A32" w14:textId="77777777" w:rsidR="008B1955" w:rsidRPr="000028C3" w:rsidRDefault="008B1955" w:rsidP="0039664F">
            <w:pPr>
              <w:jc w:val="both"/>
            </w:pPr>
            <w:r w:rsidRPr="000028C3">
              <w:t>где:</w:t>
            </w:r>
          </w:p>
          <w:p w14:paraId="3F0D0445" w14:textId="4F96CAE6" w:rsidR="008B1955" w:rsidRPr="000028C3" w:rsidRDefault="008B1955" w:rsidP="0039664F">
            <w:pPr>
              <w:pStyle w:val="9"/>
              <w:spacing w:before="0" w:after="0"/>
              <w:jc w:val="both"/>
              <w:rPr>
                <w:rFonts w:ascii="Times New Roman" w:hAnsi="Times New Roman" w:cs="Times New Roman"/>
                <w:sz w:val="24"/>
                <w:szCs w:val="24"/>
              </w:rPr>
            </w:pPr>
            <w:r w:rsidRPr="000028C3">
              <w:rPr>
                <w:rFonts w:ascii="Times New Roman" w:hAnsi="Times New Roman" w:cs="Times New Roman"/>
                <w:sz w:val="24"/>
                <w:szCs w:val="24"/>
              </w:rPr>
              <w:t xml:space="preserve">&lt;СК&gt; – </w:t>
            </w:r>
            <w:r w:rsidR="00BD7B03" w:rsidRPr="000028C3">
              <w:rPr>
                <w:rFonts w:ascii="Times New Roman" w:hAnsi="Times New Roman" w:cs="Times New Roman"/>
                <w:sz w:val="24"/>
                <w:szCs w:val="24"/>
              </w:rPr>
              <w:t xml:space="preserve"> среднее за </w:t>
            </w:r>
            <w:r w:rsidR="00F65E8C" w:rsidRPr="000028C3">
              <w:rPr>
                <w:rFonts w:ascii="Times New Roman" w:hAnsi="Times New Roman" w:cs="Times New Roman"/>
                <w:sz w:val="24"/>
                <w:szCs w:val="24"/>
              </w:rPr>
              <w:t xml:space="preserve">12 мес. значение </w:t>
            </w:r>
            <w:r w:rsidR="00051B2D" w:rsidRPr="000028C3">
              <w:rPr>
                <w:rFonts w:ascii="Times New Roman" w:hAnsi="Times New Roman" w:cs="Times New Roman"/>
                <w:sz w:val="24"/>
                <w:szCs w:val="24"/>
              </w:rPr>
              <w:t xml:space="preserve">собственного капитала </w:t>
            </w:r>
            <w:r w:rsidR="00F65E8C" w:rsidRPr="000028C3">
              <w:rPr>
                <w:rFonts w:ascii="Times New Roman" w:hAnsi="Times New Roman" w:cs="Times New Roman"/>
                <w:sz w:val="24"/>
                <w:szCs w:val="24"/>
              </w:rPr>
              <w:t>компании</w:t>
            </w:r>
          </w:p>
        </w:tc>
      </w:tr>
      <w:tr w:rsidR="008B1955" w:rsidRPr="000028C3" w14:paraId="60B721CC" w14:textId="77777777" w:rsidTr="006F39EA">
        <w:tc>
          <w:tcPr>
            <w:tcW w:w="1742" w:type="pct"/>
          </w:tcPr>
          <w:p w14:paraId="7B053FAD" w14:textId="77777777" w:rsidR="008B1955" w:rsidRPr="000028C3" w:rsidRDefault="008B1955" w:rsidP="0039664F">
            <w:pPr>
              <w:jc w:val="both"/>
            </w:pPr>
            <w:r w:rsidRPr="000028C3">
              <w:lastRenderedPageBreak/>
              <w:t>Скорректированная рентабельность капитала по РСБУ</w:t>
            </w:r>
          </w:p>
        </w:tc>
        <w:tc>
          <w:tcPr>
            <w:tcW w:w="3258" w:type="pct"/>
          </w:tcPr>
          <w:p w14:paraId="1368D18D" w14:textId="77777777" w:rsidR="008B1955" w:rsidRPr="000028C3" w:rsidRDefault="008B1955" w:rsidP="0039664F">
            <w:pPr>
              <w:jc w:val="both"/>
            </w:pPr>
            <w:r w:rsidRPr="000028C3">
              <w:rPr>
                <w:lang w:val="en-US"/>
              </w:rPr>
              <w:t>ROE</w:t>
            </w:r>
            <w:r w:rsidRPr="000028C3">
              <w:t xml:space="preserve"> = (ЧП</w:t>
            </w:r>
            <w:r w:rsidR="00273838" w:rsidRPr="000028C3">
              <w:t xml:space="preserve"> </w:t>
            </w:r>
            <w:r w:rsidRPr="000028C3">
              <w:t>–</w:t>
            </w:r>
            <w:r w:rsidR="00273838" w:rsidRPr="000028C3">
              <w:t xml:space="preserve"> </w:t>
            </w:r>
            <w:r w:rsidRPr="000028C3">
              <w:t>изменение резервов*)</w:t>
            </w:r>
            <w:r w:rsidR="00273838" w:rsidRPr="000028C3">
              <w:t xml:space="preserve"> </w:t>
            </w:r>
            <w:r w:rsidRPr="000028C3">
              <w:t>/</w:t>
            </w:r>
            <w:r w:rsidR="00273838" w:rsidRPr="000028C3">
              <w:t xml:space="preserve"> </w:t>
            </w:r>
            <w:r w:rsidRPr="000028C3">
              <w:t>&lt;СК&gt; за 24 месяца с переводом в годовое выражение</w:t>
            </w:r>
          </w:p>
          <w:p w14:paraId="373BD1E2" w14:textId="77777777" w:rsidR="008B1955" w:rsidRPr="000028C3" w:rsidRDefault="008B1955" w:rsidP="0039664F">
            <w:pPr>
              <w:tabs>
                <w:tab w:val="left" w:pos="972"/>
              </w:tabs>
              <w:jc w:val="both"/>
            </w:pPr>
            <w:r w:rsidRPr="000028C3">
              <w:t>где:</w:t>
            </w:r>
            <w:r w:rsidRPr="000028C3">
              <w:tab/>
            </w:r>
          </w:p>
          <w:p w14:paraId="0CEFA5C5" w14:textId="06E7863B" w:rsidR="008B1955" w:rsidRPr="000028C3" w:rsidRDefault="00BD7B03" w:rsidP="0039664F">
            <w:pPr>
              <w:jc w:val="both"/>
            </w:pPr>
            <w:r w:rsidRPr="000028C3">
              <w:t xml:space="preserve">&lt;СК&gt; </w:t>
            </w:r>
            <w:r w:rsidR="008B1955" w:rsidRPr="000028C3">
              <w:t>– средняя за период величина капитала</w:t>
            </w:r>
          </w:p>
        </w:tc>
      </w:tr>
      <w:tr w:rsidR="008B1955" w:rsidRPr="000028C3" w14:paraId="1A9D9F5F" w14:textId="77777777" w:rsidTr="006F39EA">
        <w:tc>
          <w:tcPr>
            <w:tcW w:w="1742" w:type="pct"/>
          </w:tcPr>
          <w:p w14:paraId="6C9887E4" w14:textId="77777777" w:rsidR="008B1955" w:rsidRPr="000028C3" w:rsidRDefault="008B1955" w:rsidP="0039664F">
            <w:pPr>
              <w:jc w:val="both"/>
            </w:pPr>
            <w:r w:rsidRPr="000028C3">
              <w:t>Скорректированная рентабельность активов по РСБУ</w:t>
            </w:r>
          </w:p>
        </w:tc>
        <w:tc>
          <w:tcPr>
            <w:tcW w:w="3258" w:type="pct"/>
          </w:tcPr>
          <w:p w14:paraId="32A22E8A" w14:textId="77777777" w:rsidR="008B1955" w:rsidRPr="000028C3" w:rsidRDefault="008B1955" w:rsidP="0039664F">
            <w:pPr>
              <w:jc w:val="both"/>
            </w:pPr>
            <w:r w:rsidRPr="000028C3">
              <w:rPr>
                <w:lang w:val="en-US"/>
              </w:rPr>
              <w:t>RO</w:t>
            </w:r>
            <w:r w:rsidRPr="000028C3">
              <w:t>А = (ЧП</w:t>
            </w:r>
            <w:r w:rsidR="003526E6" w:rsidRPr="000028C3">
              <w:t xml:space="preserve"> </w:t>
            </w:r>
            <w:r w:rsidRPr="000028C3">
              <w:t>–</w:t>
            </w:r>
            <w:r w:rsidR="003526E6" w:rsidRPr="000028C3">
              <w:t xml:space="preserve"> </w:t>
            </w:r>
            <w:r w:rsidRPr="000028C3">
              <w:t>изменение резервов*)</w:t>
            </w:r>
            <w:r w:rsidR="003526E6" w:rsidRPr="000028C3">
              <w:t xml:space="preserve"> </w:t>
            </w:r>
            <w:r w:rsidRPr="000028C3">
              <w:t>/</w:t>
            </w:r>
            <w:r w:rsidR="003526E6" w:rsidRPr="000028C3">
              <w:t xml:space="preserve"> </w:t>
            </w:r>
            <w:r w:rsidRPr="000028C3">
              <w:t>&lt;А&gt; за 24 месяца, с переводом в</w:t>
            </w:r>
            <w:r w:rsidR="003526E6" w:rsidRPr="000028C3">
              <w:t xml:space="preserve"> </w:t>
            </w:r>
            <w:r w:rsidRPr="000028C3">
              <w:t>годовое выражение</w:t>
            </w:r>
          </w:p>
          <w:p w14:paraId="12E02F97" w14:textId="77777777" w:rsidR="008B1955" w:rsidRPr="000028C3" w:rsidRDefault="008B1955" w:rsidP="0039664F">
            <w:pPr>
              <w:tabs>
                <w:tab w:val="left" w:pos="972"/>
              </w:tabs>
              <w:jc w:val="both"/>
            </w:pPr>
            <w:r w:rsidRPr="000028C3">
              <w:t>где:</w:t>
            </w:r>
            <w:r w:rsidRPr="000028C3">
              <w:tab/>
            </w:r>
          </w:p>
          <w:p w14:paraId="3D8E63F6" w14:textId="7846538A" w:rsidR="008B1955" w:rsidRPr="000028C3" w:rsidRDefault="00BD7B03" w:rsidP="0039664F">
            <w:pPr>
              <w:jc w:val="both"/>
            </w:pPr>
            <w:r w:rsidRPr="000028C3">
              <w:t>&lt;А&gt;</w:t>
            </w:r>
            <w:r w:rsidR="008B1955" w:rsidRPr="000028C3">
              <w:t xml:space="preserve"> – средняя за период величина активов</w:t>
            </w:r>
          </w:p>
        </w:tc>
      </w:tr>
      <w:tr w:rsidR="003526E6" w:rsidRPr="000028C3" w14:paraId="2B336899" w14:textId="77777777" w:rsidTr="006F39EA">
        <w:tc>
          <w:tcPr>
            <w:tcW w:w="1742" w:type="pct"/>
          </w:tcPr>
          <w:p w14:paraId="2BF7D289" w14:textId="77777777" w:rsidR="003526E6" w:rsidRPr="000028C3" w:rsidRDefault="003526E6" w:rsidP="0039664F">
            <w:pPr>
              <w:jc w:val="both"/>
            </w:pPr>
            <w:r w:rsidRPr="000028C3">
              <w:t>Рентабельность капитала по МСФО</w:t>
            </w:r>
          </w:p>
        </w:tc>
        <w:tc>
          <w:tcPr>
            <w:tcW w:w="3258" w:type="pct"/>
          </w:tcPr>
          <w:p w14:paraId="5D548F22" w14:textId="77777777" w:rsidR="003526E6" w:rsidRPr="000028C3" w:rsidRDefault="003526E6" w:rsidP="0039664F">
            <w:pPr>
              <w:jc w:val="both"/>
            </w:pPr>
            <w:r w:rsidRPr="000028C3">
              <w:rPr>
                <w:lang w:val="en-US"/>
              </w:rPr>
              <w:t>ROE</w:t>
            </w:r>
            <w:r w:rsidRPr="000028C3">
              <w:t xml:space="preserve"> = ЧП / &lt;К&gt; за 2 завершившихся года, </w:t>
            </w:r>
          </w:p>
          <w:p w14:paraId="1004027E" w14:textId="77777777" w:rsidR="003526E6" w:rsidRPr="000028C3" w:rsidRDefault="003526E6" w:rsidP="0039664F">
            <w:pPr>
              <w:tabs>
                <w:tab w:val="left" w:pos="972"/>
              </w:tabs>
              <w:jc w:val="both"/>
            </w:pPr>
            <w:r w:rsidRPr="000028C3">
              <w:t>где:</w:t>
            </w:r>
          </w:p>
          <w:p w14:paraId="04E047E9" w14:textId="4F38CFDC" w:rsidR="003526E6" w:rsidRPr="000028C3" w:rsidRDefault="00691322" w:rsidP="0039664F">
            <w:pPr>
              <w:jc w:val="both"/>
            </w:pPr>
            <w:r w:rsidRPr="000028C3">
              <w:t xml:space="preserve">&lt;К&gt; </w:t>
            </w:r>
            <w:r w:rsidR="003526E6" w:rsidRPr="000028C3">
              <w:t>– средняя за период величина капитала</w:t>
            </w:r>
          </w:p>
        </w:tc>
      </w:tr>
      <w:tr w:rsidR="003526E6" w:rsidRPr="000028C3" w14:paraId="50FA0A24" w14:textId="77777777" w:rsidTr="006F39EA">
        <w:tc>
          <w:tcPr>
            <w:tcW w:w="1742" w:type="pct"/>
          </w:tcPr>
          <w:p w14:paraId="6E407CD6" w14:textId="77777777" w:rsidR="003526E6" w:rsidRPr="000028C3" w:rsidRDefault="003526E6" w:rsidP="0039664F">
            <w:pPr>
              <w:jc w:val="both"/>
            </w:pPr>
            <w:r w:rsidRPr="000028C3">
              <w:t>Рентабельность активов по МСФО</w:t>
            </w:r>
          </w:p>
        </w:tc>
        <w:tc>
          <w:tcPr>
            <w:tcW w:w="3258" w:type="pct"/>
          </w:tcPr>
          <w:p w14:paraId="3B0213FB" w14:textId="77777777" w:rsidR="003526E6" w:rsidRPr="000028C3" w:rsidRDefault="003526E6" w:rsidP="0039664F">
            <w:pPr>
              <w:jc w:val="both"/>
            </w:pPr>
            <w:r w:rsidRPr="000028C3">
              <w:rPr>
                <w:lang w:val="en-US"/>
              </w:rPr>
              <w:t>RO</w:t>
            </w:r>
            <w:r w:rsidRPr="000028C3">
              <w:t xml:space="preserve">А = ЧП / &lt;А&gt; за 2 завершившихся года, </w:t>
            </w:r>
          </w:p>
          <w:p w14:paraId="59C54FEF" w14:textId="77777777" w:rsidR="003526E6" w:rsidRPr="000028C3" w:rsidRDefault="003526E6" w:rsidP="0039664F">
            <w:pPr>
              <w:tabs>
                <w:tab w:val="left" w:pos="972"/>
              </w:tabs>
              <w:jc w:val="both"/>
            </w:pPr>
            <w:r w:rsidRPr="000028C3">
              <w:t>где:</w:t>
            </w:r>
            <w:r w:rsidRPr="000028C3">
              <w:tab/>
            </w:r>
          </w:p>
          <w:p w14:paraId="0198762B" w14:textId="5E05F5B7" w:rsidR="003526E6" w:rsidRPr="000028C3" w:rsidRDefault="00691322" w:rsidP="0039664F">
            <w:pPr>
              <w:jc w:val="both"/>
            </w:pPr>
            <w:r w:rsidRPr="000028C3">
              <w:t>ЧП</w:t>
            </w:r>
            <w:r w:rsidR="003526E6" w:rsidRPr="000028C3">
              <w:t xml:space="preserve"> – чистая прибыль</w:t>
            </w:r>
          </w:p>
        </w:tc>
      </w:tr>
    </w:tbl>
    <w:p w14:paraId="2363DB9A" w14:textId="77777777" w:rsidR="008B1955" w:rsidRPr="000028C3" w:rsidRDefault="008B1955" w:rsidP="0039664F">
      <w:pPr>
        <w:pStyle w:val="ad"/>
        <w:spacing w:before="0" w:beforeAutospacing="0" w:after="0" w:afterAutospacing="0"/>
        <w:ind w:firstLine="567"/>
        <w:jc w:val="both"/>
        <w:rPr>
          <w:vanish/>
          <w:highlight w:val="yellow"/>
        </w:rPr>
      </w:pPr>
    </w:p>
    <w:p w14:paraId="48EC5DB0" w14:textId="77777777" w:rsidR="008B1955" w:rsidRPr="000028C3" w:rsidRDefault="008B1955" w:rsidP="0039664F">
      <w:pPr>
        <w:rPr>
          <w:rFonts w:eastAsia="Calibri"/>
          <w:szCs w:val="22"/>
          <w:lang w:eastAsia="en-US"/>
        </w:rPr>
      </w:pPr>
      <w:r w:rsidRPr="000028C3">
        <w:rPr>
          <w:rFonts w:eastAsia="Calibri"/>
          <w:szCs w:val="22"/>
          <w:lang w:eastAsia="en-US"/>
        </w:rPr>
        <w:t xml:space="preserve">* Изменение резервов – </w:t>
      </w:r>
      <w:proofErr w:type="spellStart"/>
      <w:r w:rsidRPr="000028C3">
        <w:rPr>
          <w:rFonts w:eastAsia="Calibri"/>
          <w:szCs w:val="22"/>
          <w:lang w:eastAsia="en-US"/>
        </w:rPr>
        <w:t>досоздание</w:t>
      </w:r>
      <w:proofErr w:type="spellEnd"/>
      <w:r w:rsidRPr="000028C3">
        <w:rPr>
          <w:rFonts w:eastAsia="Calibri"/>
          <w:szCs w:val="22"/>
          <w:lang w:eastAsia="en-US"/>
        </w:rPr>
        <w:t xml:space="preserve"> резервов за вычетом их восстановления</w:t>
      </w:r>
      <w:r w:rsidR="00051B2D" w:rsidRPr="000028C3">
        <w:rPr>
          <w:rFonts w:eastAsia="Calibri"/>
          <w:szCs w:val="22"/>
          <w:lang w:eastAsia="en-US"/>
        </w:rPr>
        <w:t>.</w:t>
      </w:r>
    </w:p>
    <w:p w14:paraId="2ED3125D" w14:textId="77777777" w:rsidR="009E59FF" w:rsidRPr="000028C3" w:rsidRDefault="009E59FF" w:rsidP="0039664F">
      <w:pPr>
        <w:rPr>
          <w:rFonts w:eastAsia="Calibri"/>
          <w:szCs w:val="22"/>
          <w:lang w:eastAsia="en-US"/>
        </w:rPr>
      </w:pPr>
    </w:p>
    <w:p w14:paraId="72744310" w14:textId="77777777" w:rsidR="008B1955" w:rsidRPr="000028C3" w:rsidRDefault="008B1955" w:rsidP="0098669D">
      <w:pPr>
        <w:pStyle w:val="3"/>
        <w:numPr>
          <w:ilvl w:val="1"/>
          <w:numId w:val="17"/>
        </w:numPr>
        <w:spacing w:before="0" w:after="0"/>
        <w:rPr>
          <w:rFonts w:ascii="Times New Roman" w:hAnsi="Times New Roman" w:cs="Times New Roman"/>
        </w:rPr>
      </w:pPr>
      <w:bookmarkStart w:id="60" w:name="_Toc447270441"/>
      <w:bookmarkStart w:id="61" w:name="_Toc39667625"/>
      <w:r w:rsidRPr="000028C3">
        <w:rPr>
          <w:rFonts w:ascii="Times New Roman" w:hAnsi="Times New Roman" w:cs="Times New Roman"/>
        </w:rPr>
        <w:t>Ресурсная база</w:t>
      </w:r>
      <w:bookmarkEnd w:id="60"/>
      <w:bookmarkEnd w:id="61"/>
    </w:p>
    <w:p w14:paraId="7CAD752E" w14:textId="77777777" w:rsidR="0039664F" w:rsidRPr="000028C3" w:rsidRDefault="0039664F" w:rsidP="0039664F">
      <w:pPr>
        <w:pStyle w:val="ad"/>
        <w:spacing w:before="0" w:beforeAutospacing="0" w:after="0" w:afterAutospacing="0"/>
        <w:ind w:firstLine="567"/>
        <w:jc w:val="both"/>
        <w:rPr>
          <w:u w:val="single"/>
        </w:rPr>
      </w:pPr>
    </w:p>
    <w:p w14:paraId="098E6046" w14:textId="77777777" w:rsidR="0039664F" w:rsidRPr="000028C3" w:rsidRDefault="00D9419D" w:rsidP="0039664F">
      <w:pPr>
        <w:pStyle w:val="ad"/>
        <w:spacing w:before="0" w:beforeAutospacing="0" w:after="0" w:afterAutospacing="0"/>
        <w:ind w:firstLine="567"/>
        <w:jc w:val="both"/>
        <w:rPr>
          <w:u w:val="single"/>
        </w:rPr>
      </w:pPr>
      <w:r w:rsidRPr="000028C3">
        <w:rPr>
          <w:u w:val="single"/>
        </w:rPr>
        <w:t>Цель оценки</w:t>
      </w:r>
    </w:p>
    <w:p w14:paraId="713DAF60" w14:textId="1F575D9F" w:rsidR="00D9419D" w:rsidRPr="000028C3" w:rsidRDefault="0039664F" w:rsidP="0039664F">
      <w:pPr>
        <w:pStyle w:val="ad"/>
        <w:spacing w:before="0" w:beforeAutospacing="0" w:after="0" w:afterAutospacing="0"/>
        <w:ind w:firstLine="567"/>
        <w:jc w:val="both"/>
      </w:pPr>
      <w:r w:rsidRPr="000028C3">
        <w:t>П</w:t>
      </w:r>
      <w:r w:rsidR="000C4021" w:rsidRPr="000028C3">
        <w:t>роанализировать риски</w:t>
      </w:r>
      <w:r w:rsidR="00D9419D" w:rsidRPr="000028C3">
        <w:t>, связанные с недостаточной диверсификацией ресурсной базы и ее нестабильностью, в т.</w:t>
      </w:r>
      <w:r w:rsidR="006745D9" w:rsidRPr="000028C3">
        <w:t xml:space="preserve"> </w:t>
      </w:r>
      <w:r w:rsidR="00D9419D" w:rsidRPr="000028C3">
        <w:t xml:space="preserve">ч. из-за крупных выплат, а также возможности </w:t>
      </w:r>
      <w:r w:rsidR="006479D8" w:rsidRPr="000028C3">
        <w:t>компании</w:t>
      </w:r>
      <w:r w:rsidR="00D9419D" w:rsidRPr="000028C3">
        <w:t xml:space="preserve"> по управлению этими рисками за счет привлечения дополнительной ликвидности.</w:t>
      </w:r>
    </w:p>
    <w:p w14:paraId="667DEBBC" w14:textId="77777777" w:rsidR="006745D9" w:rsidRPr="000028C3" w:rsidRDefault="00D9419D" w:rsidP="0039664F">
      <w:pPr>
        <w:pStyle w:val="ad"/>
        <w:spacing w:before="0" w:beforeAutospacing="0" w:after="0" w:afterAutospacing="0"/>
        <w:ind w:firstLine="567"/>
        <w:jc w:val="both"/>
        <w:rPr>
          <w:highlight w:val="yellow"/>
        </w:rPr>
      </w:pPr>
      <w:r w:rsidRPr="000028C3">
        <w:t xml:space="preserve">Высокая концентрация пассивов на </w:t>
      </w:r>
      <w:r w:rsidR="006479D8" w:rsidRPr="000028C3">
        <w:t>узкой группе</w:t>
      </w:r>
      <w:r w:rsidRPr="000028C3">
        <w:t xml:space="preserve"> кредиторов негативно оценивается </w:t>
      </w:r>
      <w:r w:rsidR="006745D9" w:rsidRPr="000028C3">
        <w:t>А</w:t>
      </w:r>
      <w:r w:rsidRPr="000028C3">
        <w:t xml:space="preserve">гентством, так как ухудшение финансового положения </w:t>
      </w:r>
      <w:r w:rsidR="006745D9" w:rsidRPr="000028C3">
        <w:t>этой</w:t>
      </w:r>
      <w:r w:rsidRPr="000028C3">
        <w:t xml:space="preserve"> группы кредиторов может выразиться в значительных колебаниях ресурсной базы </w:t>
      </w:r>
      <w:r w:rsidR="00363662" w:rsidRPr="000028C3">
        <w:t>компании</w:t>
      </w:r>
      <w:r w:rsidRPr="000028C3">
        <w:t xml:space="preserve"> и снижении показателей ликвидности. Значительные выплаты могут привести к резким колебаниям ликвидности, что также </w:t>
      </w:r>
      <w:r w:rsidR="006745D9" w:rsidRPr="000028C3">
        <w:t xml:space="preserve">оценивается </w:t>
      </w:r>
      <w:r w:rsidRPr="000028C3">
        <w:t xml:space="preserve">негативно. </w:t>
      </w:r>
      <w:r w:rsidR="006479D8" w:rsidRPr="000028C3">
        <w:t xml:space="preserve">Отсутствие доступных источников дополнительной ликвидности в случае реализации стрессового сценария не позволит компании оперативно маневрировать ресурсами и может приводить к повышенным рискам ликвидности, что также </w:t>
      </w:r>
      <w:r w:rsidR="006745D9" w:rsidRPr="000028C3">
        <w:t>отрицательно</w:t>
      </w:r>
      <w:r w:rsidR="006479D8" w:rsidRPr="000028C3">
        <w:t xml:space="preserve"> влияет на рейтинг.</w:t>
      </w:r>
    </w:p>
    <w:p w14:paraId="07C980DD" w14:textId="77777777" w:rsidR="006745D9" w:rsidRPr="000028C3" w:rsidRDefault="006745D9" w:rsidP="0039664F">
      <w:pPr>
        <w:jc w:val="both"/>
      </w:pPr>
    </w:p>
    <w:p w14:paraId="58615189" w14:textId="77777777" w:rsidR="008B1955" w:rsidRPr="000028C3" w:rsidRDefault="008B1955" w:rsidP="0098669D">
      <w:pPr>
        <w:pStyle w:val="3"/>
        <w:numPr>
          <w:ilvl w:val="2"/>
          <w:numId w:val="17"/>
        </w:numPr>
        <w:spacing w:before="0" w:after="0"/>
        <w:rPr>
          <w:rFonts w:ascii="Times New Roman" w:hAnsi="Times New Roman" w:cs="Times New Roman"/>
        </w:rPr>
      </w:pPr>
      <w:bookmarkStart w:id="62" w:name="_Toc447270442"/>
      <w:bookmarkStart w:id="63" w:name="_Toc39667626"/>
      <w:r w:rsidRPr="000028C3">
        <w:rPr>
          <w:rFonts w:ascii="Times New Roman" w:hAnsi="Times New Roman" w:cs="Times New Roman"/>
        </w:rPr>
        <w:t>Диверсификация ресурсной базы по кредиторам</w:t>
      </w:r>
      <w:bookmarkEnd w:id="62"/>
      <w:bookmarkEnd w:id="63"/>
    </w:p>
    <w:p w14:paraId="655D7B06" w14:textId="77777777" w:rsidR="0039664F" w:rsidRPr="000028C3" w:rsidRDefault="0039664F" w:rsidP="0039664F">
      <w:pPr>
        <w:pStyle w:val="ad"/>
        <w:spacing w:before="0" w:beforeAutospacing="0" w:after="0" w:afterAutospacing="0"/>
        <w:ind w:firstLine="567"/>
        <w:jc w:val="both"/>
        <w:rPr>
          <w:u w:val="single"/>
        </w:rPr>
      </w:pPr>
    </w:p>
    <w:p w14:paraId="2881D7E7" w14:textId="5B3F07C7" w:rsidR="008B1955" w:rsidRPr="000028C3" w:rsidRDefault="0039664F"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1844784F" w14:textId="77777777" w:rsidR="006745D9" w:rsidRPr="000028C3" w:rsidRDefault="007E438C" w:rsidP="0039664F">
      <w:pPr>
        <w:pStyle w:val="ad"/>
        <w:spacing w:before="0" w:beforeAutospacing="0" w:after="0" w:afterAutospacing="0"/>
        <w:ind w:firstLine="567"/>
        <w:jc w:val="both"/>
      </w:pPr>
      <w:r w:rsidRPr="000028C3">
        <w:t xml:space="preserve">Оцениваемые показатели относятся к показателям с коротким хвостом. </w:t>
      </w:r>
      <w:r w:rsidR="006745D9" w:rsidRPr="000028C3">
        <w:t>Используется непрерывная линейная оценка.</w:t>
      </w:r>
    </w:p>
    <w:p w14:paraId="15C83BCE" w14:textId="77777777" w:rsidR="006745D9" w:rsidRPr="000028C3" w:rsidRDefault="006745D9" w:rsidP="0039664F">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6354"/>
        <w:gridCol w:w="1648"/>
        <w:gridCol w:w="662"/>
        <w:gridCol w:w="681"/>
      </w:tblGrid>
      <w:tr w:rsidR="006745D9" w:rsidRPr="000028C3" w14:paraId="60F006AA" w14:textId="77777777" w:rsidTr="00677F5A">
        <w:trPr>
          <w:trHeight w:val="20"/>
        </w:trPr>
        <w:tc>
          <w:tcPr>
            <w:tcW w:w="3059" w:type="pct"/>
            <w:shd w:val="clear" w:color="auto" w:fill="FFFFFF"/>
            <w:vAlign w:val="center"/>
          </w:tcPr>
          <w:p w14:paraId="3DAAFDCA" w14:textId="458C7729" w:rsidR="006745D9" w:rsidRPr="000028C3" w:rsidRDefault="006745D9" w:rsidP="0039664F">
            <w:pPr>
              <w:rPr>
                <w:bCs/>
              </w:rPr>
            </w:pPr>
            <w:r w:rsidRPr="000028C3">
              <w:rPr>
                <w:bCs/>
              </w:rPr>
              <w:t> </w:t>
            </w:r>
            <w:r w:rsidR="009D0B14" w:rsidRPr="000028C3">
              <w:t>Показатель</w:t>
            </w:r>
          </w:p>
        </w:tc>
        <w:tc>
          <w:tcPr>
            <w:tcW w:w="827" w:type="pct"/>
            <w:shd w:val="clear" w:color="auto" w:fill="FFFFFF"/>
            <w:vAlign w:val="center"/>
          </w:tcPr>
          <w:p w14:paraId="63D711D0" w14:textId="77777777" w:rsidR="006745D9" w:rsidRPr="000028C3" w:rsidRDefault="006745D9" w:rsidP="0039664F">
            <w:pPr>
              <w:jc w:val="center"/>
              <w:rPr>
                <w:bCs/>
              </w:rPr>
            </w:pPr>
            <w:r w:rsidRPr="000028C3">
              <w:rPr>
                <w:bCs/>
              </w:rPr>
              <w:t>Определение оценки</w:t>
            </w:r>
          </w:p>
        </w:tc>
        <w:tc>
          <w:tcPr>
            <w:tcW w:w="552" w:type="pct"/>
            <w:shd w:val="clear" w:color="auto" w:fill="FFFFFF"/>
            <w:vAlign w:val="center"/>
          </w:tcPr>
          <w:p w14:paraId="4CD333D3" w14:textId="77777777" w:rsidR="006745D9" w:rsidRPr="000028C3" w:rsidRDefault="006745D9" w:rsidP="0039664F">
            <w:pPr>
              <w:jc w:val="center"/>
              <w:rPr>
                <w:bCs/>
              </w:rPr>
            </w:pPr>
            <w:r w:rsidRPr="000028C3">
              <w:rPr>
                <w:bCs/>
              </w:rPr>
              <w:t>-1</w:t>
            </w:r>
          </w:p>
        </w:tc>
        <w:tc>
          <w:tcPr>
            <w:tcW w:w="562" w:type="pct"/>
            <w:shd w:val="clear" w:color="auto" w:fill="FFFFFF"/>
            <w:vAlign w:val="center"/>
          </w:tcPr>
          <w:p w14:paraId="5D7808A2" w14:textId="77777777" w:rsidR="006745D9" w:rsidRPr="000028C3" w:rsidRDefault="006745D9" w:rsidP="0039664F">
            <w:pPr>
              <w:jc w:val="center"/>
              <w:rPr>
                <w:bCs/>
              </w:rPr>
            </w:pPr>
            <w:r w:rsidRPr="000028C3">
              <w:rPr>
                <w:bCs/>
              </w:rPr>
              <w:t>1</w:t>
            </w:r>
          </w:p>
        </w:tc>
      </w:tr>
      <w:tr w:rsidR="006745D9" w:rsidRPr="000028C3" w14:paraId="750AA20B" w14:textId="77777777" w:rsidTr="00677F5A">
        <w:trPr>
          <w:trHeight w:val="20"/>
        </w:trPr>
        <w:tc>
          <w:tcPr>
            <w:tcW w:w="3059" w:type="pct"/>
            <w:shd w:val="clear" w:color="auto" w:fill="FFFFFF"/>
            <w:noWrap/>
            <w:vAlign w:val="bottom"/>
          </w:tcPr>
          <w:p w14:paraId="733CA376" w14:textId="37F57002" w:rsidR="006745D9" w:rsidRPr="000028C3" w:rsidRDefault="006745D9" w:rsidP="0039664F">
            <w:r w:rsidRPr="000028C3">
              <w:t xml:space="preserve">Доля </w:t>
            </w:r>
            <w:r w:rsidR="005E54B0" w:rsidRPr="000028C3">
              <w:t>трех</w:t>
            </w:r>
            <w:r w:rsidRPr="000028C3">
              <w:t xml:space="preserve"> крупнейших</w:t>
            </w:r>
            <w:r w:rsidR="00FF52B6" w:rsidRPr="000028C3">
              <w:t xml:space="preserve"> </w:t>
            </w:r>
            <w:r w:rsidRPr="000028C3">
              <w:t>кредиторов компании в пассивах</w:t>
            </w:r>
            <w:r w:rsidR="00BD7B03" w:rsidRPr="000028C3">
              <w:t>, %</w:t>
            </w:r>
          </w:p>
        </w:tc>
        <w:tc>
          <w:tcPr>
            <w:tcW w:w="827" w:type="pct"/>
            <w:vMerge w:val="restart"/>
            <w:shd w:val="clear" w:color="auto" w:fill="FFFFFF"/>
            <w:vAlign w:val="center"/>
          </w:tcPr>
          <w:p w14:paraId="7857E1CC" w14:textId="77777777" w:rsidR="006745D9" w:rsidRPr="000028C3" w:rsidRDefault="006745D9" w:rsidP="0039664F">
            <w:pPr>
              <w:jc w:val="center"/>
              <w:rPr>
                <w:highlight w:val="yellow"/>
              </w:rPr>
            </w:pPr>
            <w:r w:rsidRPr="000028C3">
              <w:t>Минимальная из двух</w:t>
            </w:r>
          </w:p>
        </w:tc>
        <w:tc>
          <w:tcPr>
            <w:tcW w:w="552" w:type="pct"/>
            <w:shd w:val="clear" w:color="auto" w:fill="FFFFFF"/>
            <w:vAlign w:val="center"/>
          </w:tcPr>
          <w:p w14:paraId="5E7E39BB" w14:textId="35440174" w:rsidR="006745D9" w:rsidRPr="000028C3" w:rsidRDefault="00BD7B03" w:rsidP="0039664F">
            <w:pPr>
              <w:jc w:val="center"/>
            </w:pPr>
            <w:r w:rsidRPr="000028C3">
              <w:t>≥ 95</w:t>
            </w:r>
          </w:p>
        </w:tc>
        <w:tc>
          <w:tcPr>
            <w:tcW w:w="562" w:type="pct"/>
            <w:shd w:val="clear" w:color="auto" w:fill="FFFFFF"/>
            <w:vAlign w:val="center"/>
          </w:tcPr>
          <w:p w14:paraId="2B79A70F" w14:textId="2E254930" w:rsidR="006745D9" w:rsidRPr="000028C3" w:rsidRDefault="00BD7B03" w:rsidP="0039664F">
            <w:pPr>
              <w:jc w:val="center"/>
            </w:pPr>
            <w:r w:rsidRPr="000028C3">
              <w:t>≤ 50</w:t>
            </w:r>
          </w:p>
        </w:tc>
      </w:tr>
      <w:tr w:rsidR="006745D9" w:rsidRPr="000028C3" w14:paraId="1984E579" w14:textId="77777777" w:rsidTr="00677F5A">
        <w:trPr>
          <w:trHeight w:val="20"/>
        </w:trPr>
        <w:tc>
          <w:tcPr>
            <w:tcW w:w="3059" w:type="pct"/>
            <w:shd w:val="clear" w:color="auto" w:fill="FFFFFF"/>
            <w:noWrap/>
            <w:vAlign w:val="bottom"/>
          </w:tcPr>
          <w:p w14:paraId="33F777A8" w14:textId="0DBCA46E" w:rsidR="006745D9" w:rsidRPr="000028C3" w:rsidRDefault="006745D9" w:rsidP="0039664F">
            <w:r w:rsidRPr="000028C3">
              <w:t>Доля крупнейшего</w:t>
            </w:r>
            <w:r w:rsidR="00FF52B6" w:rsidRPr="000028C3">
              <w:t xml:space="preserve"> </w:t>
            </w:r>
            <w:r w:rsidRPr="000028C3">
              <w:t>кредитора компании в пассивах</w:t>
            </w:r>
            <w:r w:rsidR="00BD7B03" w:rsidRPr="000028C3">
              <w:t>, %</w:t>
            </w:r>
          </w:p>
        </w:tc>
        <w:tc>
          <w:tcPr>
            <w:tcW w:w="827" w:type="pct"/>
            <w:vMerge/>
            <w:shd w:val="clear" w:color="auto" w:fill="FFFFFF"/>
            <w:vAlign w:val="center"/>
          </w:tcPr>
          <w:p w14:paraId="37B64505" w14:textId="77777777" w:rsidR="006745D9" w:rsidRPr="000028C3" w:rsidRDefault="006745D9" w:rsidP="0039664F">
            <w:pPr>
              <w:jc w:val="center"/>
              <w:rPr>
                <w:highlight w:val="yellow"/>
              </w:rPr>
            </w:pPr>
          </w:p>
        </w:tc>
        <w:tc>
          <w:tcPr>
            <w:tcW w:w="552" w:type="pct"/>
            <w:shd w:val="clear" w:color="auto" w:fill="FFFFFF"/>
            <w:vAlign w:val="center"/>
          </w:tcPr>
          <w:p w14:paraId="66829440" w14:textId="36C715BB" w:rsidR="006745D9" w:rsidRPr="000028C3" w:rsidRDefault="00BD7B03" w:rsidP="0039664F">
            <w:pPr>
              <w:jc w:val="center"/>
            </w:pPr>
            <w:r w:rsidRPr="000028C3">
              <w:t>≥ 55</w:t>
            </w:r>
          </w:p>
        </w:tc>
        <w:tc>
          <w:tcPr>
            <w:tcW w:w="562" w:type="pct"/>
            <w:shd w:val="clear" w:color="auto" w:fill="FFFFFF"/>
            <w:vAlign w:val="center"/>
          </w:tcPr>
          <w:p w14:paraId="3A7E475F" w14:textId="1F83DB23" w:rsidR="006745D9" w:rsidRPr="000028C3" w:rsidRDefault="00BD7B03" w:rsidP="0039664F">
            <w:pPr>
              <w:jc w:val="center"/>
            </w:pPr>
            <w:r w:rsidRPr="000028C3">
              <w:t>≤ 20</w:t>
            </w:r>
          </w:p>
        </w:tc>
      </w:tr>
    </w:tbl>
    <w:p w14:paraId="1A642442" w14:textId="77777777" w:rsidR="007E438C" w:rsidRPr="000028C3" w:rsidRDefault="007E438C" w:rsidP="0039664F">
      <w:pPr>
        <w:jc w:val="both"/>
        <w:rPr>
          <w:iCs/>
        </w:rPr>
      </w:pPr>
    </w:p>
    <w:p w14:paraId="5F6607C1" w14:textId="44577F5D" w:rsidR="00A81C83" w:rsidRPr="000028C3" w:rsidRDefault="00B10742" w:rsidP="0039664F">
      <w:pPr>
        <w:pStyle w:val="ad"/>
        <w:spacing w:before="0" w:beforeAutospacing="0" w:after="0" w:afterAutospacing="0"/>
        <w:ind w:firstLine="567"/>
        <w:jc w:val="both"/>
      </w:pPr>
      <w:r w:rsidRPr="000028C3">
        <w:t>При расчете показателей не учитываются кредиторы, аффилированные с объектом рейтинга</w:t>
      </w:r>
      <w:r w:rsidR="00A81C83" w:rsidRPr="000028C3">
        <w:t>,</w:t>
      </w:r>
      <w:r w:rsidR="00A81C83" w:rsidRPr="000028C3">
        <w:rPr>
          <w:iCs/>
        </w:rPr>
        <w:t xml:space="preserve"> если риски досрочного истребования по таким обязательствам оцениваются как невысокие</w:t>
      </w:r>
      <w:r w:rsidRPr="000028C3">
        <w:t xml:space="preserve">. </w:t>
      </w:r>
      <w:bookmarkStart w:id="64" w:name="_Hlk34149256"/>
      <w:r w:rsidR="00A81C83" w:rsidRPr="000028C3">
        <w:rPr>
          <w:bCs/>
        </w:rPr>
        <w:t>Выпущенные облигации в рамках одного выпуска относятся к одному несвязанному кредитору.</w:t>
      </w:r>
      <w:bookmarkEnd w:id="64"/>
    </w:p>
    <w:p w14:paraId="0ECFAE87" w14:textId="4E48F183" w:rsidR="00B60F91" w:rsidRPr="000028C3" w:rsidRDefault="00B10742" w:rsidP="0039664F">
      <w:pPr>
        <w:pStyle w:val="ad"/>
        <w:spacing w:before="0" w:beforeAutospacing="0" w:after="0" w:afterAutospacing="0"/>
        <w:ind w:firstLine="567"/>
        <w:jc w:val="both"/>
        <w:rPr>
          <w:iCs/>
        </w:rPr>
      </w:pPr>
      <w:r w:rsidRPr="000028C3">
        <w:rPr>
          <w:iCs/>
        </w:rPr>
        <w:t xml:space="preserve">Оценка может быть снижена (не более чем на 1) </w:t>
      </w:r>
      <w:r w:rsidR="00B60F91" w:rsidRPr="000028C3">
        <w:rPr>
          <w:iCs/>
        </w:rPr>
        <w:t>при одновременном выполнении следующих условий:</w:t>
      </w:r>
    </w:p>
    <w:p w14:paraId="50672D82" w14:textId="77777777" w:rsidR="00B60F91" w:rsidRPr="000028C3" w:rsidRDefault="00AF7A8C" w:rsidP="0098669D">
      <w:pPr>
        <w:pStyle w:val="af7"/>
        <w:numPr>
          <w:ilvl w:val="0"/>
          <w:numId w:val="35"/>
        </w:numPr>
        <w:jc w:val="both"/>
        <w:rPr>
          <w:rFonts w:ascii="Times New Roman" w:hAnsi="Times New Roman" w:cs="Times New Roman"/>
          <w:u w:val="single"/>
        </w:rPr>
      </w:pPr>
      <w:r w:rsidRPr="000028C3">
        <w:rPr>
          <w:rFonts w:ascii="Times New Roman" w:hAnsi="Times New Roman" w:cs="Times New Roman"/>
          <w:iCs/>
        </w:rPr>
        <w:t>объект рейтинга не является ключевым активом</w:t>
      </w:r>
      <w:r w:rsidR="00B60F91" w:rsidRPr="000028C3">
        <w:rPr>
          <w:rFonts w:ascii="Times New Roman" w:hAnsi="Times New Roman" w:cs="Times New Roman"/>
          <w:iCs/>
        </w:rPr>
        <w:t xml:space="preserve"> для</w:t>
      </w:r>
      <w:r w:rsidRPr="000028C3">
        <w:rPr>
          <w:rFonts w:ascii="Times New Roman" w:hAnsi="Times New Roman" w:cs="Times New Roman"/>
          <w:iCs/>
        </w:rPr>
        <w:t xml:space="preserve"> конечного бенефициара,</w:t>
      </w:r>
    </w:p>
    <w:p w14:paraId="2149C479" w14:textId="77777777" w:rsidR="00B60F91" w:rsidRPr="000028C3" w:rsidRDefault="00B60F91" w:rsidP="0098669D">
      <w:pPr>
        <w:pStyle w:val="af7"/>
        <w:numPr>
          <w:ilvl w:val="0"/>
          <w:numId w:val="35"/>
        </w:numPr>
        <w:jc w:val="both"/>
        <w:rPr>
          <w:rFonts w:ascii="Times New Roman" w:hAnsi="Times New Roman" w:cs="Times New Roman"/>
          <w:u w:val="single"/>
        </w:rPr>
      </w:pPr>
      <w:r w:rsidRPr="000028C3">
        <w:rPr>
          <w:rFonts w:ascii="Times New Roman" w:hAnsi="Times New Roman" w:cs="Times New Roman"/>
          <w:iCs/>
        </w:rPr>
        <w:lastRenderedPageBreak/>
        <w:t>в</w:t>
      </w:r>
      <w:r w:rsidR="00AF7A8C" w:rsidRPr="000028C3">
        <w:rPr>
          <w:rFonts w:ascii="Times New Roman" w:hAnsi="Times New Roman" w:cs="Times New Roman"/>
          <w:iCs/>
        </w:rPr>
        <w:t xml:space="preserve"> деятельности аффилированных с объектом рейтинга кредиторов выявлены </w:t>
      </w:r>
      <w:r w:rsidRPr="000028C3">
        <w:rPr>
          <w:rFonts w:ascii="Times New Roman" w:hAnsi="Times New Roman" w:cs="Times New Roman"/>
          <w:iCs/>
        </w:rPr>
        <w:t>значительные</w:t>
      </w:r>
      <w:r w:rsidR="00AF7A8C" w:rsidRPr="000028C3">
        <w:rPr>
          <w:rFonts w:ascii="Times New Roman" w:hAnsi="Times New Roman" w:cs="Times New Roman"/>
          <w:iCs/>
        </w:rPr>
        <w:t xml:space="preserve"> риск</w:t>
      </w:r>
      <w:r w:rsidRPr="000028C3">
        <w:rPr>
          <w:rFonts w:ascii="Times New Roman" w:hAnsi="Times New Roman" w:cs="Times New Roman"/>
          <w:iCs/>
        </w:rPr>
        <w:t>и</w:t>
      </w:r>
      <w:r w:rsidR="00AF7A8C" w:rsidRPr="000028C3">
        <w:rPr>
          <w:rFonts w:ascii="Times New Roman" w:hAnsi="Times New Roman" w:cs="Times New Roman"/>
          <w:iCs/>
        </w:rPr>
        <w:t xml:space="preserve">, которые с высокой вероятностью могут повлечь отток привлеченных от них средств на горизонте 12 месяцев, </w:t>
      </w:r>
    </w:p>
    <w:p w14:paraId="26030D2E" w14:textId="34A23490" w:rsidR="00F65E8C" w:rsidRPr="000028C3" w:rsidRDefault="00B60F91" w:rsidP="0098669D">
      <w:pPr>
        <w:pStyle w:val="af7"/>
        <w:numPr>
          <w:ilvl w:val="0"/>
          <w:numId w:val="35"/>
        </w:numPr>
        <w:jc w:val="both"/>
        <w:rPr>
          <w:rFonts w:ascii="Times New Roman" w:hAnsi="Times New Roman" w:cs="Times New Roman"/>
          <w:u w:val="single"/>
        </w:rPr>
      </w:pPr>
      <w:r w:rsidRPr="000028C3">
        <w:rPr>
          <w:rFonts w:ascii="Times New Roman" w:hAnsi="Times New Roman" w:cs="Times New Roman"/>
          <w:iCs/>
        </w:rPr>
        <w:t>к</w:t>
      </w:r>
      <w:r w:rsidR="00AF7A8C" w:rsidRPr="000028C3">
        <w:rPr>
          <w:rFonts w:ascii="Times New Roman" w:hAnsi="Times New Roman" w:cs="Times New Roman"/>
          <w:iCs/>
        </w:rPr>
        <w:t xml:space="preserve">онцентрация пассивов на </w:t>
      </w:r>
      <w:r w:rsidRPr="000028C3">
        <w:rPr>
          <w:rFonts w:ascii="Times New Roman" w:hAnsi="Times New Roman" w:cs="Times New Roman"/>
          <w:iCs/>
        </w:rPr>
        <w:t>кредиторах, афф</w:t>
      </w:r>
      <w:r w:rsidR="00BD7B03" w:rsidRPr="000028C3">
        <w:rPr>
          <w:rFonts w:ascii="Times New Roman" w:hAnsi="Times New Roman" w:cs="Times New Roman"/>
          <w:iCs/>
        </w:rPr>
        <w:t xml:space="preserve">илированных с объектом рейтинга, </w:t>
      </w:r>
      <w:r w:rsidRPr="000028C3">
        <w:rPr>
          <w:rFonts w:ascii="Times New Roman" w:hAnsi="Times New Roman" w:cs="Times New Roman"/>
          <w:iCs/>
        </w:rPr>
        <w:t xml:space="preserve">составляет </w:t>
      </w:r>
      <w:r w:rsidR="00AF7A8C" w:rsidRPr="000028C3">
        <w:rPr>
          <w:rFonts w:ascii="Times New Roman" w:hAnsi="Times New Roman" w:cs="Times New Roman"/>
          <w:iCs/>
        </w:rPr>
        <w:t>не менее 40% пассивов</w:t>
      </w:r>
      <w:r w:rsidR="00B10742" w:rsidRPr="000028C3">
        <w:rPr>
          <w:rFonts w:ascii="Times New Roman" w:hAnsi="Times New Roman" w:cs="Times New Roman"/>
          <w:iCs/>
        </w:rPr>
        <w:t>.</w:t>
      </w:r>
    </w:p>
    <w:p w14:paraId="5E1D7287" w14:textId="77777777" w:rsidR="007E438C" w:rsidRPr="000028C3" w:rsidRDefault="007E438C" w:rsidP="0039664F">
      <w:pPr>
        <w:rPr>
          <w:u w:val="single"/>
        </w:rPr>
      </w:pPr>
    </w:p>
    <w:p w14:paraId="2ABF9690" w14:textId="77777777" w:rsidR="008B1955" w:rsidRPr="000028C3" w:rsidRDefault="008B1955" w:rsidP="0098669D">
      <w:pPr>
        <w:pStyle w:val="3"/>
        <w:numPr>
          <w:ilvl w:val="2"/>
          <w:numId w:val="17"/>
        </w:numPr>
        <w:spacing w:before="0" w:after="0"/>
        <w:rPr>
          <w:rFonts w:ascii="Times New Roman" w:hAnsi="Times New Roman" w:cs="Times New Roman"/>
        </w:rPr>
      </w:pPr>
      <w:bookmarkStart w:id="65" w:name="_Toc447270443"/>
      <w:bookmarkStart w:id="66" w:name="_Toc39667627"/>
      <w:r w:rsidRPr="000028C3">
        <w:rPr>
          <w:rFonts w:ascii="Times New Roman" w:hAnsi="Times New Roman" w:cs="Times New Roman"/>
        </w:rPr>
        <w:t>Влияние крупных выплат</w:t>
      </w:r>
      <w:bookmarkEnd w:id="65"/>
      <w:bookmarkEnd w:id="66"/>
    </w:p>
    <w:p w14:paraId="3590DBB7" w14:textId="77777777" w:rsidR="0039664F" w:rsidRPr="000028C3" w:rsidRDefault="0039664F" w:rsidP="0039664F">
      <w:pPr>
        <w:pStyle w:val="ad"/>
        <w:spacing w:before="0" w:beforeAutospacing="0" w:after="0" w:afterAutospacing="0"/>
        <w:ind w:firstLine="567"/>
        <w:jc w:val="both"/>
        <w:rPr>
          <w:u w:val="single"/>
        </w:rPr>
      </w:pPr>
    </w:p>
    <w:p w14:paraId="12FFCCE9" w14:textId="543F6DDD" w:rsidR="006479D8" w:rsidRPr="000028C3" w:rsidRDefault="008B1955" w:rsidP="0039664F">
      <w:pPr>
        <w:pStyle w:val="ad"/>
        <w:spacing w:before="0" w:beforeAutospacing="0" w:after="0" w:afterAutospacing="0"/>
        <w:ind w:firstLine="567"/>
        <w:jc w:val="both"/>
      </w:pPr>
      <w:r w:rsidRPr="000028C3">
        <w:rPr>
          <w:u w:val="single"/>
        </w:rPr>
        <w:t>Алгоритм выставления оценки</w:t>
      </w:r>
    </w:p>
    <w:p w14:paraId="7A64BBC4" w14:textId="77777777" w:rsidR="007E438C" w:rsidRPr="000028C3" w:rsidRDefault="007E438C" w:rsidP="0039664F">
      <w:pPr>
        <w:pStyle w:val="ad"/>
        <w:spacing w:before="0" w:beforeAutospacing="0" w:after="0" w:afterAutospacing="0"/>
        <w:ind w:firstLine="567"/>
        <w:jc w:val="both"/>
      </w:pPr>
      <w:r w:rsidRPr="000028C3">
        <w:t>Показатель оценивается на последнюю квартальную дату (без хвоста).</w:t>
      </w:r>
    </w:p>
    <w:p w14:paraId="05844618" w14:textId="77777777" w:rsidR="007E438C" w:rsidRPr="000028C3" w:rsidRDefault="007E438C" w:rsidP="0039664F">
      <w:pPr>
        <w:jc w:val="both"/>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349"/>
      </w:tblGrid>
      <w:tr w:rsidR="007E438C" w:rsidRPr="000028C3" w14:paraId="60A53D1F" w14:textId="77777777" w:rsidTr="006F39EA">
        <w:tc>
          <w:tcPr>
            <w:tcW w:w="533" w:type="pct"/>
            <w:shd w:val="clear" w:color="auto" w:fill="auto"/>
            <w:vAlign w:val="center"/>
          </w:tcPr>
          <w:p w14:paraId="3E81ABCF" w14:textId="77777777" w:rsidR="008B1955" w:rsidRPr="000028C3" w:rsidRDefault="008B1955" w:rsidP="0039664F">
            <w:r w:rsidRPr="000028C3">
              <w:t>Оценка</w:t>
            </w:r>
          </w:p>
        </w:tc>
        <w:tc>
          <w:tcPr>
            <w:tcW w:w="4467" w:type="pct"/>
            <w:shd w:val="clear" w:color="auto" w:fill="auto"/>
            <w:vAlign w:val="center"/>
          </w:tcPr>
          <w:p w14:paraId="0FA8FAAB" w14:textId="77777777" w:rsidR="008B1955" w:rsidRPr="000028C3" w:rsidRDefault="007E438C" w:rsidP="0039664F">
            <w:pPr>
              <w:rPr>
                <w:lang w:val="en-US"/>
              </w:rPr>
            </w:pPr>
            <w:r w:rsidRPr="000028C3">
              <w:t>Критерии</w:t>
            </w:r>
          </w:p>
        </w:tc>
      </w:tr>
      <w:tr w:rsidR="000C4021" w:rsidRPr="000028C3" w14:paraId="737BDF41" w14:textId="77777777" w:rsidTr="006F39EA">
        <w:tc>
          <w:tcPr>
            <w:tcW w:w="533" w:type="pct"/>
            <w:shd w:val="clear" w:color="auto" w:fill="auto"/>
            <w:vAlign w:val="center"/>
          </w:tcPr>
          <w:p w14:paraId="3E26C7A5" w14:textId="77777777" w:rsidR="000C4021" w:rsidRPr="000028C3" w:rsidRDefault="000C4021" w:rsidP="0039664F">
            <w:pPr>
              <w:jc w:val="center"/>
            </w:pPr>
            <w:r w:rsidRPr="000028C3">
              <w:t>1</w:t>
            </w:r>
          </w:p>
        </w:tc>
        <w:tc>
          <w:tcPr>
            <w:tcW w:w="4467" w:type="pct"/>
            <w:shd w:val="clear" w:color="auto" w:fill="auto"/>
          </w:tcPr>
          <w:p w14:paraId="70C5E8AB" w14:textId="77777777" w:rsidR="000C4021" w:rsidRPr="000028C3" w:rsidRDefault="000C4021" w:rsidP="0039664F">
            <w:pPr>
              <w:numPr>
                <w:ilvl w:val="0"/>
                <w:numId w:val="1"/>
              </w:numPr>
              <w:tabs>
                <w:tab w:val="clear" w:pos="720"/>
              </w:tabs>
              <w:ind w:left="377"/>
              <w:jc w:val="both"/>
            </w:pPr>
            <w:r w:rsidRPr="000028C3">
              <w:t>Нет единовременных крупных выплат (рассматриваются обязательства, эквивалентные 2% активов, которые с высокой вероятностью будут предъявлены к погашению в предстоящие 15 месяцев: погашение субординированного кредита, погашение облигаций, в том числе досрочное по оферте, и тому подобное), по внебалансовым обязательствам (открытым лимитам) в том числе.</w:t>
            </w:r>
          </w:p>
        </w:tc>
      </w:tr>
      <w:tr w:rsidR="000C4021" w:rsidRPr="000028C3" w14:paraId="0797C700" w14:textId="77777777" w:rsidTr="006F39EA">
        <w:tc>
          <w:tcPr>
            <w:tcW w:w="533" w:type="pct"/>
            <w:shd w:val="clear" w:color="auto" w:fill="auto"/>
            <w:vAlign w:val="center"/>
          </w:tcPr>
          <w:p w14:paraId="7230B99F" w14:textId="77777777" w:rsidR="000C4021" w:rsidRPr="000028C3" w:rsidRDefault="000C4021" w:rsidP="0039664F">
            <w:pPr>
              <w:jc w:val="center"/>
            </w:pPr>
            <w:r w:rsidRPr="000028C3">
              <w:t>0,5</w:t>
            </w:r>
          </w:p>
        </w:tc>
        <w:tc>
          <w:tcPr>
            <w:tcW w:w="4467" w:type="pct"/>
            <w:shd w:val="clear" w:color="auto" w:fill="auto"/>
          </w:tcPr>
          <w:p w14:paraId="524DF016" w14:textId="77777777" w:rsidR="000C4021" w:rsidRPr="000028C3" w:rsidRDefault="000C4021" w:rsidP="0039664F">
            <w:pPr>
              <w:numPr>
                <w:ilvl w:val="0"/>
                <w:numId w:val="1"/>
              </w:numPr>
              <w:tabs>
                <w:tab w:val="clear" w:pos="720"/>
              </w:tabs>
              <w:ind w:left="377"/>
              <w:jc w:val="both"/>
            </w:pPr>
            <w:r w:rsidRPr="000028C3">
              <w:t>Есть крупные выплаты, но существует источник их погашения, либо копится ликвидность.</w:t>
            </w:r>
          </w:p>
          <w:p w14:paraId="1300686B" w14:textId="77777777" w:rsidR="000C4021" w:rsidRPr="000028C3" w:rsidRDefault="005834E4" w:rsidP="0039664F">
            <w:pPr>
              <w:numPr>
                <w:ilvl w:val="0"/>
                <w:numId w:val="1"/>
              </w:numPr>
              <w:tabs>
                <w:tab w:val="clear" w:pos="720"/>
              </w:tabs>
              <w:ind w:left="377"/>
              <w:jc w:val="both"/>
            </w:pPr>
            <w:r w:rsidRPr="000028C3">
              <w:t>Источник ликвидности для крупных выплат</w:t>
            </w:r>
            <w:r w:rsidR="000C4021" w:rsidRPr="000028C3">
              <w:t xml:space="preserve"> устойчив.</w:t>
            </w:r>
          </w:p>
          <w:p w14:paraId="11B27DFB" w14:textId="77777777" w:rsidR="000C4021" w:rsidRPr="000028C3" w:rsidRDefault="000C4021" w:rsidP="0039664F">
            <w:pPr>
              <w:numPr>
                <w:ilvl w:val="0"/>
                <w:numId w:val="1"/>
              </w:numPr>
              <w:tabs>
                <w:tab w:val="clear" w:pos="720"/>
              </w:tabs>
              <w:ind w:left="377"/>
              <w:jc w:val="both"/>
            </w:pPr>
            <w:r w:rsidRPr="000028C3">
              <w:t>Процесс накопления ликвидности не мешает развитию деятельности компании и не приводит к сворачиванию операций.</w:t>
            </w:r>
          </w:p>
        </w:tc>
      </w:tr>
      <w:tr w:rsidR="000C4021" w:rsidRPr="000028C3" w14:paraId="5C5BA05A" w14:textId="77777777" w:rsidTr="006F39EA">
        <w:tc>
          <w:tcPr>
            <w:tcW w:w="533" w:type="pct"/>
            <w:shd w:val="clear" w:color="auto" w:fill="auto"/>
            <w:vAlign w:val="center"/>
          </w:tcPr>
          <w:p w14:paraId="64BA030B" w14:textId="77777777" w:rsidR="000C4021" w:rsidRPr="000028C3" w:rsidRDefault="000C4021" w:rsidP="0039664F">
            <w:pPr>
              <w:jc w:val="center"/>
            </w:pPr>
            <w:r w:rsidRPr="000028C3">
              <w:t>0</w:t>
            </w:r>
          </w:p>
        </w:tc>
        <w:tc>
          <w:tcPr>
            <w:tcW w:w="4467" w:type="pct"/>
            <w:shd w:val="clear" w:color="auto" w:fill="auto"/>
          </w:tcPr>
          <w:p w14:paraId="4F13B81A" w14:textId="77777777" w:rsidR="000C4021" w:rsidRPr="000028C3" w:rsidRDefault="000C4021" w:rsidP="0039664F">
            <w:pPr>
              <w:numPr>
                <w:ilvl w:val="0"/>
                <w:numId w:val="1"/>
              </w:numPr>
              <w:tabs>
                <w:tab w:val="clear" w:pos="720"/>
              </w:tabs>
              <w:ind w:left="377"/>
              <w:jc w:val="both"/>
            </w:pPr>
            <w:r w:rsidRPr="000028C3">
              <w:t>Есть крупные выплаты, но существует источник их погашения, либо копится ликвидность.</w:t>
            </w:r>
          </w:p>
          <w:p w14:paraId="428AA7FE" w14:textId="77777777" w:rsidR="000C4021" w:rsidRPr="000028C3" w:rsidRDefault="000C4021" w:rsidP="0039664F">
            <w:pPr>
              <w:numPr>
                <w:ilvl w:val="0"/>
                <w:numId w:val="1"/>
              </w:numPr>
              <w:tabs>
                <w:tab w:val="clear" w:pos="720"/>
              </w:tabs>
              <w:ind w:left="377"/>
              <w:jc w:val="both"/>
            </w:pPr>
            <w:r w:rsidRPr="000028C3">
              <w:t>Источник погашения может быть подвержен рискам, но процесс накопления не мешает развитию деятельности компании и не приводит к сворачиванию операций.</w:t>
            </w:r>
          </w:p>
        </w:tc>
      </w:tr>
      <w:tr w:rsidR="000C4021" w:rsidRPr="000028C3" w14:paraId="5D282B25" w14:textId="77777777" w:rsidTr="006F39EA">
        <w:tc>
          <w:tcPr>
            <w:tcW w:w="533" w:type="pct"/>
            <w:shd w:val="clear" w:color="auto" w:fill="auto"/>
            <w:vAlign w:val="center"/>
          </w:tcPr>
          <w:p w14:paraId="422377CF" w14:textId="77777777" w:rsidR="000C4021" w:rsidRPr="000028C3" w:rsidRDefault="000C4021" w:rsidP="0039664F">
            <w:pPr>
              <w:jc w:val="center"/>
            </w:pPr>
            <w:r w:rsidRPr="000028C3">
              <w:t>-0,5</w:t>
            </w:r>
          </w:p>
        </w:tc>
        <w:tc>
          <w:tcPr>
            <w:tcW w:w="4467" w:type="pct"/>
            <w:shd w:val="clear" w:color="auto" w:fill="auto"/>
          </w:tcPr>
          <w:p w14:paraId="65B8153E" w14:textId="77777777" w:rsidR="000C4021" w:rsidRPr="000028C3" w:rsidRDefault="000C4021" w:rsidP="0039664F">
            <w:pPr>
              <w:numPr>
                <w:ilvl w:val="0"/>
                <w:numId w:val="1"/>
              </w:numPr>
              <w:tabs>
                <w:tab w:val="clear" w:pos="720"/>
              </w:tabs>
              <w:ind w:left="377"/>
              <w:jc w:val="both"/>
            </w:pPr>
            <w:r w:rsidRPr="000028C3">
              <w:t>Есть крупные выплаты, но существует источник их погашения.</w:t>
            </w:r>
          </w:p>
          <w:p w14:paraId="6213CB94" w14:textId="77777777" w:rsidR="000C4021" w:rsidRPr="000028C3" w:rsidRDefault="000C4021" w:rsidP="0039664F">
            <w:pPr>
              <w:numPr>
                <w:ilvl w:val="0"/>
                <w:numId w:val="1"/>
              </w:numPr>
              <w:tabs>
                <w:tab w:val="clear" w:pos="720"/>
              </w:tabs>
              <w:ind w:left="377"/>
              <w:jc w:val="both"/>
            </w:pPr>
            <w:r w:rsidRPr="000028C3">
              <w:t>Источник погашения может быть подвержен существенным рискам.</w:t>
            </w:r>
          </w:p>
          <w:p w14:paraId="2C75E7B9" w14:textId="77777777" w:rsidR="000C4021" w:rsidRPr="000028C3" w:rsidRDefault="000C4021" w:rsidP="0039664F">
            <w:pPr>
              <w:ind w:left="377"/>
              <w:jc w:val="center"/>
            </w:pPr>
          </w:p>
          <w:p w14:paraId="424780D2" w14:textId="77777777" w:rsidR="000C4021" w:rsidRPr="000028C3" w:rsidRDefault="000C4021" w:rsidP="0039664F">
            <w:pPr>
              <w:ind w:left="377"/>
              <w:jc w:val="center"/>
            </w:pPr>
            <w:r w:rsidRPr="000028C3">
              <w:t>или</w:t>
            </w:r>
          </w:p>
          <w:p w14:paraId="4C25BF3F" w14:textId="77777777" w:rsidR="000C4021" w:rsidRPr="000028C3" w:rsidRDefault="000C4021" w:rsidP="0039664F">
            <w:pPr>
              <w:ind w:left="377"/>
              <w:jc w:val="center"/>
            </w:pPr>
          </w:p>
          <w:p w14:paraId="5F26AE40" w14:textId="77777777" w:rsidR="000C4021" w:rsidRPr="000028C3" w:rsidRDefault="000C4021" w:rsidP="0039664F">
            <w:pPr>
              <w:numPr>
                <w:ilvl w:val="0"/>
                <w:numId w:val="1"/>
              </w:numPr>
              <w:tabs>
                <w:tab w:val="clear" w:pos="720"/>
              </w:tabs>
              <w:ind w:left="377"/>
              <w:jc w:val="both"/>
            </w:pPr>
            <w:r w:rsidRPr="000028C3">
              <w:t>Есть крупные выплаты, но копится ликвидность.</w:t>
            </w:r>
          </w:p>
          <w:p w14:paraId="69F7A956" w14:textId="77777777" w:rsidR="000C4021" w:rsidRPr="000028C3" w:rsidRDefault="000C4021" w:rsidP="0039664F">
            <w:pPr>
              <w:numPr>
                <w:ilvl w:val="0"/>
                <w:numId w:val="1"/>
              </w:numPr>
              <w:tabs>
                <w:tab w:val="clear" w:pos="720"/>
              </w:tabs>
              <w:ind w:left="377"/>
              <w:jc w:val="both"/>
            </w:pPr>
            <w:r w:rsidRPr="000028C3">
              <w:t>Процесс накопления мешает развитию деятельности компании и приводит к сворачиванию операций.</w:t>
            </w:r>
          </w:p>
        </w:tc>
      </w:tr>
      <w:tr w:rsidR="007E438C" w:rsidRPr="000028C3" w14:paraId="24F7368C" w14:textId="77777777" w:rsidTr="006F39EA">
        <w:tc>
          <w:tcPr>
            <w:tcW w:w="533" w:type="pct"/>
            <w:shd w:val="clear" w:color="auto" w:fill="auto"/>
            <w:vAlign w:val="center"/>
          </w:tcPr>
          <w:p w14:paraId="690C21A6" w14:textId="77777777" w:rsidR="008B1955" w:rsidRPr="000028C3" w:rsidRDefault="008B1955" w:rsidP="0039664F">
            <w:pPr>
              <w:jc w:val="center"/>
            </w:pPr>
            <w:r w:rsidRPr="000028C3">
              <w:t>-1</w:t>
            </w:r>
          </w:p>
        </w:tc>
        <w:tc>
          <w:tcPr>
            <w:tcW w:w="4467" w:type="pct"/>
            <w:shd w:val="clear" w:color="auto" w:fill="auto"/>
          </w:tcPr>
          <w:p w14:paraId="1173DD23" w14:textId="77777777" w:rsidR="008B1955" w:rsidRPr="000028C3" w:rsidRDefault="008B1955" w:rsidP="0039664F">
            <w:pPr>
              <w:numPr>
                <w:ilvl w:val="0"/>
                <w:numId w:val="1"/>
              </w:numPr>
              <w:tabs>
                <w:tab w:val="clear" w:pos="720"/>
              </w:tabs>
              <w:ind w:left="377"/>
              <w:jc w:val="both"/>
            </w:pPr>
            <w:r w:rsidRPr="000028C3">
              <w:t>Есть крупные выплаты (возможно принять к учету крупные внебалансовые обязательства, которые с высокой вероятностью компания будет вынуждена исполнить), при этом нет источника погашения, и ликвидность не копится.</w:t>
            </w:r>
          </w:p>
        </w:tc>
      </w:tr>
    </w:tbl>
    <w:p w14:paraId="3AF4607E" w14:textId="77777777" w:rsidR="00F65E8C" w:rsidRPr="000028C3" w:rsidRDefault="00F65E8C" w:rsidP="0039664F">
      <w:pPr>
        <w:jc w:val="both"/>
      </w:pPr>
    </w:p>
    <w:p w14:paraId="4C268E20" w14:textId="77777777" w:rsidR="007E438C" w:rsidRPr="000028C3" w:rsidRDefault="007E438C" w:rsidP="0039664F">
      <w:pPr>
        <w:pStyle w:val="ad"/>
        <w:spacing w:before="0" w:beforeAutospacing="0" w:after="0" w:afterAutospacing="0"/>
        <w:ind w:firstLine="567"/>
        <w:jc w:val="both"/>
      </w:pPr>
      <w:r w:rsidRPr="000028C3">
        <w:t>Н</w:t>
      </w:r>
      <w:r w:rsidR="008B1955" w:rsidRPr="000028C3">
        <w:t xml:space="preserve">есколько выплат, </w:t>
      </w:r>
      <w:r w:rsidRPr="000028C3">
        <w:t>превышающих</w:t>
      </w:r>
      <w:r w:rsidR="008B1955" w:rsidRPr="000028C3">
        <w:t xml:space="preserve"> </w:t>
      </w:r>
      <w:r w:rsidR="006479D8" w:rsidRPr="000028C3">
        <w:t>2</w:t>
      </w:r>
      <w:r w:rsidR="008B1955" w:rsidRPr="000028C3">
        <w:t>% активов компании</w:t>
      </w:r>
      <w:r w:rsidRPr="000028C3">
        <w:t xml:space="preserve"> и </w:t>
      </w:r>
      <w:r w:rsidR="008B1955" w:rsidRPr="000028C3">
        <w:t>приходя</w:t>
      </w:r>
      <w:r w:rsidRPr="000028C3">
        <w:t>щихся</w:t>
      </w:r>
      <w:r w:rsidR="008B1955" w:rsidRPr="000028C3">
        <w:t xml:space="preserve"> на короткий промежуток времени</w:t>
      </w:r>
      <w:r w:rsidR="00FA73E5" w:rsidRPr="000028C3">
        <w:t>,</w:t>
      </w:r>
      <w:r w:rsidRPr="000028C3">
        <w:t xml:space="preserve"> рассматриваются в качестве </w:t>
      </w:r>
      <w:r w:rsidR="008B1955" w:rsidRPr="000028C3">
        <w:t>одной выплат</w:t>
      </w:r>
      <w:r w:rsidRPr="000028C3">
        <w:t>ы</w:t>
      </w:r>
      <w:r w:rsidR="008B1955" w:rsidRPr="000028C3">
        <w:t>.</w:t>
      </w:r>
    </w:p>
    <w:p w14:paraId="7E273EFB" w14:textId="77777777" w:rsidR="007E438C" w:rsidRPr="000028C3" w:rsidRDefault="007E438C" w:rsidP="0039664F">
      <w:pPr>
        <w:jc w:val="both"/>
        <w:rPr>
          <w:highlight w:val="yellow"/>
        </w:rPr>
      </w:pPr>
    </w:p>
    <w:p w14:paraId="42A82FD3" w14:textId="77777777" w:rsidR="008B1955" w:rsidRPr="000028C3" w:rsidRDefault="008B1955" w:rsidP="0098669D">
      <w:pPr>
        <w:pStyle w:val="3"/>
        <w:numPr>
          <w:ilvl w:val="2"/>
          <w:numId w:val="17"/>
        </w:numPr>
        <w:spacing w:before="0" w:after="0"/>
        <w:rPr>
          <w:rFonts w:ascii="Times New Roman" w:hAnsi="Times New Roman" w:cs="Times New Roman"/>
        </w:rPr>
      </w:pPr>
      <w:bookmarkStart w:id="67" w:name="_Toc447270444"/>
      <w:bookmarkStart w:id="68" w:name="_Toc39667628"/>
      <w:r w:rsidRPr="000028C3">
        <w:rPr>
          <w:rFonts w:ascii="Times New Roman" w:hAnsi="Times New Roman" w:cs="Times New Roman"/>
        </w:rPr>
        <w:t>Доступность источников дополнительной ликвидности</w:t>
      </w:r>
      <w:bookmarkEnd w:id="67"/>
      <w:bookmarkEnd w:id="68"/>
    </w:p>
    <w:p w14:paraId="19FCC8BF" w14:textId="77777777" w:rsidR="0039664F" w:rsidRPr="000028C3" w:rsidRDefault="0039664F" w:rsidP="0039664F">
      <w:pPr>
        <w:pStyle w:val="ad"/>
        <w:spacing w:before="0" w:beforeAutospacing="0" w:after="0" w:afterAutospacing="0"/>
        <w:ind w:firstLine="567"/>
        <w:jc w:val="both"/>
        <w:rPr>
          <w:u w:val="single"/>
        </w:rPr>
      </w:pPr>
    </w:p>
    <w:p w14:paraId="493F893E" w14:textId="5E82D3A8" w:rsidR="008966F4" w:rsidRPr="000028C3" w:rsidRDefault="008966F4" w:rsidP="0039664F">
      <w:pPr>
        <w:pStyle w:val="ad"/>
        <w:spacing w:before="0" w:beforeAutospacing="0" w:after="0" w:afterAutospacing="0"/>
        <w:ind w:firstLine="567"/>
        <w:jc w:val="both"/>
      </w:pPr>
      <w:r w:rsidRPr="000028C3">
        <w:rPr>
          <w:u w:val="single"/>
        </w:rPr>
        <w:t>Алгоритм выставления оценки</w:t>
      </w:r>
    </w:p>
    <w:p w14:paraId="2580F654" w14:textId="77777777" w:rsidR="004573AB" w:rsidRPr="000028C3" w:rsidRDefault="008B1955" w:rsidP="0039664F">
      <w:pPr>
        <w:pStyle w:val="ad"/>
        <w:spacing w:before="0" w:beforeAutospacing="0" w:after="0" w:afterAutospacing="0"/>
        <w:ind w:firstLine="567"/>
        <w:jc w:val="both"/>
      </w:pPr>
      <w:r w:rsidRPr="000028C3">
        <w:t>При о</w:t>
      </w:r>
      <w:r w:rsidR="00C31DCA" w:rsidRPr="000028C3">
        <w:t>ценке фактора</w:t>
      </w:r>
      <w:r w:rsidRPr="000028C3">
        <w:t xml:space="preserve"> учитываются возможности</w:t>
      </w:r>
      <w:r w:rsidR="008966F4" w:rsidRPr="000028C3">
        <w:t xml:space="preserve"> компании по привлечению дополнительной ликвидности</w:t>
      </w:r>
      <w:r w:rsidRPr="000028C3">
        <w:t xml:space="preserve">. </w:t>
      </w:r>
      <w:r w:rsidR="008966F4" w:rsidRPr="000028C3">
        <w:t>О</w:t>
      </w:r>
      <w:r w:rsidRPr="000028C3">
        <w:t>бъем доступной ликвидности учитывает</w:t>
      </w:r>
      <w:r w:rsidR="004573AB" w:rsidRPr="000028C3">
        <w:t>ся</w:t>
      </w:r>
      <w:r w:rsidRPr="000028C3">
        <w:t xml:space="preserve"> путем умножения заявленного объема </w:t>
      </w:r>
      <w:r w:rsidR="008966F4" w:rsidRPr="000028C3">
        <w:t xml:space="preserve">дополнительной </w:t>
      </w:r>
      <w:r w:rsidRPr="000028C3">
        <w:t>ликвидности</w:t>
      </w:r>
      <w:r w:rsidR="008966F4" w:rsidRPr="000028C3">
        <w:t xml:space="preserve"> по каждому из компонентов</w:t>
      </w:r>
      <w:r w:rsidRPr="000028C3">
        <w:t xml:space="preserve"> </w:t>
      </w:r>
      <w:r w:rsidRPr="000028C3">
        <w:lastRenderedPageBreak/>
        <w:t>на коэффициент от 0 до 1</w:t>
      </w:r>
      <w:r w:rsidR="00C31DCA" w:rsidRPr="000028C3">
        <w:t>, являющийся оценкой Агентством вероятности</w:t>
      </w:r>
      <w:r w:rsidRPr="000028C3">
        <w:t xml:space="preserve"> </w:t>
      </w:r>
      <w:r w:rsidR="00C31DCA" w:rsidRPr="000028C3">
        <w:t>предоставления компании ликвидности.</w:t>
      </w:r>
      <w:r w:rsidR="00F65E8C" w:rsidRPr="000028C3">
        <w:t xml:space="preserve"> Показатель оценивается на последнюю квартальную дату (без хвоста).</w:t>
      </w:r>
      <w:r w:rsidR="00C31DCA" w:rsidRPr="000028C3">
        <w:t xml:space="preserve"> </w:t>
      </w:r>
      <w:r w:rsidR="008263E9" w:rsidRPr="000028C3">
        <w:t>Непрерывная линейная оценка.</w:t>
      </w:r>
    </w:p>
    <w:p w14:paraId="5F76B015" w14:textId="77777777" w:rsidR="004573AB" w:rsidRPr="000028C3" w:rsidRDefault="004573AB" w:rsidP="0039664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1"/>
        <w:gridCol w:w="802"/>
        <w:gridCol w:w="802"/>
      </w:tblGrid>
      <w:tr w:rsidR="006B134F" w:rsidRPr="000028C3" w14:paraId="686582EA" w14:textId="77777777" w:rsidTr="006F39EA">
        <w:trPr>
          <w:trHeight w:val="300"/>
        </w:trPr>
        <w:tc>
          <w:tcPr>
            <w:tcW w:w="4141" w:type="pct"/>
            <w:shd w:val="clear" w:color="auto" w:fill="auto"/>
            <w:vAlign w:val="center"/>
            <w:hideMark/>
          </w:tcPr>
          <w:p w14:paraId="674DFEFA" w14:textId="428D65F0" w:rsidR="006B134F" w:rsidRPr="000028C3" w:rsidRDefault="009D0B14" w:rsidP="0039664F">
            <w:r w:rsidRPr="000028C3">
              <w:t>Показатель</w:t>
            </w:r>
          </w:p>
        </w:tc>
        <w:tc>
          <w:tcPr>
            <w:tcW w:w="429" w:type="pct"/>
            <w:shd w:val="clear" w:color="auto" w:fill="auto"/>
            <w:noWrap/>
            <w:vAlign w:val="center"/>
            <w:hideMark/>
          </w:tcPr>
          <w:p w14:paraId="363BA57F" w14:textId="77777777" w:rsidR="006B134F" w:rsidRPr="000028C3" w:rsidRDefault="006B134F" w:rsidP="0039664F">
            <w:pPr>
              <w:jc w:val="center"/>
              <w:rPr>
                <w:bCs/>
              </w:rPr>
            </w:pPr>
            <w:r w:rsidRPr="000028C3">
              <w:rPr>
                <w:bCs/>
              </w:rPr>
              <w:t>-1</w:t>
            </w:r>
          </w:p>
        </w:tc>
        <w:tc>
          <w:tcPr>
            <w:tcW w:w="429" w:type="pct"/>
            <w:shd w:val="clear" w:color="auto" w:fill="auto"/>
            <w:noWrap/>
            <w:vAlign w:val="center"/>
            <w:hideMark/>
          </w:tcPr>
          <w:p w14:paraId="2948C976" w14:textId="77777777" w:rsidR="006B134F" w:rsidRPr="000028C3" w:rsidRDefault="006B134F" w:rsidP="0039664F">
            <w:pPr>
              <w:jc w:val="center"/>
              <w:rPr>
                <w:bCs/>
              </w:rPr>
            </w:pPr>
            <w:r w:rsidRPr="000028C3">
              <w:rPr>
                <w:bCs/>
              </w:rPr>
              <w:t>1</w:t>
            </w:r>
          </w:p>
        </w:tc>
      </w:tr>
      <w:tr w:rsidR="006B134F" w:rsidRPr="000028C3" w14:paraId="05E7AD57" w14:textId="77777777" w:rsidTr="006F39EA">
        <w:trPr>
          <w:trHeight w:val="286"/>
        </w:trPr>
        <w:tc>
          <w:tcPr>
            <w:tcW w:w="4141" w:type="pct"/>
            <w:shd w:val="clear" w:color="auto" w:fill="auto"/>
            <w:vAlign w:val="center"/>
          </w:tcPr>
          <w:p w14:paraId="195C3D0D" w14:textId="457E9E77" w:rsidR="006B134F" w:rsidRPr="000028C3" w:rsidRDefault="008263E9" w:rsidP="0039664F">
            <w:r w:rsidRPr="000028C3">
              <w:t>Д</w:t>
            </w:r>
            <w:r w:rsidR="006B134F" w:rsidRPr="000028C3">
              <w:t>оступн</w:t>
            </w:r>
            <w:r w:rsidRPr="000028C3">
              <w:t>ый</w:t>
            </w:r>
            <w:r w:rsidR="006B134F" w:rsidRPr="000028C3">
              <w:t xml:space="preserve"> объем дополнительной ликвидности</w:t>
            </w:r>
            <w:r w:rsidR="00BD7B03" w:rsidRPr="000028C3">
              <w:t xml:space="preserve"> по отношению к</w:t>
            </w:r>
            <w:r w:rsidR="008B6814" w:rsidRPr="000028C3">
              <w:t xml:space="preserve"> обязательствам</w:t>
            </w:r>
            <w:r w:rsidR="009878CA" w:rsidRPr="000028C3">
              <w:t>, %</w:t>
            </w:r>
            <w:r w:rsidR="00BD7B03" w:rsidRPr="000028C3">
              <w:t xml:space="preserve"> </w:t>
            </w:r>
            <w:r w:rsidRPr="000028C3">
              <w:t xml:space="preserve"> </w:t>
            </w:r>
          </w:p>
        </w:tc>
        <w:tc>
          <w:tcPr>
            <w:tcW w:w="429" w:type="pct"/>
            <w:shd w:val="clear" w:color="auto" w:fill="auto"/>
            <w:noWrap/>
            <w:vAlign w:val="center"/>
          </w:tcPr>
          <w:p w14:paraId="029EE0BC" w14:textId="59C181A0" w:rsidR="006B134F" w:rsidRPr="000028C3" w:rsidRDefault="00C31DCA" w:rsidP="0039664F">
            <w:pPr>
              <w:jc w:val="center"/>
            </w:pPr>
            <w:r w:rsidRPr="000028C3">
              <w:t xml:space="preserve">≤ </w:t>
            </w:r>
            <w:r w:rsidR="009878CA" w:rsidRPr="000028C3">
              <w:t>1,0</w:t>
            </w:r>
          </w:p>
        </w:tc>
        <w:tc>
          <w:tcPr>
            <w:tcW w:w="429" w:type="pct"/>
            <w:shd w:val="clear" w:color="auto" w:fill="auto"/>
            <w:noWrap/>
            <w:vAlign w:val="center"/>
          </w:tcPr>
          <w:p w14:paraId="24204AF0" w14:textId="07233676" w:rsidR="006B134F" w:rsidRPr="000028C3" w:rsidRDefault="00C31DCA" w:rsidP="0039664F">
            <w:pPr>
              <w:jc w:val="center"/>
            </w:pPr>
            <w:r w:rsidRPr="000028C3">
              <w:t xml:space="preserve">≥ </w:t>
            </w:r>
            <w:r w:rsidR="009878CA" w:rsidRPr="000028C3">
              <w:t>7,0</w:t>
            </w:r>
          </w:p>
        </w:tc>
      </w:tr>
    </w:tbl>
    <w:p w14:paraId="23F1860C" w14:textId="77777777" w:rsidR="006B134F" w:rsidRPr="000028C3" w:rsidRDefault="006B134F" w:rsidP="0039664F">
      <w:pPr>
        <w:jc w:val="both"/>
        <w:rPr>
          <w:highlight w:val="yellow"/>
        </w:rPr>
      </w:pPr>
    </w:p>
    <w:p w14:paraId="03B050FB" w14:textId="77777777" w:rsidR="008B1955" w:rsidRPr="000028C3" w:rsidRDefault="008B1955" w:rsidP="0098669D">
      <w:pPr>
        <w:pStyle w:val="3"/>
        <w:numPr>
          <w:ilvl w:val="1"/>
          <w:numId w:val="17"/>
        </w:numPr>
        <w:spacing w:before="0" w:after="0"/>
        <w:rPr>
          <w:rFonts w:ascii="Times New Roman" w:hAnsi="Times New Roman" w:cs="Times New Roman"/>
        </w:rPr>
      </w:pPr>
      <w:bookmarkStart w:id="69" w:name="_Toc447270445"/>
      <w:bookmarkStart w:id="70" w:name="_Toc39667629"/>
      <w:r w:rsidRPr="000028C3">
        <w:rPr>
          <w:rFonts w:ascii="Times New Roman" w:hAnsi="Times New Roman" w:cs="Times New Roman"/>
        </w:rPr>
        <w:t>Ликвидность</w:t>
      </w:r>
      <w:bookmarkEnd w:id="69"/>
      <w:bookmarkEnd w:id="70"/>
      <w:r w:rsidRPr="000028C3">
        <w:rPr>
          <w:rFonts w:ascii="Times New Roman" w:hAnsi="Times New Roman" w:cs="Times New Roman"/>
        </w:rPr>
        <w:t xml:space="preserve"> </w:t>
      </w:r>
    </w:p>
    <w:bookmarkEnd w:id="58"/>
    <w:p w14:paraId="576EF281" w14:textId="77777777" w:rsidR="0039664F" w:rsidRPr="000028C3" w:rsidRDefault="0039664F" w:rsidP="0039664F">
      <w:pPr>
        <w:pStyle w:val="ad"/>
        <w:spacing w:before="0" w:beforeAutospacing="0" w:after="0" w:afterAutospacing="0"/>
        <w:ind w:firstLine="567"/>
        <w:jc w:val="both"/>
        <w:rPr>
          <w:u w:val="single"/>
        </w:rPr>
      </w:pPr>
    </w:p>
    <w:p w14:paraId="1E1F5FC3" w14:textId="5DDF101B" w:rsidR="004573AB" w:rsidRPr="000028C3" w:rsidRDefault="0039664F" w:rsidP="0039664F">
      <w:pPr>
        <w:pStyle w:val="ad"/>
        <w:spacing w:before="0" w:beforeAutospacing="0" w:after="0" w:afterAutospacing="0"/>
        <w:ind w:firstLine="567"/>
        <w:jc w:val="both"/>
        <w:rPr>
          <w:u w:val="single"/>
        </w:rPr>
      </w:pPr>
      <w:r w:rsidRPr="000028C3">
        <w:rPr>
          <w:u w:val="single"/>
        </w:rPr>
        <w:t>Цель оценки</w:t>
      </w:r>
    </w:p>
    <w:p w14:paraId="34A9869F" w14:textId="77777777" w:rsidR="0005288D" w:rsidRPr="000028C3" w:rsidRDefault="004573AB" w:rsidP="0039664F">
      <w:pPr>
        <w:pStyle w:val="ad"/>
        <w:spacing w:before="0" w:beforeAutospacing="0" w:after="0" w:afterAutospacing="0"/>
        <w:ind w:firstLine="567"/>
        <w:jc w:val="both"/>
      </w:pPr>
      <w:r w:rsidRPr="000028C3">
        <w:t>О</w:t>
      </w:r>
      <w:r w:rsidR="007C561A" w:rsidRPr="000028C3">
        <w:t xml:space="preserve">пределить, насколько компания в состоянии поддерживать необходимый уровень ликвидности, а также эффективно планировать баланс ликвидности на среднесрочную перспективу. </w:t>
      </w:r>
      <w:r w:rsidR="0005288D" w:rsidRPr="000028C3">
        <w:t>В частности, коэффициенты ликвидности, используемые при расчетах, отражают способность компании платить по краткосрочным обязательствам из оборотного капитала и возможность погасить краткосрочную задолженность наиболее ликвидной частью оборотных средств – денежными средствами и краткосрочными ценными бумагами. Кроме того, оценивается соответствие активов и пассивов компании по срокам.</w:t>
      </w:r>
    </w:p>
    <w:p w14:paraId="669E3FE0" w14:textId="77777777" w:rsidR="004573AB" w:rsidRPr="000028C3" w:rsidRDefault="004573AB" w:rsidP="0039664F">
      <w:pPr>
        <w:jc w:val="both"/>
      </w:pPr>
    </w:p>
    <w:p w14:paraId="60056477" w14:textId="77777777" w:rsidR="008B1955" w:rsidRPr="000028C3" w:rsidRDefault="008B1955" w:rsidP="0098669D">
      <w:pPr>
        <w:pStyle w:val="3"/>
        <w:numPr>
          <w:ilvl w:val="2"/>
          <w:numId w:val="17"/>
        </w:numPr>
        <w:spacing w:before="0" w:after="0"/>
        <w:jc w:val="both"/>
        <w:rPr>
          <w:rFonts w:ascii="Times New Roman" w:hAnsi="Times New Roman" w:cs="Times New Roman"/>
        </w:rPr>
      </w:pPr>
      <w:bookmarkStart w:id="71" w:name="_Toc159582219"/>
      <w:bookmarkStart w:id="72" w:name="_Toc447270446"/>
      <w:bookmarkStart w:id="73" w:name="_Toc39667630"/>
      <w:r w:rsidRPr="000028C3">
        <w:rPr>
          <w:rFonts w:ascii="Times New Roman" w:hAnsi="Times New Roman" w:cs="Times New Roman"/>
        </w:rPr>
        <w:t>Коэффициент текущей ликвидности</w:t>
      </w:r>
      <w:bookmarkEnd w:id="71"/>
      <w:bookmarkEnd w:id="72"/>
      <w:bookmarkEnd w:id="73"/>
      <w:r w:rsidRPr="000028C3">
        <w:rPr>
          <w:rFonts w:ascii="Times New Roman" w:hAnsi="Times New Roman" w:cs="Times New Roman"/>
        </w:rPr>
        <w:t xml:space="preserve"> </w:t>
      </w:r>
    </w:p>
    <w:p w14:paraId="490BC701" w14:textId="63540E6B" w:rsidR="0039664F" w:rsidRPr="000028C3" w:rsidRDefault="0039664F" w:rsidP="0039664F">
      <w:pPr>
        <w:pStyle w:val="ad"/>
        <w:spacing w:before="0" w:beforeAutospacing="0" w:after="0" w:afterAutospacing="0"/>
        <w:ind w:firstLine="567"/>
        <w:jc w:val="both"/>
        <w:rPr>
          <w:u w:val="single"/>
        </w:rPr>
      </w:pPr>
    </w:p>
    <w:p w14:paraId="49EC1F3E" w14:textId="63DE5D09" w:rsidR="008B1955" w:rsidRPr="000028C3" w:rsidRDefault="0005288D"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02776A97" w14:textId="2B0DF2A1" w:rsidR="004573AB" w:rsidRPr="000028C3" w:rsidRDefault="004573AB" w:rsidP="0039664F">
      <w:pPr>
        <w:pStyle w:val="ad"/>
        <w:spacing w:before="0" w:beforeAutospacing="0" w:after="0" w:afterAutospacing="0"/>
        <w:ind w:firstLine="567"/>
        <w:jc w:val="both"/>
      </w:pPr>
      <w:r w:rsidRPr="000028C3">
        <w:t>Показатель относится к показателям с коротким хвостом. Используется непрерывная линейная оценка.</w:t>
      </w:r>
    </w:p>
    <w:p w14:paraId="66CFA08A" w14:textId="77777777" w:rsidR="00CF69E8" w:rsidRPr="000028C3" w:rsidRDefault="00CF69E8" w:rsidP="00CF69E8">
      <w:pPr>
        <w:jc w:val="both"/>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282"/>
        <w:gridCol w:w="1022"/>
        <w:gridCol w:w="1041"/>
      </w:tblGrid>
      <w:tr w:rsidR="00CF69E8" w:rsidRPr="000028C3" w14:paraId="62CEFCE6" w14:textId="77777777" w:rsidTr="00677F5A">
        <w:trPr>
          <w:trHeight w:val="20"/>
        </w:trPr>
        <w:tc>
          <w:tcPr>
            <w:tcW w:w="3896" w:type="pct"/>
            <w:shd w:val="clear" w:color="auto" w:fill="FFFFFF"/>
            <w:vAlign w:val="center"/>
          </w:tcPr>
          <w:p w14:paraId="464EAE6A" w14:textId="75479D56" w:rsidR="00CF69E8" w:rsidRPr="000028C3" w:rsidRDefault="00CF69E8" w:rsidP="00797C86">
            <w:pPr>
              <w:rPr>
                <w:bCs/>
              </w:rPr>
            </w:pPr>
            <w:r w:rsidRPr="000028C3">
              <w:t>Показатель</w:t>
            </w:r>
          </w:p>
        </w:tc>
        <w:tc>
          <w:tcPr>
            <w:tcW w:w="547" w:type="pct"/>
            <w:shd w:val="clear" w:color="auto" w:fill="FFFFFF"/>
            <w:vAlign w:val="center"/>
          </w:tcPr>
          <w:p w14:paraId="53860202" w14:textId="77777777" w:rsidR="00CF69E8" w:rsidRPr="000028C3" w:rsidRDefault="00CF69E8" w:rsidP="00797C86">
            <w:pPr>
              <w:jc w:val="center"/>
              <w:rPr>
                <w:bCs/>
              </w:rPr>
            </w:pPr>
            <w:r w:rsidRPr="000028C3">
              <w:rPr>
                <w:bCs/>
              </w:rPr>
              <w:t>-1</w:t>
            </w:r>
          </w:p>
        </w:tc>
        <w:tc>
          <w:tcPr>
            <w:tcW w:w="557" w:type="pct"/>
            <w:shd w:val="clear" w:color="auto" w:fill="FFFFFF"/>
            <w:vAlign w:val="center"/>
          </w:tcPr>
          <w:p w14:paraId="5707D6F9" w14:textId="77777777" w:rsidR="00CF69E8" w:rsidRPr="000028C3" w:rsidRDefault="00CF69E8" w:rsidP="00797C86">
            <w:pPr>
              <w:jc w:val="center"/>
              <w:rPr>
                <w:bCs/>
              </w:rPr>
            </w:pPr>
            <w:r w:rsidRPr="000028C3">
              <w:rPr>
                <w:bCs/>
              </w:rPr>
              <w:t>1</w:t>
            </w:r>
          </w:p>
        </w:tc>
      </w:tr>
      <w:tr w:rsidR="00CF69E8" w:rsidRPr="000028C3" w14:paraId="78FDE34A" w14:textId="77777777" w:rsidTr="00677F5A">
        <w:trPr>
          <w:trHeight w:val="20"/>
        </w:trPr>
        <w:tc>
          <w:tcPr>
            <w:tcW w:w="3896" w:type="pct"/>
            <w:shd w:val="clear" w:color="auto" w:fill="FFFFFF"/>
            <w:noWrap/>
            <w:vAlign w:val="bottom"/>
          </w:tcPr>
          <w:p w14:paraId="39C8F9B8" w14:textId="77777777" w:rsidR="00CF69E8" w:rsidRPr="000028C3" w:rsidRDefault="00CF69E8" w:rsidP="00797C86">
            <w:r w:rsidRPr="000028C3">
              <w:t>Коэффициент текущей ликвидности, %</w:t>
            </w:r>
          </w:p>
        </w:tc>
        <w:tc>
          <w:tcPr>
            <w:tcW w:w="547" w:type="pct"/>
            <w:shd w:val="clear" w:color="auto" w:fill="FFFFFF"/>
            <w:vAlign w:val="center"/>
          </w:tcPr>
          <w:p w14:paraId="6E20CC7A" w14:textId="77777777" w:rsidR="00CF69E8" w:rsidRPr="000028C3" w:rsidRDefault="00CF69E8" w:rsidP="00797C86">
            <w:pPr>
              <w:jc w:val="center"/>
            </w:pPr>
            <w:r w:rsidRPr="000028C3">
              <w:t>≤ 3</w:t>
            </w:r>
          </w:p>
        </w:tc>
        <w:tc>
          <w:tcPr>
            <w:tcW w:w="557" w:type="pct"/>
            <w:shd w:val="clear" w:color="auto" w:fill="FFFFFF"/>
            <w:vAlign w:val="center"/>
          </w:tcPr>
          <w:p w14:paraId="7B514CD8" w14:textId="77777777" w:rsidR="00CF69E8" w:rsidRPr="000028C3" w:rsidRDefault="00CF69E8" w:rsidP="00797C86">
            <w:pPr>
              <w:jc w:val="center"/>
            </w:pPr>
            <w:r w:rsidRPr="000028C3">
              <w:t>≥ 15</w:t>
            </w:r>
          </w:p>
        </w:tc>
      </w:tr>
    </w:tbl>
    <w:p w14:paraId="3F059295" w14:textId="77777777" w:rsidR="00CF69E8" w:rsidRPr="000028C3" w:rsidRDefault="00CF69E8" w:rsidP="00CF69E8">
      <w:pPr>
        <w:pStyle w:val="21"/>
        <w:spacing w:before="0" w:line="240" w:lineRule="auto"/>
        <w:rPr>
          <w:sz w:val="24"/>
          <w:szCs w:val="24"/>
          <w:highlight w:val="yellow"/>
        </w:rPr>
      </w:pPr>
    </w:p>
    <w:p w14:paraId="3A40C6E6" w14:textId="61EDA798" w:rsidR="00FF52B6" w:rsidRPr="000028C3" w:rsidRDefault="00CF69E8" w:rsidP="0039664F">
      <w:pPr>
        <w:jc w:val="both"/>
      </w:pPr>
      <w:r w:rsidRPr="000028C3">
        <w:t>Формула расчета.</w:t>
      </w:r>
    </w:p>
    <w:tbl>
      <w:tblPr>
        <w:tblStyle w:val="ac"/>
        <w:tblW w:w="5000" w:type="pct"/>
        <w:tblLook w:val="04A0" w:firstRow="1" w:lastRow="0" w:firstColumn="1" w:lastColumn="0" w:noHBand="0" w:noVBand="1"/>
      </w:tblPr>
      <w:tblGrid>
        <w:gridCol w:w="3445"/>
        <w:gridCol w:w="5900"/>
      </w:tblGrid>
      <w:tr w:rsidR="00EB4C6D" w:rsidRPr="000028C3" w14:paraId="1BA32B84" w14:textId="77777777" w:rsidTr="00EB4C6D">
        <w:tc>
          <w:tcPr>
            <w:tcW w:w="1843" w:type="pct"/>
            <w:vAlign w:val="center"/>
          </w:tcPr>
          <w:p w14:paraId="621B2731" w14:textId="77777777" w:rsidR="00EB4C6D" w:rsidRPr="000028C3" w:rsidRDefault="00EB4C6D" w:rsidP="0039664F">
            <w:r w:rsidRPr="000028C3">
              <w:t>Показатель</w:t>
            </w:r>
          </w:p>
        </w:tc>
        <w:tc>
          <w:tcPr>
            <w:tcW w:w="3157" w:type="pct"/>
            <w:vAlign w:val="center"/>
          </w:tcPr>
          <w:p w14:paraId="46BB7823" w14:textId="77777777" w:rsidR="00EB4C6D" w:rsidRPr="000028C3" w:rsidRDefault="00EB4C6D" w:rsidP="0039664F">
            <w:r w:rsidRPr="000028C3">
              <w:t>Формула расчета</w:t>
            </w:r>
          </w:p>
        </w:tc>
      </w:tr>
      <w:tr w:rsidR="00EB4C6D" w:rsidRPr="000028C3" w14:paraId="28688F6F" w14:textId="77777777" w:rsidTr="00EB4C6D">
        <w:tc>
          <w:tcPr>
            <w:tcW w:w="1843" w:type="pct"/>
          </w:tcPr>
          <w:p w14:paraId="5DC92538" w14:textId="77777777" w:rsidR="00EB4C6D" w:rsidRPr="000028C3" w:rsidRDefault="00EB4C6D" w:rsidP="009878CA">
            <w:r w:rsidRPr="000028C3">
              <w:t xml:space="preserve">Коэффициент текущей ликвидности </w:t>
            </w:r>
          </w:p>
          <w:p w14:paraId="08A5AD03" w14:textId="77777777" w:rsidR="00EB4C6D" w:rsidRPr="000028C3" w:rsidRDefault="00EB4C6D" w:rsidP="0039664F">
            <w:pPr>
              <w:jc w:val="both"/>
            </w:pPr>
            <w:r w:rsidRPr="000028C3">
              <w:t>(</w:t>
            </w:r>
            <w:proofErr w:type="spellStart"/>
            <w:r w:rsidRPr="000028C3">
              <w:t>Current</w:t>
            </w:r>
            <w:proofErr w:type="spellEnd"/>
            <w:r w:rsidRPr="000028C3">
              <w:t xml:space="preserve"> </w:t>
            </w:r>
            <w:proofErr w:type="spellStart"/>
            <w:r w:rsidRPr="000028C3">
              <w:t>Ratio</w:t>
            </w:r>
            <w:proofErr w:type="spellEnd"/>
            <w:r w:rsidRPr="000028C3">
              <w:t>)</w:t>
            </w:r>
          </w:p>
        </w:tc>
        <w:tc>
          <w:tcPr>
            <w:tcW w:w="3157" w:type="pct"/>
          </w:tcPr>
          <w:p w14:paraId="2C6896D6" w14:textId="77777777" w:rsidR="00EB4C6D" w:rsidRPr="000028C3" w:rsidRDefault="00EB4C6D" w:rsidP="000D6A7C">
            <w:pPr>
              <w:jc w:val="both"/>
            </w:pPr>
            <w:r w:rsidRPr="000028C3">
              <w:rPr>
                <w:lang w:val="en-US"/>
              </w:rPr>
              <w:t>CR</w:t>
            </w:r>
            <w:r w:rsidRPr="000028C3">
              <w:t xml:space="preserve"> = Ликвидные активы / Краткосрочные обязательства,</w:t>
            </w:r>
          </w:p>
          <w:p w14:paraId="436F50EE" w14:textId="77777777" w:rsidR="00EB4C6D" w:rsidRPr="000028C3" w:rsidRDefault="00EB4C6D" w:rsidP="000D6A7C">
            <w:pPr>
              <w:jc w:val="both"/>
            </w:pPr>
          </w:p>
          <w:p w14:paraId="7E3BD75D" w14:textId="2C267C9F" w:rsidR="00EB4C6D" w:rsidRPr="000028C3" w:rsidRDefault="00EB4C6D" w:rsidP="0039664F">
            <w:pPr>
              <w:jc w:val="both"/>
            </w:pPr>
            <w:r w:rsidRPr="000028C3">
              <w:t>где ликвидные активы включают в себя все активы, которые могут быть востребованы (реализованы) объектом рейтинга в течение одного года, на отчетную дату.</w:t>
            </w:r>
          </w:p>
        </w:tc>
      </w:tr>
    </w:tbl>
    <w:p w14:paraId="33A1B550" w14:textId="77777777" w:rsidR="00CF69E8" w:rsidRPr="000028C3" w:rsidRDefault="00CF69E8" w:rsidP="00CF69E8">
      <w:pPr>
        <w:pStyle w:val="RAEXdefault"/>
        <w:rPr>
          <w:rFonts w:cs="Times New Roman"/>
          <w:lang w:val="ru-RU"/>
        </w:rPr>
      </w:pPr>
      <w:bookmarkStart w:id="74" w:name="_Toc159582220"/>
      <w:bookmarkStart w:id="75" w:name="_Toc447270447"/>
    </w:p>
    <w:p w14:paraId="39B08CE8" w14:textId="6D56BD1B" w:rsidR="008B1955" w:rsidRPr="000028C3" w:rsidRDefault="008B1955" w:rsidP="0098669D">
      <w:pPr>
        <w:pStyle w:val="3"/>
        <w:numPr>
          <w:ilvl w:val="2"/>
          <w:numId w:val="17"/>
        </w:numPr>
        <w:spacing w:before="0" w:after="0"/>
        <w:jc w:val="both"/>
        <w:rPr>
          <w:rFonts w:ascii="Times New Roman" w:hAnsi="Times New Roman" w:cs="Times New Roman"/>
          <w:sz w:val="24"/>
          <w:szCs w:val="24"/>
        </w:rPr>
      </w:pPr>
      <w:bookmarkStart w:id="76" w:name="_Toc39667631"/>
      <w:r w:rsidRPr="000028C3">
        <w:rPr>
          <w:rFonts w:ascii="Times New Roman" w:hAnsi="Times New Roman" w:cs="Times New Roman"/>
        </w:rPr>
        <w:t>Коэффициент абсолютной ликвидности</w:t>
      </w:r>
      <w:bookmarkEnd w:id="74"/>
      <w:bookmarkEnd w:id="75"/>
      <w:bookmarkEnd w:id="76"/>
    </w:p>
    <w:p w14:paraId="02256EAF" w14:textId="77777777" w:rsidR="0039664F" w:rsidRPr="000028C3" w:rsidRDefault="0039664F" w:rsidP="0039664F">
      <w:pPr>
        <w:pStyle w:val="ad"/>
        <w:spacing w:before="0" w:beforeAutospacing="0" w:after="0" w:afterAutospacing="0"/>
        <w:ind w:firstLine="567"/>
        <w:jc w:val="both"/>
        <w:rPr>
          <w:u w:val="single"/>
        </w:rPr>
      </w:pPr>
    </w:p>
    <w:p w14:paraId="451A8403" w14:textId="56AE8A09" w:rsidR="004573AB" w:rsidRPr="000028C3" w:rsidRDefault="0005288D"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254737DD" w14:textId="07D69460" w:rsidR="004573AB" w:rsidRPr="000028C3" w:rsidRDefault="004573AB" w:rsidP="0039664F">
      <w:pPr>
        <w:pStyle w:val="ad"/>
        <w:spacing w:before="0" w:beforeAutospacing="0" w:after="0" w:afterAutospacing="0"/>
        <w:ind w:firstLine="567"/>
        <w:jc w:val="both"/>
      </w:pPr>
      <w:r w:rsidRPr="000028C3">
        <w:t>Показатель относится к показателям с коротким хвостом.</w:t>
      </w:r>
      <w:r w:rsidR="00CF69E8" w:rsidRPr="000028C3">
        <w:t xml:space="preserve"> Используется непрерывная линейная оценка.</w:t>
      </w:r>
    </w:p>
    <w:p w14:paraId="3836EBC8" w14:textId="77777777" w:rsidR="0005288D" w:rsidRPr="000028C3" w:rsidRDefault="0005288D" w:rsidP="0039664F">
      <w:pPr>
        <w:jc w:val="both"/>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282"/>
        <w:gridCol w:w="1022"/>
        <w:gridCol w:w="1041"/>
      </w:tblGrid>
      <w:tr w:rsidR="00135EA9" w:rsidRPr="000028C3" w14:paraId="04857138" w14:textId="77777777" w:rsidTr="00677F5A">
        <w:trPr>
          <w:trHeight w:val="20"/>
        </w:trPr>
        <w:tc>
          <w:tcPr>
            <w:tcW w:w="3896" w:type="pct"/>
            <w:shd w:val="clear" w:color="auto" w:fill="FFFFFF"/>
            <w:vAlign w:val="center"/>
          </w:tcPr>
          <w:p w14:paraId="07A644CD" w14:textId="567F1395" w:rsidR="00135EA9" w:rsidRPr="000028C3" w:rsidRDefault="009D0B14" w:rsidP="0039664F">
            <w:pPr>
              <w:rPr>
                <w:bCs/>
              </w:rPr>
            </w:pPr>
            <w:r w:rsidRPr="000028C3">
              <w:t>Показатель</w:t>
            </w:r>
          </w:p>
        </w:tc>
        <w:tc>
          <w:tcPr>
            <w:tcW w:w="547" w:type="pct"/>
            <w:shd w:val="clear" w:color="auto" w:fill="FFFFFF"/>
            <w:vAlign w:val="center"/>
          </w:tcPr>
          <w:p w14:paraId="10AA245F" w14:textId="77777777" w:rsidR="00135EA9" w:rsidRPr="000028C3" w:rsidRDefault="00135EA9" w:rsidP="0039664F">
            <w:pPr>
              <w:jc w:val="center"/>
              <w:rPr>
                <w:bCs/>
              </w:rPr>
            </w:pPr>
            <w:r w:rsidRPr="000028C3">
              <w:rPr>
                <w:bCs/>
              </w:rPr>
              <w:t>-1</w:t>
            </w:r>
          </w:p>
        </w:tc>
        <w:tc>
          <w:tcPr>
            <w:tcW w:w="557" w:type="pct"/>
            <w:shd w:val="clear" w:color="auto" w:fill="FFFFFF"/>
            <w:vAlign w:val="center"/>
          </w:tcPr>
          <w:p w14:paraId="6A421751" w14:textId="77777777" w:rsidR="00135EA9" w:rsidRPr="000028C3" w:rsidRDefault="00135EA9" w:rsidP="0039664F">
            <w:pPr>
              <w:jc w:val="center"/>
              <w:rPr>
                <w:bCs/>
              </w:rPr>
            </w:pPr>
            <w:r w:rsidRPr="000028C3">
              <w:rPr>
                <w:bCs/>
              </w:rPr>
              <w:t>1</w:t>
            </w:r>
          </w:p>
        </w:tc>
      </w:tr>
      <w:tr w:rsidR="00135EA9" w:rsidRPr="000028C3" w14:paraId="216CE02B" w14:textId="77777777" w:rsidTr="00677F5A">
        <w:trPr>
          <w:trHeight w:val="20"/>
        </w:trPr>
        <w:tc>
          <w:tcPr>
            <w:tcW w:w="3896" w:type="pct"/>
            <w:shd w:val="clear" w:color="auto" w:fill="FFFFFF"/>
            <w:noWrap/>
            <w:vAlign w:val="bottom"/>
          </w:tcPr>
          <w:p w14:paraId="0E552F50" w14:textId="35849B88" w:rsidR="00135EA9" w:rsidRPr="000028C3" w:rsidRDefault="00135EA9" w:rsidP="0039664F">
            <w:r w:rsidRPr="000028C3">
              <w:t>Коэффициент абсолютной ликвидности</w:t>
            </w:r>
            <w:r w:rsidR="009878CA" w:rsidRPr="000028C3">
              <w:t>, %</w:t>
            </w:r>
          </w:p>
        </w:tc>
        <w:tc>
          <w:tcPr>
            <w:tcW w:w="547" w:type="pct"/>
            <w:shd w:val="clear" w:color="auto" w:fill="FFFFFF"/>
            <w:vAlign w:val="center"/>
          </w:tcPr>
          <w:p w14:paraId="7504CBDA" w14:textId="7371FBD6" w:rsidR="00135EA9" w:rsidRPr="000028C3" w:rsidRDefault="009878CA" w:rsidP="0039664F">
            <w:pPr>
              <w:jc w:val="center"/>
            </w:pPr>
            <w:r w:rsidRPr="000028C3">
              <w:t>≤ 10</w:t>
            </w:r>
          </w:p>
        </w:tc>
        <w:tc>
          <w:tcPr>
            <w:tcW w:w="557" w:type="pct"/>
            <w:shd w:val="clear" w:color="auto" w:fill="FFFFFF"/>
            <w:vAlign w:val="center"/>
          </w:tcPr>
          <w:p w14:paraId="540D6873" w14:textId="3700C269" w:rsidR="00135EA9" w:rsidRPr="000028C3" w:rsidRDefault="009878CA" w:rsidP="0039664F">
            <w:pPr>
              <w:jc w:val="center"/>
            </w:pPr>
            <w:r w:rsidRPr="000028C3">
              <w:t>≥ 40</w:t>
            </w:r>
          </w:p>
        </w:tc>
      </w:tr>
    </w:tbl>
    <w:p w14:paraId="3F12F104" w14:textId="61562A12" w:rsidR="00CF69E8" w:rsidRDefault="00CF69E8" w:rsidP="00CF69E8">
      <w:pPr>
        <w:jc w:val="both"/>
      </w:pPr>
    </w:p>
    <w:p w14:paraId="4198E861" w14:textId="2217A409" w:rsidR="00EB4C6D" w:rsidRDefault="00EB4C6D" w:rsidP="00CF69E8">
      <w:pPr>
        <w:jc w:val="both"/>
      </w:pPr>
    </w:p>
    <w:p w14:paraId="7FFCBC17" w14:textId="1DC8C1DB" w:rsidR="00EB4C6D" w:rsidRDefault="00EB4C6D" w:rsidP="00CF69E8">
      <w:pPr>
        <w:jc w:val="both"/>
      </w:pPr>
    </w:p>
    <w:p w14:paraId="39C1C002" w14:textId="77777777" w:rsidR="00EB4C6D" w:rsidRPr="000028C3" w:rsidRDefault="00EB4C6D" w:rsidP="00CF69E8">
      <w:pPr>
        <w:jc w:val="both"/>
      </w:pPr>
    </w:p>
    <w:p w14:paraId="68E083AC" w14:textId="65191445" w:rsidR="0005288D" w:rsidRPr="000028C3" w:rsidRDefault="00CF69E8" w:rsidP="0039664F">
      <w:pPr>
        <w:jc w:val="both"/>
      </w:pPr>
      <w:r w:rsidRPr="000028C3">
        <w:lastRenderedPageBreak/>
        <w:t>Формула расчета.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6082"/>
      </w:tblGrid>
      <w:tr w:rsidR="00EB4C6D" w:rsidRPr="000028C3" w14:paraId="473B6AB8" w14:textId="77777777" w:rsidTr="00EB4C6D">
        <w:tc>
          <w:tcPr>
            <w:tcW w:w="1746" w:type="pct"/>
            <w:vAlign w:val="center"/>
          </w:tcPr>
          <w:p w14:paraId="242276A2" w14:textId="77777777" w:rsidR="00EB4C6D" w:rsidRPr="000028C3" w:rsidRDefault="00EB4C6D" w:rsidP="00797C86">
            <w:r w:rsidRPr="000028C3">
              <w:t>Показатель</w:t>
            </w:r>
          </w:p>
        </w:tc>
        <w:tc>
          <w:tcPr>
            <w:tcW w:w="3254" w:type="pct"/>
            <w:vAlign w:val="center"/>
          </w:tcPr>
          <w:p w14:paraId="592DF94B" w14:textId="77777777" w:rsidR="00EB4C6D" w:rsidRPr="000028C3" w:rsidRDefault="00EB4C6D" w:rsidP="00797C86">
            <w:r w:rsidRPr="000028C3">
              <w:t>Формула расчета</w:t>
            </w:r>
          </w:p>
        </w:tc>
      </w:tr>
      <w:tr w:rsidR="00EB4C6D" w:rsidRPr="000028C3" w14:paraId="52565555" w14:textId="77777777" w:rsidTr="00EB4C6D">
        <w:tc>
          <w:tcPr>
            <w:tcW w:w="1746" w:type="pct"/>
          </w:tcPr>
          <w:p w14:paraId="4D79EE75" w14:textId="77777777" w:rsidR="00EB4C6D" w:rsidRPr="000028C3" w:rsidRDefault="00EB4C6D" w:rsidP="00797C86">
            <w:pPr>
              <w:jc w:val="both"/>
            </w:pPr>
            <w:r w:rsidRPr="000028C3">
              <w:t>Коэффициент абсолютной ликвидности (</w:t>
            </w:r>
            <w:r w:rsidRPr="000028C3">
              <w:rPr>
                <w:lang w:val="en-US"/>
              </w:rPr>
              <w:t>Absolute</w:t>
            </w:r>
            <w:r w:rsidRPr="000028C3">
              <w:t xml:space="preserve"> </w:t>
            </w:r>
            <w:r w:rsidRPr="000028C3">
              <w:rPr>
                <w:lang w:val="en-US"/>
              </w:rPr>
              <w:t>Ratio</w:t>
            </w:r>
            <w:r w:rsidRPr="000028C3">
              <w:t>)</w:t>
            </w:r>
          </w:p>
        </w:tc>
        <w:tc>
          <w:tcPr>
            <w:tcW w:w="3254" w:type="pct"/>
          </w:tcPr>
          <w:p w14:paraId="693CCC11" w14:textId="77777777" w:rsidR="00EB4C6D" w:rsidRPr="000028C3" w:rsidRDefault="00EB4C6D" w:rsidP="0071468E">
            <w:pPr>
              <w:jc w:val="both"/>
            </w:pPr>
            <w:r w:rsidRPr="000028C3">
              <w:rPr>
                <w:lang w:val="en-US"/>
              </w:rPr>
              <w:t>AR</w:t>
            </w:r>
            <w:r w:rsidRPr="000028C3">
              <w:t xml:space="preserve"> = Высоколиквидные активы / Краткосрочные обязательства,</w:t>
            </w:r>
          </w:p>
          <w:p w14:paraId="5C6D9CD6" w14:textId="77777777" w:rsidR="00EB4C6D" w:rsidRPr="000028C3" w:rsidRDefault="00EB4C6D" w:rsidP="0071468E">
            <w:pPr>
              <w:jc w:val="both"/>
            </w:pPr>
          </w:p>
          <w:p w14:paraId="71660E76" w14:textId="67C16836" w:rsidR="00EB4C6D" w:rsidRPr="000028C3" w:rsidRDefault="00EB4C6D" w:rsidP="00797C86">
            <w:pPr>
              <w:jc w:val="both"/>
            </w:pPr>
            <w:r w:rsidRPr="000028C3">
              <w:t>где высоколиквидные активы – денежные средства и краткосрочные финансовые вложения, умноженные на коэффициенты корректировки (определены в факторе «Качество прочих активов и внебалансовых обязательств»), на отчетную дату.</w:t>
            </w:r>
          </w:p>
        </w:tc>
      </w:tr>
    </w:tbl>
    <w:p w14:paraId="0E851FD2" w14:textId="77777777" w:rsidR="00CF69E8" w:rsidRPr="000028C3" w:rsidRDefault="00CF69E8" w:rsidP="0039664F">
      <w:pPr>
        <w:jc w:val="both"/>
        <w:rPr>
          <w:b/>
        </w:rPr>
      </w:pPr>
    </w:p>
    <w:p w14:paraId="08284437" w14:textId="77777777" w:rsidR="008B1955" w:rsidRPr="000028C3" w:rsidRDefault="006E3B52" w:rsidP="0098669D">
      <w:pPr>
        <w:pStyle w:val="3"/>
        <w:numPr>
          <w:ilvl w:val="2"/>
          <w:numId w:val="17"/>
        </w:numPr>
        <w:spacing w:before="0" w:after="0"/>
        <w:jc w:val="both"/>
        <w:rPr>
          <w:rFonts w:ascii="Times New Roman" w:hAnsi="Times New Roman" w:cs="Times New Roman"/>
        </w:rPr>
      </w:pPr>
      <w:bookmarkStart w:id="77" w:name="_Toc447270448"/>
      <w:bookmarkStart w:id="78" w:name="_Toc39667632"/>
      <w:r w:rsidRPr="000028C3">
        <w:rPr>
          <w:rFonts w:ascii="Times New Roman" w:hAnsi="Times New Roman" w:cs="Times New Roman"/>
        </w:rPr>
        <w:t>Прогнозная ликвидность</w:t>
      </w:r>
      <w:bookmarkEnd w:id="77"/>
      <w:bookmarkEnd w:id="78"/>
    </w:p>
    <w:p w14:paraId="7C63BD61" w14:textId="77777777" w:rsidR="0039664F" w:rsidRPr="000028C3" w:rsidRDefault="0039664F" w:rsidP="0039664F">
      <w:pPr>
        <w:pStyle w:val="ad"/>
        <w:spacing w:before="0" w:beforeAutospacing="0" w:after="0" w:afterAutospacing="0"/>
        <w:ind w:firstLine="567"/>
        <w:jc w:val="both"/>
        <w:rPr>
          <w:u w:val="single"/>
        </w:rPr>
      </w:pPr>
    </w:p>
    <w:p w14:paraId="0BCDA695" w14:textId="5841C255" w:rsidR="0073466F" w:rsidRPr="000028C3" w:rsidRDefault="00EB637A" w:rsidP="0039664F">
      <w:pPr>
        <w:pStyle w:val="ad"/>
        <w:spacing w:before="0" w:beforeAutospacing="0" w:after="0" w:afterAutospacing="0"/>
        <w:ind w:firstLine="567"/>
        <w:jc w:val="both"/>
      </w:pPr>
      <w:r w:rsidRPr="000028C3">
        <w:rPr>
          <w:u w:val="single"/>
        </w:rPr>
        <w:t xml:space="preserve">Цель </w:t>
      </w:r>
      <w:r w:rsidR="00535E4E" w:rsidRPr="000028C3">
        <w:rPr>
          <w:u w:val="single"/>
        </w:rPr>
        <w:t>оценки</w:t>
      </w:r>
    </w:p>
    <w:p w14:paraId="6B7C693C" w14:textId="77777777" w:rsidR="006E3B52" w:rsidRPr="000028C3" w:rsidRDefault="006E3B52" w:rsidP="0039664F">
      <w:pPr>
        <w:pStyle w:val="ad"/>
        <w:spacing w:before="0" w:beforeAutospacing="0" w:after="0" w:afterAutospacing="0"/>
        <w:ind w:firstLine="567"/>
        <w:jc w:val="both"/>
      </w:pPr>
      <w:r w:rsidRPr="000028C3">
        <w:t>О</w:t>
      </w:r>
      <w:r w:rsidR="00FA73E5" w:rsidRPr="000028C3">
        <w:t>ценить</w:t>
      </w:r>
      <w:r w:rsidRPr="000028C3">
        <w:t xml:space="preserve"> достаточность ликвидных активов (имеющихся и ожидаемых к получению) для выполнения обязательств на горизонте 12 месяцев.</w:t>
      </w:r>
    </w:p>
    <w:p w14:paraId="1EDE0B19" w14:textId="77777777" w:rsidR="0073466F" w:rsidRPr="000028C3" w:rsidRDefault="0073466F" w:rsidP="0039664F">
      <w:pPr>
        <w:rPr>
          <w:u w:val="single"/>
        </w:rPr>
      </w:pPr>
    </w:p>
    <w:p w14:paraId="475C91ED" w14:textId="59B7E4CB" w:rsidR="00EB637A" w:rsidRPr="000028C3" w:rsidRDefault="00EB637A" w:rsidP="0039664F">
      <w:pPr>
        <w:pStyle w:val="ad"/>
        <w:spacing w:before="0" w:beforeAutospacing="0" w:after="0" w:afterAutospacing="0"/>
        <w:ind w:firstLine="567"/>
        <w:jc w:val="both"/>
      </w:pPr>
      <w:r w:rsidRPr="000028C3">
        <w:rPr>
          <w:u w:val="single"/>
        </w:rPr>
        <w:t>Алгоритм выставления оценки</w:t>
      </w:r>
    </w:p>
    <w:p w14:paraId="455714C1" w14:textId="77777777" w:rsidR="009D7319" w:rsidRPr="000028C3" w:rsidRDefault="007D271B" w:rsidP="0039664F">
      <w:pPr>
        <w:pStyle w:val="ad"/>
        <w:spacing w:before="0" w:beforeAutospacing="0" w:after="0" w:afterAutospacing="0"/>
        <w:ind w:firstLine="567"/>
        <w:jc w:val="both"/>
      </w:pPr>
      <w:r w:rsidRPr="000028C3">
        <w:t>По наиболее актуальной информации о</w:t>
      </w:r>
      <w:r w:rsidR="006E3B52" w:rsidRPr="000028C3">
        <w:t>ценивается прогнозный коэффициент ликвидности</w:t>
      </w:r>
      <w:r w:rsidR="00AD54D1" w:rsidRPr="000028C3">
        <w:t>. Непрерывная линейная оценка.</w:t>
      </w:r>
    </w:p>
    <w:p w14:paraId="38C3F9EB" w14:textId="5ACDB8D4" w:rsidR="006E3B52" w:rsidRPr="000028C3" w:rsidRDefault="006E3B52" w:rsidP="0039664F">
      <w:pPr>
        <w:tabs>
          <w:tab w:val="num" w:pos="360"/>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282"/>
        <w:gridCol w:w="1022"/>
        <w:gridCol w:w="1041"/>
      </w:tblGrid>
      <w:tr w:rsidR="00CF69E8" w:rsidRPr="000028C3" w14:paraId="602202A6" w14:textId="77777777" w:rsidTr="00677F5A">
        <w:trPr>
          <w:trHeight w:val="20"/>
        </w:trPr>
        <w:tc>
          <w:tcPr>
            <w:tcW w:w="3896" w:type="pct"/>
            <w:shd w:val="clear" w:color="auto" w:fill="FFFFFF"/>
            <w:vAlign w:val="center"/>
          </w:tcPr>
          <w:p w14:paraId="0DCFE5C3" w14:textId="01C7D7F5" w:rsidR="00CF69E8" w:rsidRPr="000028C3" w:rsidRDefault="00CF69E8" w:rsidP="00797C86">
            <w:pPr>
              <w:rPr>
                <w:bCs/>
              </w:rPr>
            </w:pPr>
            <w:r w:rsidRPr="000028C3">
              <w:t>Показатель</w:t>
            </w:r>
          </w:p>
        </w:tc>
        <w:tc>
          <w:tcPr>
            <w:tcW w:w="547" w:type="pct"/>
            <w:shd w:val="clear" w:color="auto" w:fill="FFFFFF"/>
            <w:vAlign w:val="center"/>
          </w:tcPr>
          <w:p w14:paraId="7BAE13A6" w14:textId="77777777" w:rsidR="00CF69E8" w:rsidRPr="000028C3" w:rsidRDefault="00CF69E8" w:rsidP="00797C86">
            <w:pPr>
              <w:jc w:val="center"/>
              <w:rPr>
                <w:bCs/>
              </w:rPr>
            </w:pPr>
            <w:r w:rsidRPr="000028C3">
              <w:rPr>
                <w:bCs/>
              </w:rPr>
              <w:t>-1</w:t>
            </w:r>
          </w:p>
        </w:tc>
        <w:tc>
          <w:tcPr>
            <w:tcW w:w="557" w:type="pct"/>
            <w:shd w:val="clear" w:color="auto" w:fill="FFFFFF"/>
            <w:vAlign w:val="center"/>
          </w:tcPr>
          <w:p w14:paraId="6034AEC7" w14:textId="77777777" w:rsidR="00CF69E8" w:rsidRPr="000028C3" w:rsidRDefault="00CF69E8" w:rsidP="00797C86">
            <w:pPr>
              <w:jc w:val="center"/>
              <w:rPr>
                <w:bCs/>
              </w:rPr>
            </w:pPr>
            <w:r w:rsidRPr="000028C3">
              <w:rPr>
                <w:bCs/>
              </w:rPr>
              <w:t>1</w:t>
            </w:r>
          </w:p>
        </w:tc>
      </w:tr>
      <w:tr w:rsidR="00CF69E8" w:rsidRPr="000028C3" w14:paraId="7FE6B899" w14:textId="77777777" w:rsidTr="00677F5A">
        <w:trPr>
          <w:trHeight w:val="20"/>
        </w:trPr>
        <w:tc>
          <w:tcPr>
            <w:tcW w:w="3896" w:type="pct"/>
            <w:shd w:val="clear" w:color="auto" w:fill="FFFFFF"/>
            <w:noWrap/>
            <w:vAlign w:val="bottom"/>
          </w:tcPr>
          <w:p w14:paraId="13CC8BE6" w14:textId="77777777" w:rsidR="00CF69E8" w:rsidRPr="000028C3" w:rsidRDefault="00CF69E8" w:rsidP="00797C86">
            <w:r w:rsidRPr="000028C3">
              <w:t>Прогнозный коэффициент ликвидности, %</w:t>
            </w:r>
          </w:p>
        </w:tc>
        <w:tc>
          <w:tcPr>
            <w:tcW w:w="547" w:type="pct"/>
            <w:shd w:val="clear" w:color="auto" w:fill="FFFFFF"/>
            <w:vAlign w:val="center"/>
          </w:tcPr>
          <w:p w14:paraId="291FB81E" w14:textId="77777777" w:rsidR="00CF69E8" w:rsidRPr="000028C3" w:rsidRDefault="00CF69E8" w:rsidP="00797C86">
            <w:pPr>
              <w:jc w:val="center"/>
            </w:pPr>
            <w:r w:rsidRPr="000028C3">
              <w:t>≤ 100</w:t>
            </w:r>
          </w:p>
        </w:tc>
        <w:tc>
          <w:tcPr>
            <w:tcW w:w="557" w:type="pct"/>
            <w:shd w:val="clear" w:color="auto" w:fill="FFFFFF"/>
            <w:vAlign w:val="center"/>
          </w:tcPr>
          <w:p w14:paraId="40E72E44" w14:textId="77777777" w:rsidR="00CF69E8" w:rsidRPr="000028C3" w:rsidRDefault="00CF69E8" w:rsidP="00797C86">
            <w:pPr>
              <w:jc w:val="center"/>
            </w:pPr>
            <w:r w:rsidRPr="000028C3">
              <w:t>≥ 125</w:t>
            </w:r>
          </w:p>
        </w:tc>
      </w:tr>
    </w:tbl>
    <w:p w14:paraId="2138743C" w14:textId="77777777" w:rsidR="00CF69E8" w:rsidRPr="000028C3" w:rsidRDefault="00CF69E8" w:rsidP="0039664F">
      <w:pPr>
        <w:tabs>
          <w:tab w:val="num" w:pos="360"/>
        </w:tabs>
        <w:jc w:val="both"/>
        <w:rPr>
          <w:b/>
        </w:rPr>
      </w:pPr>
    </w:p>
    <w:p w14:paraId="515782FD" w14:textId="77777777" w:rsidR="009D7319" w:rsidRPr="000028C3" w:rsidRDefault="009D7319" w:rsidP="0039664F">
      <w:pPr>
        <w:pStyle w:val="ad"/>
        <w:spacing w:before="0" w:beforeAutospacing="0" w:after="0" w:afterAutospacing="0"/>
        <w:ind w:firstLine="567"/>
        <w:jc w:val="both"/>
      </w:pPr>
      <w:r w:rsidRPr="000028C3">
        <w:t>Числитель – сумма показателей:</w:t>
      </w:r>
    </w:p>
    <w:p w14:paraId="2548FCDA" w14:textId="77777777" w:rsidR="009D7319" w:rsidRPr="000028C3" w:rsidRDefault="00AD54D1" w:rsidP="0098669D">
      <w:pPr>
        <w:numPr>
          <w:ilvl w:val="0"/>
          <w:numId w:val="30"/>
        </w:numPr>
        <w:jc w:val="both"/>
      </w:pPr>
      <w:r w:rsidRPr="000028C3">
        <w:t>о</w:t>
      </w:r>
      <w:r w:rsidR="009D7319" w:rsidRPr="000028C3">
        <w:t>жидаемые поступления от клиентов в денежной форме (от операционной деятельности)</w:t>
      </w:r>
      <w:r w:rsidR="009D7319" w:rsidRPr="000028C3">
        <w:rPr>
          <w:rStyle w:val="a6"/>
        </w:rPr>
        <w:footnoteReference w:id="10"/>
      </w:r>
      <w:r w:rsidR="0069333A" w:rsidRPr="000028C3">
        <w:t>.</w:t>
      </w:r>
    </w:p>
    <w:p w14:paraId="7C1901F8" w14:textId="77777777" w:rsidR="009D7319" w:rsidRPr="000028C3" w:rsidRDefault="00AD54D1" w:rsidP="0098669D">
      <w:pPr>
        <w:numPr>
          <w:ilvl w:val="0"/>
          <w:numId w:val="30"/>
        </w:numPr>
        <w:jc w:val="both"/>
      </w:pPr>
      <w:r w:rsidRPr="000028C3">
        <w:t>о</w:t>
      </w:r>
      <w:r w:rsidR="009D7319" w:rsidRPr="000028C3">
        <w:t>жидаемы</w:t>
      </w:r>
      <w:r w:rsidR="00FA73E5" w:rsidRPr="000028C3">
        <w:t>е</w:t>
      </w:r>
      <w:r w:rsidR="009D7319" w:rsidRPr="000028C3">
        <w:t xml:space="preserve"> иные поступления в денежной форме (</w:t>
      </w:r>
      <w:r w:rsidR="0069333A" w:rsidRPr="000028C3">
        <w:t>проценты п</w:t>
      </w:r>
      <w:r w:rsidR="009D7319" w:rsidRPr="000028C3">
        <w:t>о облигация</w:t>
      </w:r>
      <w:r w:rsidR="0069333A" w:rsidRPr="000028C3">
        <w:t>м и</w:t>
      </w:r>
      <w:r w:rsidR="009D7319" w:rsidRPr="000028C3">
        <w:t xml:space="preserve"> депозитам, продажа активов и т.</w:t>
      </w:r>
      <w:r w:rsidR="0069333A" w:rsidRPr="000028C3">
        <w:t xml:space="preserve"> </w:t>
      </w:r>
      <w:r w:rsidR="009D7319" w:rsidRPr="000028C3">
        <w:t>д.</w:t>
      </w:r>
      <w:r w:rsidR="0069333A" w:rsidRPr="000028C3">
        <w:t>,</w:t>
      </w:r>
      <w:r w:rsidR="009D7319" w:rsidRPr="000028C3">
        <w:t xml:space="preserve"> т.</w:t>
      </w:r>
      <w:r w:rsidR="0069333A" w:rsidRPr="000028C3">
        <w:t xml:space="preserve"> </w:t>
      </w:r>
      <w:r w:rsidR="009D7319" w:rsidRPr="000028C3">
        <w:t>е. доходы о</w:t>
      </w:r>
      <w:r w:rsidRPr="000028C3">
        <w:t>т не</w:t>
      </w:r>
      <w:r w:rsidR="00FA73E5" w:rsidRPr="000028C3">
        <w:t xml:space="preserve"> </w:t>
      </w:r>
      <w:r w:rsidRPr="000028C3">
        <w:t>операционной деятельности);</w:t>
      </w:r>
    </w:p>
    <w:p w14:paraId="14846DFF" w14:textId="2A4C3BEB" w:rsidR="009D7319" w:rsidRPr="000028C3" w:rsidRDefault="00456DE3" w:rsidP="00B461CD">
      <w:pPr>
        <w:numPr>
          <w:ilvl w:val="0"/>
          <w:numId w:val="30"/>
        </w:numPr>
        <w:jc w:val="both"/>
      </w:pPr>
      <w:r w:rsidRPr="000028C3">
        <w:t>и</w:t>
      </w:r>
      <w:r w:rsidR="00355651" w:rsidRPr="000028C3">
        <w:t>меющиеся необремененные денежные средства и ценные бумаги, балансовая стоимость которых скорректирована в соответствии с разделом «</w:t>
      </w:r>
      <w:r w:rsidR="000A00A5" w:rsidRPr="000028C3">
        <w:t>К</w:t>
      </w:r>
      <w:r w:rsidR="00355651" w:rsidRPr="000028C3">
        <w:t xml:space="preserve">ачество прочих активов и внебалансовых обязательств». </w:t>
      </w:r>
      <w:r w:rsidR="009D7319" w:rsidRPr="000028C3">
        <w:t xml:space="preserve"> </w:t>
      </w:r>
    </w:p>
    <w:p w14:paraId="377C7FE4" w14:textId="77777777" w:rsidR="00F6704C" w:rsidRPr="000028C3" w:rsidRDefault="00F6704C" w:rsidP="0039664F">
      <w:pPr>
        <w:jc w:val="both"/>
      </w:pPr>
    </w:p>
    <w:p w14:paraId="3E4326C5" w14:textId="77777777" w:rsidR="009D7319" w:rsidRPr="000028C3" w:rsidRDefault="009D7319" w:rsidP="0039664F">
      <w:pPr>
        <w:pStyle w:val="ad"/>
        <w:spacing w:before="0" w:beforeAutospacing="0" w:after="0" w:afterAutospacing="0"/>
        <w:ind w:firstLine="567"/>
        <w:jc w:val="both"/>
      </w:pPr>
      <w:r w:rsidRPr="000028C3">
        <w:t xml:space="preserve">Знаменатель – сумма показателей: </w:t>
      </w:r>
    </w:p>
    <w:p w14:paraId="31331E59" w14:textId="77777777" w:rsidR="009D7319" w:rsidRPr="000028C3" w:rsidRDefault="00AD54D1" w:rsidP="0098669D">
      <w:pPr>
        <w:numPr>
          <w:ilvl w:val="0"/>
          <w:numId w:val="30"/>
        </w:numPr>
        <w:jc w:val="both"/>
      </w:pPr>
      <w:r w:rsidRPr="000028C3">
        <w:t>о</w:t>
      </w:r>
      <w:r w:rsidR="009D7319" w:rsidRPr="000028C3">
        <w:t xml:space="preserve">жидаемые управленческие и коммерческие расходы (сумма из </w:t>
      </w:r>
      <w:r w:rsidR="006E3B52" w:rsidRPr="000028C3">
        <w:t>отчета о финансовых результатах</w:t>
      </w:r>
      <w:r w:rsidR="009D7319" w:rsidRPr="000028C3">
        <w:t xml:space="preserve"> за последние 12 месяцев</w:t>
      </w:r>
      <w:r w:rsidR="006E3B52" w:rsidRPr="000028C3">
        <w:t>;</w:t>
      </w:r>
      <w:r w:rsidR="009D7319" w:rsidRPr="000028C3">
        <w:t xml:space="preserve"> корректируется, если есть основания);</w:t>
      </w:r>
    </w:p>
    <w:p w14:paraId="111FFA73" w14:textId="77777777" w:rsidR="009D7319" w:rsidRPr="000028C3" w:rsidRDefault="00AD54D1" w:rsidP="0098669D">
      <w:pPr>
        <w:numPr>
          <w:ilvl w:val="0"/>
          <w:numId w:val="30"/>
        </w:numPr>
        <w:jc w:val="both"/>
      </w:pPr>
      <w:r w:rsidRPr="000028C3">
        <w:t>с</w:t>
      </w:r>
      <w:r w:rsidR="009D7319" w:rsidRPr="000028C3">
        <w:t>ебестоимость;</w:t>
      </w:r>
    </w:p>
    <w:p w14:paraId="12D7D783" w14:textId="77777777" w:rsidR="009D7319" w:rsidRPr="000028C3" w:rsidRDefault="00AD54D1" w:rsidP="0098669D">
      <w:pPr>
        <w:numPr>
          <w:ilvl w:val="0"/>
          <w:numId w:val="30"/>
        </w:numPr>
        <w:jc w:val="both"/>
      </w:pPr>
      <w:r w:rsidRPr="000028C3">
        <w:t>в</w:t>
      </w:r>
      <w:r w:rsidR="009D7319" w:rsidRPr="000028C3">
        <w:t>ыплаты по обязательствам перед кредиторами (векселя, кредиторская задолженность, облигации, кредиты, оферты и т.</w:t>
      </w:r>
      <w:r w:rsidR="006E3B52" w:rsidRPr="000028C3">
        <w:t xml:space="preserve"> </w:t>
      </w:r>
      <w:r w:rsidR="009D7319" w:rsidRPr="000028C3">
        <w:t xml:space="preserve">д.) </w:t>
      </w:r>
      <w:r w:rsidR="006E3B52" w:rsidRPr="000028C3">
        <w:t xml:space="preserve">в течение </w:t>
      </w:r>
      <w:r w:rsidR="009D7319" w:rsidRPr="000028C3">
        <w:t>ближайших 12 месяцев.</w:t>
      </w:r>
    </w:p>
    <w:p w14:paraId="41411B63" w14:textId="49A368D5" w:rsidR="0073466F" w:rsidRDefault="0073466F" w:rsidP="0039664F">
      <w:pPr>
        <w:jc w:val="both"/>
        <w:rPr>
          <w:highlight w:val="yellow"/>
        </w:rPr>
      </w:pPr>
    </w:p>
    <w:p w14:paraId="1CF991A4" w14:textId="2D550763" w:rsidR="00EB4C6D" w:rsidRDefault="00EB4C6D" w:rsidP="0039664F">
      <w:pPr>
        <w:jc w:val="both"/>
        <w:rPr>
          <w:highlight w:val="yellow"/>
        </w:rPr>
      </w:pPr>
    </w:p>
    <w:p w14:paraId="32092D65" w14:textId="251F39A9" w:rsidR="00EB4C6D" w:rsidRDefault="00EB4C6D" w:rsidP="0039664F">
      <w:pPr>
        <w:jc w:val="both"/>
        <w:rPr>
          <w:highlight w:val="yellow"/>
        </w:rPr>
      </w:pPr>
    </w:p>
    <w:p w14:paraId="39F3C430" w14:textId="77777777" w:rsidR="00EB4C6D" w:rsidRPr="000028C3" w:rsidRDefault="00EB4C6D" w:rsidP="0039664F">
      <w:pPr>
        <w:jc w:val="both"/>
        <w:rPr>
          <w:highlight w:val="yellow"/>
        </w:rPr>
      </w:pPr>
    </w:p>
    <w:p w14:paraId="79C48EE9" w14:textId="77777777" w:rsidR="008B1955" w:rsidRPr="000028C3" w:rsidRDefault="008B1955" w:rsidP="0098669D">
      <w:pPr>
        <w:pStyle w:val="3"/>
        <w:numPr>
          <w:ilvl w:val="1"/>
          <w:numId w:val="17"/>
        </w:numPr>
        <w:spacing w:before="0" w:after="0"/>
        <w:rPr>
          <w:rFonts w:ascii="Times New Roman" w:hAnsi="Times New Roman" w:cs="Times New Roman"/>
        </w:rPr>
      </w:pPr>
      <w:bookmarkStart w:id="79" w:name="_Toc447270449"/>
      <w:bookmarkStart w:id="80" w:name="_Toc39667633"/>
      <w:r w:rsidRPr="000028C3">
        <w:rPr>
          <w:rFonts w:ascii="Times New Roman" w:hAnsi="Times New Roman" w:cs="Times New Roman"/>
        </w:rPr>
        <w:lastRenderedPageBreak/>
        <w:t>Валютные риски</w:t>
      </w:r>
      <w:bookmarkEnd w:id="79"/>
      <w:bookmarkEnd w:id="80"/>
    </w:p>
    <w:p w14:paraId="38D4C9E3" w14:textId="77777777" w:rsidR="0039664F" w:rsidRPr="000028C3" w:rsidRDefault="0039664F" w:rsidP="0039664F">
      <w:pPr>
        <w:pStyle w:val="ad"/>
        <w:spacing w:before="0" w:beforeAutospacing="0" w:after="0" w:afterAutospacing="0"/>
        <w:ind w:firstLine="567"/>
        <w:jc w:val="both"/>
        <w:rPr>
          <w:u w:val="single"/>
        </w:rPr>
      </w:pPr>
    </w:p>
    <w:p w14:paraId="04AB7AB5" w14:textId="1C900FC6" w:rsidR="000304B2" w:rsidRPr="000028C3" w:rsidRDefault="0073466F" w:rsidP="0039664F">
      <w:pPr>
        <w:pStyle w:val="ad"/>
        <w:spacing w:before="0" w:beforeAutospacing="0" w:after="0" w:afterAutospacing="0"/>
        <w:ind w:firstLine="567"/>
        <w:jc w:val="both"/>
        <w:rPr>
          <w:u w:val="single"/>
        </w:rPr>
      </w:pPr>
      <w:r w:rsidRPr="000028C3">
        <w:rPr>
          <w:u w:val="single"/>
        </w:rPr>
        <w:t>Цель оценки</w:t>
      </w:r>
    </w:p>
    <w:p w14:paraId="418F212F" w14:textId="77777777" w:rsidR="008B1955" w:rsidRPr="000028C3" w:rsidRDefault="008B1955" w:rsidP="0039664F">
      <w:pPr>
        <w:pStyle w:val="ad"/>
        <w:spacing w:before="0" w:beforeAutospacing="0" w:after="0" w:afterAutospacing="0"/>
        <w:ind w:firstLine="567"/>
        <w:jc w:val="both"/>
      </w:pPr>
      <w:r w:rsidRPr="000028C3">
        <w:t>Определить, насколько компания склонна к принятию валютного риска (риска волатильности валютных курсов).</w:t>
      </w:r>
      <w:r w:rsidR="000304B2" w:rsidRPr="000028C3">
        <w:t xml:space="preserve"> Значительная открытая валютная позиция (разница между обязательствами компании в валюте и требованиями к клиентам в той же валюте) может привести к непрогнозируемым убыткам от переоценки активов, номинированных в иностранных валютах, что негативно отражается на </w:t>
      </w:r>
      <w:r w:rsidR="00E02646" w:rsidRPr="000028C3">
        <w:t>уровне кредитоспособности</w:t>
      </w:r>
      <w:r w:rsidR="000304B2" w:rsidRPr="000028C3">
        <w:t>.</w:t>
      </w:r>
    </w:p>
    <w:p w14:paraId="2AF8E117" w14:textId="77777777" w:rsidR="00E7129A" w:rsidRPr="000028C3" w:rsidRDefault="00E7129A" w:rsidP="0039664F">
      <w:pPr>
        <w:ind w:left="1440" w:hanging="1440"/>
        <w:jc w:val="both"/>
        <w:rPr>
          <w:u w:val="single"/>
        </w:rPr>
      </w:pPr>
    </w:p>
    <w:p w14:paraId="28E0011B" w14:textId="3C2E7870" w:rsidR="00E7129A" w:rsidRPr="000028C3" w:rsidRDefault="00E7129A" w:rsidP="0039664F">
      <w:pPr>
        <w:pStyle w:val="ad"/>
        <w:spacing w:before="0" w:beforeAutospacing="0" w:after="0" w:afterAutospacing="0"/>
        <w:ind w:firstLine="567"/>
        <w:jc w:val="both"/>
      </w:pPr>
      <w:r w:rsidRPr="000028C3">
        <w:rPr>
          <w:u w:val="single"/>
        </w:rPr>
        <w:t>Алгоритм выставления оценки</w:t>
      </w:r>
    </w:p>
    <w:p w14:paraId="349722CE" w14:textId="77777777" w:rsidR="00E7129A" w:rsidRPr="000028C3" w:rsidRDefault="00E7129A" w:rsidP="0039664F">
      <w:pPr>
        <w:pStyle w:val="ad"/>
        <w:spacing w:before="0" w:beforeAutospacing="0" w:after="0" w:afterAutospacing="0"/>
        <w:ind w:firstLine="567"/>
        <w:jc w:val="both"/>
      </w:pPr>
      <w:r w:rsidRPr="000028C3">
        <w:t>Оценивается отношение открытой валютной позиции (ОВП) к собственным средствам компании. Показатель с длинным хвостом. Непрерывная линейная оценка.</w:t>
      </w:r>
    </w:p>
    <w:p w14:paraId="251F02F1" w14:textId="77777777" w:rsidR="00E7129A" w:rsidRPr="000028C3" w:rsidRDefault="00E7129A" w:rsidP="0039664F">
      <w:pPr>
        <w:ind w:left="1440" w:hanging="1440"/>
        <w:jc w:val="both"/>
        <w:rPr>
          <w:u w:val="single"/>
        </w:rPr>
      </w:pPr>
    </w:p>
    <w:p w14:paraId="31C0A3AE" w14:textId="77777777" w:rsidR="000304B2" w:rsidRPr="000028C3" w:rsidRDefault="006360E9" w:rsidP="0039664F">
      <w:pPr>
        <w:pStyle w:val="ad"/>
        <w:spacing w:before="0" w:beforeAutospacing="0" w:after="0" w:afterAutospacing="0"/>
        <w:ind w:firstLine="567"/>
        <w:jc w:val="both"/>
      </w:pPr>
      <w:r w:rsidRPr="000028C3">
        <w:t>Пример</w:t>
      </w:r>
      <w:r w:rsidR="000304B2" w:rsidRPr="000028C3">
        <w:t xml:space="preserve"> расчета ОВП: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245"/>
        <w:gridCol w:w="2295"/>
        <w:gridCol w:w="2611"/>
      </w:tblGrid>
      <w:tr w:rsidR="00502754" w:rsidRPr="000028C3" w14:paraId="23E3CAB5" w14:textId="77777777" w:rsidTr="006F39EA">
        <w:trPr>
          <w:jc w:val="center"/>
        </w:trPr>
        <w:tc>
          <w:tcPr>
            <w:tcW w:w="1174" w:type="pct"/>
            <w:vMerge w:val="restart"/>
            <w:shd w:val="clear" w:color="auto" w:fill="auto"/>
            <w:vAlign w:val="center"/>
          </w:tcPr>
          <w:p w14:paraId="465412AB" w14:textId="77777777" w:rsidR="008B1955" w:rsidRPr="000028C3" w:rsidRDefault="00E02646" w:rsidP="0039664F">
            <w:r w:rsidRPr="000028C3">
              <w:t>В</w:t>
            </w:r>
            <w:r w:rsidR="008B1955" w:rsidRPr="000028C3">
              <w:t>алюта</w:t>
            </w:r>
          </w:p>
        </w:tc>
        <w:tc>
          <w:tcPr>
            <w:tcW w:w="2429" w:type="pct"/>
            <w:gridSpan w:val="2"/>
            <w:shd w:val="clear" w:color="auto" w:fill="auto"/>
          </w:tcPr>
          <w:p w14:paraId="225CF666" w14:textId="77777777" w:rsidR="008B1955" w:rsidRPr="000028C3" w:rsidRDefault="008B1955" w:rsidP="0039664F">
            <w:pPr>
              <w:jc w:val="center"/>
            </w:pPr>
            <w:r w:rsidRPr="000028C3">
              <w:t>Величина в рублях</w:t>
            </w:r>
          </w:p>
        </w:tc>
        <w:tc>
          <w:tcPr>
            <w:tcW w:w="1397" w:type="pct"/>
            <w:vMerge w:val="restart"/>
            <w:shd w:val="clear" w:color="auto" w:fill="auto"/>
          </w:tcPr>
          <w:p w14:paraId="63657D72" w14:textId="77777777" w:rsidR="008B1955" w:rsidRPr="000028C3" w:rsidRDefault="008B1955" w:rsidP="0039664F">
            <w:pPr>
              <w:jc w:val="center"/>
            </w:pPr>
            <w:r w:rsidRPr="000028C3">
              <w:t xml:space="preserve">ОВП </w:t>
            </w:r>
          </w:p>
          <w:p w14:paraId="478A68D0" w14:textId="77777777" w:rsidR="008B1955" w:rsidRPr="000028C3" w:rsidRDefault="008B1955" w:rsidP="0039664F">
            <w:pPr>
              <w:jc w:val="center"/>
              <w:rPr>
                <w:highlight w:val="yellow"/>
              </w:rPr>
            </w:pPr>
            <w:r w:rsidRPr="000028C3">
              <w:t>(</w:t>
            </w:r>
            <w:r w:rsidR="00E02646" w:rsidRPr="000028C3">
              <w:t>модуль разности</w:t>
            </w:r>
            <w:r w:rsidRPr="000028C3">
              <w:t>)</w:t>
            </w:r>
          </w:p>
        </w:tc>
      </w:tr>
      <w:tr w:rsidR="00502754" w:rsidRPr="000028C3" w14:paraId="6502A27D" w14:textId="77777777" w:rsidTr="006F39EA">
        <w:trPr>
          <w:jc w:val="center"/>
        </w:trPr>
        <w:tc>
          <w:tcPr>
            <w:tcW w:w="1174" w:type="pct"/>
            <w:vMerge/>
            <w:shd w:val="clear" w:color="auto" w:fill="auto"/>
            <w:vAlign w:val="center"/>
          </w:tcPr>
          <w:p w14:paraId="74E43EBE" w14:textId="77777777" w:rsidR="008B1955" w:rsidRPr="000028C3" w:rsidRDefault="008B1955" w:rsidP="0039664F"/>
        </w:tc>
        <w:tc>
          <w:tcPr>
            <w:tcW w:w="1201" w:type="pct"/>
            <w:shd w:val="clear" w:color="auto" w:fill="auto"/>
          </w:tcPr>
          <w:p w14:paraId="7347F9AE" w14:textId="77777777" w:rsidR="008B1955" w:rsidRPr="000028C3" w:rsidRDefault="008B1955" w:rsidP="0039664F">
            <w:pPr>
              <w:jc w:val="center"/>
            </w:pPr>
            <w:r w:rsidRPr="000028C3">
              <w:t>Требования к клиентам (активы)</w:t>
            </w:r>
          </w:p>
        </w:tc>
        <w:tc>
          <w:tcPr>
            <w:tcW w:w="1227" w:type="pct"/>
            <w:shd w:val="clear" w:color="auto" w:fill="auto"/>
          </w:tcPr>
          <w:p w14:paraId="2B426F64" w14:textId="77777777" w:rsidR="008B1955" w:rsidRPr="000028C3" w:rsidRDefault="008B1955" w:rsidP="0039664F">
            <w:pPr>
              <w:jc w:val="center"/>
            </w:pPr>
            <w:r w:rsidRPr="000028C3">
              <w:t>Обязательства перед кредиторами (пассивы)</w:t>
            </w:r>
          </w:p>
        </w:tc>
        <w:tc>
          <w:tcPr>
            <w:tcW w:w="1397" w:type="pct"/>
            <w:vMerge/>
            <w:shd w:val="clear" w:color="auto" w:fill="auto"/>
          </w:tcPr>
          <w:p w14:paraId="2EB80773" w14:textId="77777777" w:rsidR="008B1955" w:rsidRPr="000028C3" w:rsidRDefault="008B1955" w:rsidP="0039664F">
            <w:pPr>
              <w:rPr>
                <w:highlight w:val="yellow"/>
              </w:rPr>
            </w:pPr>
          </w:p>
        </w:tc>
      </w:tr>
      <w:tr w:rsidR="00502754" w:rsidRPr="000028C3" w14:paraId="2A1F37F1" w14:textId="77777777" w:rsidTr="006F39EA">
        <w:trPr>
          <w:jc w:val="center"/>
        </w:trPr>
        <w:tc>
          <w:tcPr>
            <w:tcW w:w="1174" w:type="pct"/>
            <w:shd w:val="clear" w:color="auto" w:fill="auto"/>
            <w:vAlign w:val="center"/>
          </w:tcPr>
          <w:p w14:paraId="31207BD7" w14:textId="77777777" w:rsidR="008B1955" w:rsidRPr="000028C3" w:rsidRDefault="00E02646" w:rsidP="0039664F">
            <w:r w:rsidRPr="000028C3">
              <w:t>Рубли</w:t>
            </w:r>
          </w:p>
        </w:tc>
        <w:tc>
          <w:tcPr>
            <w:tcW w:w="1201" w:type="pct"/>
            <w:shd w:val="clear" w:color="auto" w:fill="auto"/>
            <w:vAlign w:val="center"/>
          </w:tcPr>
          <w:p w14:paraId="463BA632" w14:textId="77777777" w:rsidR="008B1955" w:rsidRPr="000028C3" w:rsidRDefault="008B1955" w:rsidP="0039664F">
            <w:pPr>
              <w:jc w:val="center"/>
            </w:pPr>
            <w:r w:rsidRPr="000028C3">
              <w:t>1</w:t>
            </w:r>
            <w:r w:rsidR="00FA73E5" w:rsidRPr="000028C3">
              <w:t xml:space="preserve"> </w:t>
            </w:r>
            <w:r w:rsidRPr="000028C3">
              <w:t>000</w:t>
            </w:r>
          </w:p>
        </w:tc>
        <w:tc>
          <w:tcPr>
            <w:tcW w:w="1227" w:type="pct"/>
            <w:shd w:val="clear" w:color="auto" w:fill="auto"/>
            <w:vAlign w:val="center"/>
          </w:tcPr>
          <w:p w14:paraId="7963A3C1" w14:textId="77777777" w:rsidR="008B1955" w:rsidRPr="000028C3" w:rsidRDefault="008B1955" w:rsidP="0039664F">
            <w:pPr>
              <w:jc w:val="center"/>
            </w:pPr>
            <w:r w:rsidRPr="000028C3">
              <w:t>500</w:t>
            </w:r>
          </w:p>
        </w:tc>
        <w:tc>
          <w:tcPr>
            <w:tcW w:w="1397" w:type="pct"/>
            <w:shd w:val="clear" w:color="auto" w:fill="auto"/>
          </w:tcPr>
          <w:p w14:paraId="7E8E09E9" w14:textId="77777777" w:rsidR="008B1955" w:rsidRPr="000028C3" w:rsidRDefault="008B1955" w:rsidP="0039664F">
            <w:pPr>
              <w:jc w:val="center"/>
            </w:pPr>
            <w:r w:rsidRPr="000028C3">
              <w:t>500 (балансирующая позиция в рублях)</w:t>
            </w:r>
          </w:p>
        </w:tc>
      </w:tr>
      <w:tr w:rsidR="00502754" w:rsidRPr="000028C3" w14:paraId="73A1AE29" w14:textId="77777777" w:rsidTr="006F39EA">
        <w:trPr>
          <w:jc w:val="center"/>
        </w:trPr>
        <w:tc>
          <w:tcPr>
            <w:tcW w:w="1174" w:type="pct"/>
            <w:shd w:val="clear" w:color="auto" w:fill="auto"/>
            <w:vAlign w:val="center"/>
          </w:tcPr>
          <w:p w14:paraId="0AB1DB9D" w14:textId="77777777" w:rsidR="008B1955" w:rsidRPr="000028C3" w:rsidRDefault="008B1955" w:rsidP="0039664F">
            <w:r w:rsidRPr="000028C3">
              <w:t>Евро</w:t>
            </w:r>
          </w:p>
        </w:tc>
        <w:tc>
          <w:tcPr>
            <w:tcW w:w="1201" w:type="pct"/>
            <w:shd w:val="clear" w:color="auto" w:fill="auto"/>
            <w:vAlign w:val="center"/>
          </w:tcPr>
          <w:p w14:paraId="6442DF50" w14:textId="77777777" w:rsidR="008B1955" w:rsidRPr="000028C3" w:rsidRDefault="008B1955" w:rsidP="0039664F">
            <w:pPr>
              <w:jc w:val="center"/>
            </w:pPr>
            <w:r w:rsidRPr="000028C3">
              <w:t>200</w:t>
            </w:r>
          </w:p>
        </w:tc>
        <w:tc>
          <w:tcPr>
            <w:tcW w:w="1227" w:type="pct"/>
            <w:shd w:val="clear" w:color="auto" w:fill="auto"/>
            <w:vAlign w:val="center"/>
          </w:tcPr>
          <w:p w14:paraId="747DF2A0" w14:textId="77777777" w:rsidR="008B1955" w:rsidRPr="000028C3" w:rsidRDefault="008B1955" w:rsidP="0039664F">
            <w:pPr>
              <w:jc w:val="center"/>
            </w:pPr>
            <w:r w:rsidRPr="000028C3">
              <w:t>400</w:t>
            </w:r>
          </w:p>
        </w:tc>
        <w:tc>
          <w:tcPr>
            <w:tcW w:w="1397" w:type="pct"/>
            <w:shd w:val="clear" w:color="auto" w:fill="auto"/>
          </w:tcPr>
          <w:p w14:paraId="1ED1D9EA" w14:textId="77777777" w:rsidR="008B1955" w:rsidRPr="000028C3" w:rsidRDefault="008B1955" w:rsidP="0039664F">
            <w:pPr>
              <w:jc w:val="center"/>
            </w:pPr>
            <w:r w:rsidRPr="000028C3">
              <w:t xml:space="preserve">200 </w:t>
            </w:r>
          </w:p>
        </w:tc>
      </w:tr>
      <w:tr w:rsidR="00502754" w:rsidRPr="000028C3" w14:paraId="79CEDF62" w14:textId="77777777" w:rsidTr="006F39EA">
        <w:trPr>
          <w:jc w:val="center"/>
        </w:trPr>
        <w:tc>
          <w:tcPr>
            <w:tcW w:w="1174" w:type="pct"/>
            <w:shd w:val="clear" w:color="auto" w:fill="auto"/>
            <w:vAlign w:val="center"/>
          </w:tcPr>
          <w:p w14:paraId="1CA35807" w14:textId="77777777" w:rsidR="008B1955" w:rsidRPr="000028C3" w:rsidRDefault="00E02646" w:rsidP="0039664F">
            <w:r w:rsidRPr="000028C3">
              <w:t>Д</w:t>
            </w:r>
            <w:r w:rsidR="008B1955" w:rsidRPr="000028C3">
              <w:t>оллар</w:t>
            </w:r>
            <w:r w:rsidRPr="000028C3">
              <w:t>ы</w:t>
            </w:r>
          </w:p>
        </w:tc>
        <w:tc>
          <w:tcPr>
            <w:tcW w:w="1201" w:type="pct"/>
            <w:shd w:val="clear" w:color="auto" w:fill="auto"/>
            <w:vAlign w:val="center"/>
          </w:tcPr>
          <w:p w14:paraId="4174C535" w14:textId="77777777" w:rsidR="008B1955" w:rsidRPr="000028C3" w:rsidRDefault="008B1955" w:rsidP="0039664F">
            <w:pPr>
              <w:jc w:val="center"/>
            </w:pPr>
            <w:r w:rsidRPr="000028C3">
              <w:t>300</w:t>
            </w:r>
          </w:p>
        </w:tc>
        <w:tc>
          <w:tcPr>
            <w:tcW w:w="1227" w:type="pct"/>
            <w:shd w:val="clear" w:color="auto" w:fill="auto"/>
            <w:vAlign w:val="center"/>
          </w:tcPr>
          <w:p w14:paraId="37BE52BA" w14:textId="77777777" w:rsidR="008B1955" w:rsidRPr="000028C3" w:rsidRDefault="008B1955" w:rsidP="0039664F">
            <w:pPr>
              <w:jc w:val="center"/>
            </w:pPr>
            <w:r w:rsidRPr="000028C3">
              <w:t>600</w:t>
            </w:r>
          </w:p>
        </w:tc>
        <w:tc>
          <w:tcPr>
            <w:tcW w:w="1397" w:type="pct"/>
            <w:shd w:val="clear" w:color="auto" w:fill="auto"/>
          </w:tcPr>
          <w:p w14:paraId="1B78868F" w14:textId="77777777" w:rsidR="008B1955" w:rsidRPr="000028C3" w:rsidRDefault="008B1955" w:rsidP="0039664F">
            <w:pPr>
              <w:jc w:val="center"/>
            </w:pPr>
            <w:r w:rsidRPr="000028C3">
              <w:t xml:space="preserve">300 </w:t>
            </w:r>
          </w:p>
        </w:tc>
      </w:tr>
      <w:tr w:rsidR="00502754" w:rsidRPr="000028C3" w14:paraId="1A9D0BCB" w14:textId="77777777" w:rsidTr="006F39EA">
        <w:trPr>
          <w:jc w:val="center"/>
        </w:trPr>
        <w:tc>
          <w:tcPr>
            <w:tcW w:w="3603" w:type="pct"/>
            <w:gridSpan w:val="3"/>
            <w:shd w:val="clear" w:color="auto" w:fill="auto"/>
          </w:tcPr>
          <w:p w14:paraId="105C9EBA" w14:textId="77777777" w:rsidR="008B1955" w:rsidRPr="000028C3" w:rsidRDefault="008B1955" w:rsidP="0039664F">
            <w:r w:rsidRPr="000028C3">
              <w:t>Суммарная ОВП по иностранным валютам</w:t>
            </w:r>
          </w:p>
        </w:tc>
        <w:tc>
          <w:tcPr>
            <w:tcW w:w="1397" w:type="pct"/>
            <w:shd w:val="clear" w:color="auto" w:fill="auto"/>
            <w:vAlign w:val="center"/>
          </w:tcPr>
          <w:p w14:paraId="4C41FD3E" w14:textId="77777777" w:rsidR="008B1955" w:rsidRPr="000028C3" w:rsidRDefault="008B1955" w:rsidP="0039664F">
            <w:pPr>
              <w:jc w:val="center"/>
              <w:rPr>
                <w:b/>
              </w:rPr>
            </w:pPr>
            <w:r w:rsidRPr="000028C3">
              <w:t>200</w:t>
            </w:r>
            <w:r w:rsidR="00E7129A" w:rsidRPr="000028C3">
              <w:rPr>
                <w:lang w:val="en-US"/>
              </w:rPr>
              <w:t xml:space="preserve"> </w:t>
            </w:r>
            <w:r w:rsidRPr="000028C3">
              <w:t>+</w:t>
            </w:r>
            <w:r w:rsidR="00E7129A" w:rsidRPr="000028C3">
              <w:rPr>
                <w:lang w:val="en-US"/>
              </w:rPr>
              <w:t xml:space="preserve"> </w:t>
            </w:r>
            <w:r w:rsidRPr="000028C3">
              <w:t>300</w:t>
            </w:r>
            <w:r w:rsidR="00E7129A" w:rsidRPr="000028C3">
              <w:rPr>
                <w:lang w:val="en-US"/>
              </w:rPr>
              <w:t xml:space="preserve"> </w:t>
            </w:r>
            <w:r w:rsidRPr="000028C3">
              <w:t>=</w:t>
            </w:r>
            <w:r w:rsidR="00E7129A" w:rsidRPr="000028C3">
              <w:rPr>
                <w:lang w:val="en-US"/>
              </w:rPr>
              <w:t xml:space="preserve"> </w:t>
            </w:r>
            <w:r w:rsidRPr="000028C3">
              <w:t>500</w:t>
            </w:r>
          </w:p>
        </w:tc>
      </w:tr>
    </w:tbl>
    <w:p w14:paraId="15DA1D2D" w14:textId="77777777" w:rsidR="00B32A34" w:rsidRPr="000028C3" w:rsidRDefault="00B32A34" w:rsidP="0039664F">
      <w:pPr>
        <w:jc w:val="both"/>
        <w:rPr>
          <w:highlight w:val="yellow"/>
        </w:rPr>
      </w:pPr>
      <w:bookmarkStart w:id="81" w:name="_Toc447270450"/>
      <w:bookmarkStart w:id="82" w:name="_Toc1595822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328"/>
        <w:gridCol w:w="1000"/>
        <w:gridCol w:w="1017"/>
      </w:tblGrid>
      <w:tr w:rsidR="00135EA9" w:rsidRPr="000028C3" w14:paraId="186702F1" w14:textId="77777777" w:rsidTr="00677F5A">
        <w:trPr>
          <w:trHeight w:val="20"/>
        </w:trPr>
        <w:tc>
          <w:tcPr>
            <w:tcW w:w="3921" w:type="pct"/>
            <w:shd w:val="clear" w:color="auto" w:fill="FFFFFF"/>
            <w:vAlign w:val="center"/>
          </w:tcPr>
          <w:p w14:paraId="6B9E0430" w14:textId="207E676C" w:rsidR="00135EA9" w:rsidRPr="000028C3" w:rsidRDefault="009D0B14" w:rsidP="0039664F">
            <w:pPr>
              <w:rPr>
                <w:bCs/>
              </w:rPr>
            </w:pPr>
            <w:r w:rsidRPr="000028C3">
              <w:t>Параметр</w:t>
            </w:r>
          </w:p>
        </w:tc>
        <w:tc>
          <w:tcPr>
            <w:tcW w:w="535" w:type="pct"/>
            <w:shd w:val="clear" w:color="auto" w:fill="FFFFFF"/>
            <w:vAlign w:val="center"/>
          </w:tcPr>
          <w:p w14:paraId="28139229" w14:textId="77777777" w:rsidR="00135EA9" w:rsidRPr="000028C3" w:rsidRDefault="00135EA9" w:rsidP="0039664F">
            <w:pPr>
              <w:jc w:val="center"/>
              <w:rPr>
                <w:bCs/>
              </w:rPr>
            </w:pPr>
            <w:r w:rsidRPr="000028C3">
              <w:rPr>
                <w:bCs/>
              </w:rPr>
              <w:t>-1</w:t>
            </w:r>
          </w:p>
        </w:tc>
        <w:tc>
          <w:tcPr>
            <w:tcW w:w="544" w:type="pct"/>
            <w:shd w:val="clear" w:color="auto" w:fill="FFFFFF"/>
            <w:vAlign w:val="center"/>
          </w:tcPr>
          <w:p w14:paraId="11DAF7F4" w14:textId="77777777" w:rsidR="00135EA9" w:rsidRPr="000028C3" w:rsidRDefault="00135EA9" w:rsidP="0039664F">
            <w:pPr>
              <w:jc w:val="center"/>
              <w:rPr>
                <w:bCs/>
              </w:rPr>
            </w:pPr>
            <w:r w:rsidRPr="000028C3">
              <w:rPr>
                <w:bCs/>
              </w:rPr>
              <w:t>1</w:t>
            </w:r>
          </w:p>
        </w:tc>
      </w:tr>
      <w:tr w:rsidR="00135EA9" w:rsidRPr="000028C3" w14:paraId="11DA9016" w14:textId="77777777" w:rsidTr="00677F5A">
        <w:trPr>
          <w:trHeight w:val="20"/>
        </w:trPr>
        <w:tc>
          <w:tcPr>
            <w:tcW w:w="3921" w:type="pct"/>
            <w:shd w:val="clear" w:color="auto" w:fill="FFFFFF"/>
            <w:noWrap/>
            <w:vAlign w:val="bottom"/>
          </w:tcPr>
          <w:p w14:paraId="42E88CFA" w14:textId="1F8FD913" w:rsidR="00135EA9" w:rsidRPr="000028C3" w:rsidRDefault="00135EA9" w:rsidP="0039664F">
            <w:r w:rsidRPr="000028C3">
              <w:t>ОВП</w:t>
            </w:r>
            <w:r w:rsidR="009878CA" w:rsidRPr="000028C3">
              <w:t xml:space="preserve"> по отношению к </w:t>
            </w:r>
            <w:r w:rsidRPr="000028C3">
              <w:t>собственны</w:t>
            </w:r>
            <w:r w:rsidR="009878CA" w:rsidRPr="000028C3">
              <w:t>м</w:t>
            </w:r>
            <w:r w:rsidRPr="000028C3">
              <w:t xml:space="preserve"> средств</w:t>
            </w:r>
            <w:r w:rsidR="009878CA" w:rsidRPr="000028C3">
              <w:t>ам, %</w:t>
            </w:r>
          </w:p>
        </w:tc>
        <w:tc>
          <w:tcPr>
            <w:tcW w:w="535" w:type="pct"/>
            <w:shd w:val="clear" w:color="auto" w:fill="FFFFFF"/>
            <w:vAlign w:val="center"/>
          </w:tcPr>
          <w:p w14:paraId="6E7519DA" w14:textId="255E41FC" w:rsidR="00135EA9" w:rsidRPr="000028C3" w:rsidRDefault="009878CA" w:rsidP="0039664F">
            <w:pPr>
              <w:jc w:val="center"/>
            </w:pPr>
            <w:r w:rsidRPr="000028C3">
              <w:t>≥ 15</w:t>
            </w:r>
          </w:p>
        </w:tc>
        <w:tc>
          <w:tcPr>
            <w:tcW w:w="544" w:type="pct"/>
            <w:shd w:val="clear" w:color="auto" w:fill="FFFFFF"/>
            <w:vAlign w:val="center"/>
          </w:tcPr>
          <w:p w14:paraId="1D6DA188" w14:textId="672A6EEB" w:rsidR="00135EA9" w:rsidRPr="000028C3" w:rsidRDefault="009878CA" w:rsidP="0039664F">
            <w:pPr>
              <w:jc w:val="center"/>
            </w:pPr>
            <w:r w:rsidRPr="000028C3">
              <w:t>≤ 3</w:t>
            </w:r>
          </w:p>
        </w:tc>
      </w:tr>
    </w:tbl>
    <w:p w14:paraId="08D65FE2" w14:textId="77777777" w:rsidR="00B32A34" w:rsidRPr="000028C3" w:rsidRDefault="00B32A34" w:rsidP="0039664F">
      <w:pPr>
        <w:jc w:val="both"/>
        <w:rPr>
          <w:highlight w:val="yellow"/>
        </w:rPr>
      </w:pPr>
    </w:p>
    <w:p w14:paraId="232903F2" w14:textId="77777777" w:rsidR="00135EA9" w:rsidRPr="000028C3" w:rsidRDefault="00135EA9" w:rsidP="0039664F">
      <w:pPr>
        <w:pStyle w:val="ad"/>
        <w:spacing w:before="0" w:beforeAutospacing="0" w:after="0" w:afterAutospacing="0"/>
        <w:ind w:firstLine="567"/>
        <w:jc w:val="both"/>
      </w:pPr>
      <w:r w:rsidRPr="000028C3">
        <w:t>При хеджировании валютных рисков оценка может быть повышена на 0,5-1,5.</w:t>
      </w:r>
    </w:p>
    <w:p w14:paraId="62A32559" w14:textId="77777777" w:rsidR="00B32A34" w:rsidRPr="000028C3" w:rsidRDefault="00B32A34" w:rsidP="0039664F">
      <w:pPr>
        <w:jc w:val="both"/>
        <w:rPr>
          <w:highlight w:val="yellow"/>
        </w:rPr>
      </w:pPr>
    </w:p>
    <w:p w14:paraId="27DCB58E" w14:textId="77777777" w:rsidR="00B32A34" w:rsidRPr="000028C3" w:rsidRDefault="00B32A34" w:rsidP="0039664F">
      <w:pPr>
        <w:jc w:val="both"/>
        <w:rPr>
          <w:highlight w:val="yellow"/>
        </w:rPr>
      </w:pPr>
    </w:p>
    <w:p w14:paraId="592DC37A" w14:textId="77777777" w:rsidR="00FA73E5" w:rsidRPr="000028C3" w:rsidRDefault="00FA73E5" w:rsidP="0039664F">
      <w:pPr>
        <w:rPr>
          <w:b/>
          <w:bCs/>
          <w:iCs/>
          <w:sz w:val="28"/>
          <w:szCs w:val="28"/>
          <w:lang w:eastAsia="ar-SA"/>
        </w:rPr>
      </w:pPr>
      <w:r w:rsidRPr="000028C3">
        <w:rPr>
          <w:i/>
          <w:lang w:eastAsia="ar-SA"/>
        </w:rPr>
        <w:br w:type="page"/>
      </w:r>
    </w:p>
    <w:p w14:paraId="4BB116AE" w14:textId="77777777" w:rsidR="008B1955" w:rsidRPr="000028C3" w:rsidRDefault="008B1955" w:rsidP="0039664F">
      <w:pPr>
        <w:pStyle w:val="2"/>
        <w:suppressAutoHyphens/>
        <w:spacing w:before="0" w:after="0"/>
        <w:ind w:hanging="9"/>
        <w:jc w:val="both"/>
        <w:rPr>
          <w:rFonts w:ascii="Times New Roman" w:hAnsi="Times New Roman" w:cs="Times New Roman"/>
          <w:i w:val="0"/>
          <w:lang w:eastAsia="ar-SA"/>
        </w:rPr>
      </w:pPr>
      <w:bookmarkStart w:id="83" w:name="_Toc39667634"/>
      <w:r w:rsidRPr="000028C3">
        <w:rPr>
          <w:rFonts w:ascii="Times New Roman" w:hAnsi="Times New Roman" w:cs="Times New Roman"/>
          <w:i w:val="0"/>
          <w:lang w:eastAsia="ar-SA"/>
        </w:rPr>
        <w:lastRenderedPageBreak/>
        <w:t>РАЗДЕЛ III. УПРАВЛЕНИЕ РИСКАМИ И КОРПОРАТИВНОЕ УПРАВЛЕНИЕ</w:t>
      </w:r>
      <w:bookmarkEnd w:id="81"/>
      <w:bookmarkEnd w:id="83"/>
    </w:p>
    <w:p w14:paraId="63BFF89C" w14:textId="77777777" w:rsidR="00B32A34" w:rsidRPr="000028C3" w:rsidRDefault="00B32A34" w:rsidP="0039664F"/>
    <w:p w14:paraId="56B16BFC" w14:textId="77777777" w:rsidR="00B32A34" w:rsidRPr="000028C3" w:rsidRDefault="00B32A34" w:rsidP="0039664F">
      <w:pPr>
        <w:pStyle w:val="ad"/>
        <w:spacing w:before="0" w:beforeAutospacing="0" w:after="0" w:afterAutospacing="0"/>
        <w:ind w:firstLine="567"/>
        <w:jc w:val="both"/>
      </w:pPr>
      <w:r w:rsidRPr="000028C3">
        <w:rPr>
          <w:u w:val="single"/>
        </w:rPr>
        <w:t xml:space="preserve">Источники информации для раздела </w:t>
      </w:r>
      <w:r w:rsidRPr="000028C3">
        <w:rPr>
          <w:u w:val="single"/>
          <w:lang w:val="en-US"/>
        </w:rPr>
        <w:t>III</w:t>
      </w:r>
      <w:r w:rsidRPr="000028C3">
        <w:t>:</w:t>
      </w:r>
    </w:p>
    <w:p w14:paraId="6F88914A"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Бухгалтерский баланс, отчет о финансовом положении.</w:t>
      </w:r>
    </w:p>
    <w:p w14:paraId="653AAF8E"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Отчет о финансовых результат</w:t>
      </w:r>
      <w:r w:rsidR="009E60C4" w:rsidRPr="000028C3">
        <w:rPr>
          <w:rFonts w:ascii="Times New Roman" w:hAnsi="Times New Roman" w:cs="Times New Roman"/>
        </w:rPr>
        <w:t>ах</w:t>
      </w:r>
      <w:r w:rsidRPr="000028C3">
        <w:rPr>
          <w:rFonts w:ascii="Times New Roman" w:hAnsi="Times New Roman" w:cs="Times New Roman"/>
        </w:rPr>
        <w:t xml:space="preserve"> / отчет о прибыли или </w:t>
      </w:r>
      <w:proofErr w:type="gramStart"/>
      <w:r w:rsidRPr="000028C3">
        <w:rPr>
          <w:rFonts w:ascii="Times New Roman" w:hAnsi="Times New Roman" w:cs="Times New Roman"/>
        </w:rPr>
        <w:t>убытке</w:t>
      </w:r>
      <w:proofErr w:type="gramEnd"/>
      <w:r w:rsidRPr="000028C3">
        <w:rPr>
          <w:rFonts w:ascii="Times New Roman" w:hAnsi="Times New Roman" w:cs="Times New Roman"/>
        </w:rPr>
        <w:t xml:space="preserve"> или прочем совокупном доходе.</w:t>
      </w:r>
    </w:p>
    <w:p w14:paraId="176DB52D" w14:textId="77777777" w:rsidR="009E59FF" w:rsidRPr="000028C3" w:rsidRDefault="009E60C4"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Анкета по форме Агентства.</w:t>
      </w:r>
    </w:p>
    <w:p w14:paraId="66CC49F9"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Аудиторские заключения к отчетности.</w:t>
      </w:r>
    </w:p>
    <w:p w14:paraId="463ED25D"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Документы, регламентирующие управление рисками.</w:t>
      </w:r>
    </w:p>
    <w:p w14:paraId="73190BC1"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Документы, определяющие стратегию развития.</w:t>
      </w:r>
    </w:p>
    <w:p w14:paraId="22E4E061"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Информация, полученная в ходе рейтингового интервью.</w:t>
      </w:r>
    </w:p>
    <w:p w14:paraId="4180A70E"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Информация из СМИ и других открытых источников.</w:t>
      </w:r>
    </w:p>
    <w:p w14:paraId="7F95984D" w14:textId="77777777" w:rsidR="009E59FF" w:rsidRPr="000028C3" w:rsidRDefault="009E59FF" w:rsidP="0098669D">
      <w:pPr>
        <w:pStyle w:val="af7"/>
        <w:numPr>
          <w:ilvl w:val="0"/>
          <w:numId w:val="31"/>
        </w:numPr>
        <w:ind w:left="851" w:hanging="284"/>
        <w:jc w:val="both"/>
        <w:rPr>
          <w:rFonts w:ascii="Times New Roman" w:hAnsi="Times New Roman" w:cs="Times New Roman"/>
        </w:rPr>
      </w:pPr>
      <w:r w:rsidRPr="000028C3">
        <w:rPr>
          <w:rFonts w:ascii="Times New Roman" w:hAnsi="Times New Roman" w:cs="Times New Roman"/>
        </w:rPr>
        <w:t>Информационный ресурс «СПАРК-Интерфакс».</w:t>
      </w:r>
    </w:p>
    <w:p w14:paraId="2900C878" w14:textId="77777777" w:rsidR="009662E9" w:rsidRPr="000028C3" w:rsidRDefault="009662E9" w:rsidP="0039664F">
      <w:pPr>
        <w:jc w:val="both"/>
      </w:pPr>
      <w:bookmarkStart w:id="84" w:name="_Toc447270451"/>
      <w:bookmarkEnd w:id="82"/>
    </w:p>
    <w:p w14:paraId="1E177F3C" w14:textId="77777777" w:rsidR="008B1955" w:rsidRPr="000028C3" w:rsidRDefault="008B1955" w:rsidP="0098669D">
      <w:pPr>
        <w:pStyle w:val="3"/>
        <w:numPr>
          <w:ilvl w:val="1"/>
          <w:numId w:val="10"/>
        </w:numPr>
        <w:spacing w:before="0" w:after="0"/>
        <w:ind w:left="709"/>
        <w:jc w:val="both"/>
        <w:rPr>
          <w:rFonts w:ascii="Times New Roman" w:hAnsi="Times New Roman" w:cs="Times New Roman"/>
        </w:rPr>
      </w:pPr>
      <w:bookmarkStart w:id="85" w:name="_Toc39667635"/>
      <w:r w:rsidRPr="000028C3">
        <w:rPr>
          <w:rFonts w:ascii="Times New Roman" w:hAnsi="Times New Roman" w:cs="Times New Roman"/>
        </w:rPr>
        <w:t>Корпоративное управление</w:t>
      </w:r>
      <w:bookmarkEnd w:id="84"/>
      <w:r w:rsidR="008263E9" w:rsidRPr="000028C3">
        <w:rPr>
          <w:rFonts w:ascii="Times New Roman" w:hAnsi="Times New Roman" w:cs="Times New Roman"/>
        </w:rPr>
        <w:t xml:space="preserve">, ИТ-обеспечение и </w:t>
      </w:r>
      <w:r w:rsidR="009C3255" w:rsidRPr="000028C3">
        <w:rPr>
          <w:rFonts w:ascii="Times New Roman" w:hAnsi="Times New Roman" w:cs="Times New Roman"/>
        </w:rPr>
        <w:t>информационная прозрачность</w:t>
      </w:r>
      <w:bookmarkEnd w:id="85"/>
    </w:p>
    <w:p w14:paraId="571477FB" w14:textId="77777777" w:rsidR="0039664F" w:rsidRPr="000028C3" w:rsidRDefault="0039664F" w:rsidP="0039664F">
      <w:pPr>
        <w:pStyle w:val="ad"/>
        <w:spacing w:before="0" w:beforeAutospacing="0" w:after="0" w:afterAutospacing="0"/>
        <w:ind w:firstLine="567"/>
        <w:jc w:val="both"/>
        <w:rPr>
          <w:u w:val="single"/>
        </w:rPr>
      </w:pPr>
    </w:p>
    <w:p w14:paraId="0678D9E5" w14:textId="3D838728" w:rsidR="009662E9" w:rsidRPr="000028C3" w:rsidRDefault="008B1955" w:rsidP="0039664F">
      <w:pPr>
        <w:pStyle w:val="ad"/>
        <w:spacing w:before="0" w:beforeAutospacing="0" w:after="0" w:afterAutospacing="0"/>
        <w:ind w:firstLine="567"/>
        <w:jc w:val="both"/>
      </w:pPr>
      <w:r w:rsidRPr="000028C3">
        <w:rPr>
          <w:u w:val="single"/>
        </w:rPr>
        <w:t>Цель оценки</w:t>
      </w:r>
    </w:p>
    <w:p w14:paraId="654BE966" w14:textId="77777777" w:rsidR="007C561A" w:rsidRPr="000028C3" w:rsidRDefault="007C561A" w:rsidP="0039664F">
      <w:pPr>
        <w:pStyle w:val="ad"/>
        <w:spacing w:before="0" w:beforeAutospacing="0" w:after="0" w:afterAutospacing="0"/>
        <w:ind w:firstLine="567"/>
        <w:jc w:val="both"/>
      </w:pPr>
      <w:r w:rsidRPr="000028C3">
        <w:t>Определить, в какой степени системы корпоративного управления, информационная прозрачность и бизнес-процессы обеспечивают конкурентоспособность и инвестиционную привлекательность компании в среднесрочной перспективе.</w:t>
      </w:r>
      <w:r w:rsidR="00A34B6C" w:rsidRPr="000028C3">
        <w:t xml:space="preserve"> </w:t>
      </w:r>
      <w:r w:rsidRPr="000028C3">
        <w:t>Уровень системы корпоративного управления и информационной прозрачности, качество бизнес-процессов связаны с уровнем кредитоспособности за счет в том числе следующих факторов:</w:t>
      </w:r>
    </w:p>
    <w:p w14:paraId="2C45EBA3" w14:textId="77777777" w:rsidR="007C561A" w:rsidRPr="000028C3" w:rsidRDefault="009662E9" w:rsidP="0098669D">
      <w:pPr>
        <w:numPr>
          <w:ilvl w:val="0"/>
          <w:numId w:val="6"/>
        </w:numPr>
        <w:jc w:val="both"/>
      </w:pPr>
      <w:r w:rsidRPr="000028C3">
        <w:t>с</w:t>
      </w:r>
      <w:r w:rsidR="007C561A" w:rsidRPr="000028C3">
        <w:t xml:space="preserve">истемы корпоративного управления призваны предотвращать принятие </w:t>
      </w:r>
      <w:r w:rsidR="00A34B6C" w:rsidRPr="000028C3">
        <w:t>компанией</w:t>
      </w:r>
      <w:r w:rsidR="007C561A" w:rsidRPr="000028C3">
        <w:t xml:space="preserve"> избыточных рисков</w:t>
      </w:r>
      <w:r w:rsidRPr="000028C3">
        <w:t>;</w:t>
      </w:r>
    </w:p>
    <w:p w14:paraId="116D902E" w14:textId="77777777" w:rsidR="007C561A" w:rsidRPr="000028C3" w:rsidRDefault="009662E9" w:rsidP="0098669D">
      <w:pPr>
        <w:numPr>
          <w:ilvl w:val="0"/>
          <w:numId w:val="6"/>
        </w:numPr>
        <w:jc w:val="both"/>
      </w:pPr>
      <w:r w:rsidRPr="000028C3">
        <w:t>и</w:t>
      </w:r>
      <w:r w:rsidR="007C561A" w:rsidRPr="000028C3">
        <w:t>нформационная прозрачность, как правило, положительно влияет на репутацию. Дополнительное внимание к прозрачности обусловлено тем, что она косвенно снижает вероятность наличия т.</w:t>
      </w:r>
      <w:r w:rsidRPr="000028C3">
        <w:t xml:space="preserve"> </w:t>
      </w:r>
      <w:r w:rsidR="007C561A" w:rsidRPr="000028C3">
        <w:t>н.</w:t>
      </w:r>
      <w:r w:rsidRPr="000028C3">
        <w:t xml:space="preserve"> замаскированных факторов риска;</w:t>
      </w:r>
    </w:p>
    <w:p w14:paraId="3340DE86" w14:textId="77777777" w:rsidR="007C561A" w:rsidRPr="000028C3" w:rsidRDefault="009662E9" w:rsidP="0098669D">
      <w:pPr>
        <w:numPr>
          <w:ilvl w:val="0"/>
          <w:numId w:val="6"/>
        </w:numPr>
        <w:jc w:val="both"/>
      </w:pPr>
      <w:r w:rsidRPr="000028C3">
        <w:t>с</w:t>
      </w:r>
      <w:r w:rsidR="007C561A" w:rsidRPr="000028C3">
        <w:t xml:space="preserve">истема корпоративного управления, бизнес-процессы, практика раскрытия важной для инвесторов информации формируют нематериальные активы (гудвилл) </w:t>
      </w:r>
      <w:r w:rsidR="00A34B6C" w:rsidRPr="000028C3">
        <w:t>компании</w:t>
      </w:r>
      <w:r w:rsidR="007C561A" w:rsidRPr="000028C3">
        <w:t xml:space="preserve">; эти активы предопределяют конкурентоспособность и способность </w:t>
      </w:r>
      <w:r w:rsidR="00A34B6C" w:rsidRPr="000028C3">
        <w:t>компании</w:t>
      </w:r>
      <w:r w:rsidR="007C561A" w:rsidRPr="000028C3">
        <w:t xml:space="preserve"> генерировать прибыль в среднесрочной перспективе;</w:t>
      </w:r>
    </w:p>
    <w:p w14:paraId="5AA57BCB" w14:textId="77777777" w:rsidR="007C561A" w:rsidRPr="000028C3" w:rsidRDefault="009662E9" w:rsidP="0098669D">
      <w:pPr>
        <w:numPr>
          <w:ilvl w:val="0"/>
          <w:numId w:val="6"/>
        </w:numPr>
        <w:jc w:val="both"/>
      </w:pPr>
      <w:r w:rsidRPr="000028C3">
        <w:t>с</w:t>
      </w:r>
      <w:r w:rsidR="007C561A" w:rsidRPr="000028C3">
        <w:t xml:space="preserve">истема корпоративного управления, качественные бизнес-процессы, практика раскрытия важной для инвесторов информации могут позитивно повлиять на инвестиционную привлекательность: при угрозе дефолта привлечение нового инвестора вероятнее в капитал </w:t>
      </w:r>
      <w:r w:rsidR="00A34B6C" w:rsidRPr="000028C3">
        <w:t xml:space="preserve">компании </w:t>
      </w:r>
      <w:r w:rsidR="007C561A" w:rsidRPr="000028C3">
        <w:t xml:space="preserve">со значительными нематериальными активами, чем без таковых. </w:t>
      </w:r>
    </w:p>
    <w:p w14:paraId="198AEEAB" w14:textId="77777777" w:rsidR="009662E9" w:rsidRPr="000028C3" w:rsidRDefault="009662E9" w:rsidP="0039664F">
      <w:pPr>
        <w:rPr>
          <w:u w:val="single"/>
        </w:rPr>
      </w:pPr>
    </w:p>
    <w:p w14:paraId="01F2DA63" w14:textId="59758D67" w:rsidR="008B1955" w:rsidRPr="000028C3" w:rsidRDefault="008B1955"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27067E03" w14:textId="0BBCBBDB" w:rsidR="00E2519B" w:rsidRPr="000028C3" w:rsidRDefault="00E2519B" w:rsidP="00CB0371">
      <w:pPr>
        <w:pStyle w:val="ad"/>
        <w:spacing w:before="0" w:beforeAutospacing="0" w:after="0" w:afterAutospacing="0"/>
        <w:ind w:firstLine="567"/>
        <w:jc w:val="both"/>
      </w:pPr>
      <w:r w:rsidRPr="000028C3">
        <w:t>Базовой оценкой фактора «</w:t>
      </w:r>
      <w:bookmarkStart w:id="86" w:name="_Hlk34156537"/>
      <w:r w:rsidRPr="000028C3">
        <w:t>Корпоративное управление, ИТ-обеспечение и информационная прозрачность</w:t>
      </w:r>
      <w:bookmarkEnd w:id="86"/>
      <w:r w:rsidRPr="000028C3">
        <w:t xml:space="preserve">» выступает балл 0. На основании экспертного суждения </w:t>
      </w:r>
      <w:r w:rsidR="000A00A5" w:rsidRPr="000028C3">
        <w:t xml:space="preserve">оценка </w:t>
      </w:r>
      <w:r w:rsidRPr="000028C3">
        <w:t>фактор</w:t>
      </w:r>
      <w:r w:rsidR="000A00A5" w:rsidRPr="000028C3">
        <w:t>а</w:t>
      </w:r>
      <w:r w:rsidRPr="000028C3">
        <w:t xml:space="preserve"> может корректироваться </w:t>
      </w:r>
      <w:r w:rsidR="000A00A5" w:rsidRPr="000028C3">
        <w:t xml:space="preserve">с шагом 0,25 </w:t>
      </w:r>
      <w:r w:rsidR="00EB4C6D">
        <w:t>к</w:t>
      </w:r>
      <w:r w:rsidRPr="000028C3">
        <w:t>ак вверх (вплоть до 1), так и вниз (вплоть до -1).</w:t>
      </w:r>
    </w:p>
    <w:p w14:paraId="3F1CF09D" w14:textId="77777777" w:rsidR="00E2519B" w:rsidRPr="000028C3" w:rsidRDefault="00E2519B" w:rsidP="00E2519B"/>
    <w:p w14:paraId="5447815D" w14:textId="77777777" w:rsidR="00E2519B" w:rsidRPr="000028C3" w:rsidRDefault="00E2519B" w:rsidP="00CB0371">
      <w:pPr>
        <w:pStyle w:val="ad"/>
        <w:spacing w:before="0" w:beforeAutospacing="0" w:after="0" w:afterAutospacing="0"/>
        <w:ind w:firstLine="567"/>
        <w:jc w:val="both"/>
      </w:pPr>
      <w:r w:rsidRPr="000028C3">
        <w:t>Основаниями для корректировки балла вниз могут выступать:</w:t>
      </w:r>
    </w:p>
    <w:p w14:paraId="563AADD1"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Наличие признаков формального функционирования Совета директоров или Наблюдательного совета</w:t>
      </w:r>
      <w:r w:rsidRPr="000028C3">
        <w:rPr>
          <w:rStyle w:val="a6"/>
          <w:rFonts w:ascii="Times New Roman" w:hAnsi="Times New Roman" w:cs="Times New Roman"/>
        </w:rPr>
        <w:footnoteReference w:id="11"/>
      </w:r>
      <w:r w:rsidRPr="000028C3">
        <w:rPr>
          <w:rFonts w:ascii="Times New Roman" w:hAnsi="Times New Roman" w:cs="Times New Roman"/>
        </w:rPr>
        <w:t xml:space="preserve">. В числе прочего об этом может свидетельствовать </w:t>
      </w:r>
      <w:r w:rsidRPr="000028C3">
        <w:rPr>
          <w:rFonts w:ascii="Times New Roman" w:hAnsi="Times New Roman" w:cs="Times New Roman"/>
        </w:rPr>
        <w:lastRenderedPageBreak/>
        <w:t>принятие решений по значимым вопросам в рамках компетенции Совета директоров без проведения его заседаний либо практика заочных заседаний, голосование по доверенности, крайне распространенное голосование без расхождения мнений участников Совета директоров (единогласное голосование, зафиксированное в протоколах заседаний) и т. д.;</w:t>
      </w:r>
    </w:p>
    <w:p w14:paraId="242B0D62" w14:textId="57A451D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Наличие сомнений в компетенции членов СД и</w:t>
      </w:r>
      <w:r w:rsidR="002955F4">
        <w:rPr>
          <w:rFonts w:ascii="Times New Roman" w:hAnsi="Times New Roman" w:cs="Times New Roman"/>
        </w:rPr>
        <w:t xml:space="preserve"> (</w:t>
      </w:r>
      <w:r w:rsidRPr="000028C3">
        <w:rPr>
          <w:rFonts w:ascii="Times New Roman" w:hAnsi="Times New Roman" w:cs="Times New Roman"/>
        </w:rPr>
        <w:t>или</w:t>
      </w:r>
      <w:r w:rsidR="002955F4">
        <w:rPr>
          <w:rFonts w:ascii="Times New Roman" w:hAnsi="Times New Roman" w:cs="Times New Roman"/>
        </w:rPr>
        <w:t>)</w:t>
      </w:r>
      <w:r w:rsidRPr="000028C3">
        <w:rPr>
          <w:rFonts w:ascii="Times New Roman" w:hAnsi="Times New Roman" w:cs="Times New Roman"/>
        </w:rPr>
        <w:t xml:space="preserve"> исполнительного руководства (малый опыт работы в </w:t>
      </w:r>
      <w:r w:rsidR="00797C86" w:rsidRPr="000028C3">
        <w:rPr>
          <w:rFonts w:ascii="Times New Roman" w:hAnsi="Times New Roman" w:cs="Times New Roman"/>
        </w:rPr>
        <w:t>финансовой</w:t>
      </w:r>
      <w:r w:rsidRPr="000028C3">
        <w:rPr>
          <w:rFonts w:ascii="Times New Roman" w:hAnsi="Times New Roman" w:cs="Times New Roman"/>
        </w:rPr>
        <w:t xml:space="preserve"> сфере или отсутствие профильного высшего образования) или их деловой репутации (например, члены СД </w:t>
      </w:r>
      <w:r w:rsidR="002955F4" w:rsidRPr="000028C3">
        <w:rPr>
          <w:rFonts w:ascii="Times New Roman" w:hAnsi="Times New Roman" w:cs="Times New Roman"/>
        </w:rPr>
        <w:t>и</w:t>
      </w:r>
      <w:r w:rsidR="002955F4">
        <w:rPr>
          <w:rFonts w:ascii="Times New Roman" w:hAnsi="Times New Roman" w:cs="Times New Roman"/>
        </w:rPr>
        <w:t xml:space="preserve"> (</w:t>
      </w:r>
      <w:r w:rsidR="002955F4" w:rsidRPr="000028C3">
        <w:rPr>
          <w:rFonts w:ascii="Times New Roman" w:hAnsi="Times New Roman" w:cs="Times New Roman"/>
        </w:rPr>
        <w:t>или</w:t>
      </w:r>
      <w:r w:rsidR="002955F4">
        <w:rPr>
          <w:rFonts w:ascii="Times New Roman" w:hAnsi="Times New Roman" w:cs="Times New Roman"/>
        </w:rPr>
        <w:t>)</w:t>
      </w:r>
      <w:r w:rsidR="002955F4" w:rsidRPr="000028C3">
        <w:rPr>
          <w:rFonts w:ascii="Times New Roman" w:hAnsi="Times New Roman" w:cs="Times New Roman"/>
        </w:rPr>
        <w:t xml:space="preserve"> </w:t>
      </w:r>
      <w:r w:rsidRPr="000028C3">
        <w:rPr>
          <w:rFonts w:ascii="Times New Roman" w:hAnsi="Times New Roman" w:cs="Times New Roman"/>
        </w:rPr>
        <w:t>исполнительного руководства руководили или являлись собственниками иных организаций финансового и нефинансового сектора, которые впоследствии допустили дефолт / лицензия которых была отозвана или которые были переданы на санацию, если данные физлица при этом занимали руководящие должности до дефолта / санации));</w:t>
      </w:r>
    </w:p>
    <w:p w14:paraId="22AD3601" w14:textId="47F3CE28"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Сложная и / или непрозрачная организационная структура компании;</w:t>
      </w:r>
    </w:p>
    <w:p w14:paraId="69FD9030" w14:textId="368A02AF"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Наличие недостатков организационной структуры, при которых резко возрастают риски финансовых потерь (например, на одном и том же структурном подразделении </w:t>
      </w:r>
      <w:r w:rsidR="00797C86" w:rsidRPr="000028C3">
        <w:rPr>
          <w:rFonts w:ascii="Times New Roman" w:hAnsi="Times New Roman" w:cs="Times New Roman"/>
        </w:rPr>
        <w:t>компании</w:t>
      </w:r>
      <w:r w:rsidRPr="000028C3">
        <w:rPr>
          <w:rFonts w:ascii="Times New Roman" w:hAnsi="Times New Roman" w:cs="Times New Roman"/>
        </w:rPr>
        <w:t xml:space="preserve"> концентрируются функции принятия и управления рисками);</w:t>
      </w:r>
      <w:r w:rsidRPr="000028C3" w:rsidDel="003B22D2">
        <w:rPr>
          <w:rFonts w:ascii="Times New Roman" w:hAnsi="Times New Roman" w:cs="Times New Roman"/>
        </w:rPr>
        <w:t xml:space="preserve"> </w:t>
      </w:r>
    </w:p>
    <w:p w14:paraId="3F917ABF" w14:textId="3AD570DA"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Частые изменения в составе СД </w:t>
      </w:r>
      <w:r w:rsidR="002955F4" w:rsidRPr="000028C3">
        <w:rPr>
          <w:rFonts w:ascii="Times New Roman" w:hAnsi="Times New Roman" w:cs="Times New Roman"/>
        </w:rPr>
        <w:t>и</w:t>
      </w:r>
      <w:r w:rsidR="002955F4">
        <w:rPr>
          <w:rFonts w:ascii="Times New Roman" w:hAnsi="Times New Roman" w:cs="Times New Roman"/>
        </w:rPr>
        <w:t xml:space="preserve"> (</w:t>
      </w:r>
      <w:r w:rsidR="002955F4" w:rsidRPr="000028C3">
        <w:rPr>
          <w:rFonts w:ascii="Times New Roman" w:hAnsi="Times New Roman" w:cs="Times New Roman"/>
        </w:rPr>
        <w:t>или</w:t>
      </w:r>
      <w:r w:rsidR="002955F4">
        <w:rPr>
          <w:rFonts w:ascii="Times New Roman" w:hAnsi="Times New Roman" w:cs="Times New Roman"/>
        </w:rPr>
        <w:t>)</w:t>
      </w:r>
      <w:r w:rsidR="002955F4" w:rsidRPr="000028C3">
        <w:rPr>
          <w:rFonts w:ascii="Times New Roman" w:hAnsi="Times New Roman" w:cs="Times New Roman"/>
        </w:rPr>
        <w:t xml:space="preserve"> </w:t>
      </w:r>
      <w:r w:rsidRPr="000028C3">
        <w:rPr>
          <w:rFonts w:ascii="Times New Roman" w:hAnsi="Times New Roman" w:cs="Times New Roman"/>
        </w:rPr>
        <w:t xml:space="preserve">исполнительного руководства </w:t>
      </w:r>
      <w:r w:rsidR="00797C86" w:rsidRPr="000028C3">
        <w:rPr>
          <w:rFonts w:ascii="Times New Roman" w:hAnsi="Times New Roman" w:cs="Times New Roman"/>
        </w:rPr>
        <w:t>компании</w:t>
      </w:r>
      <w:r w:rsidRPr="000028C3">
        <w:rPr>
          <w:rFonts w:ascii="Times New Roman" w:hAnsi="Times New Roman" w:cs="Times New Roman"/>
        </w:rPr>
        <w:t>;</w:t>
      </w:r>
    </w:p>
    <w:p w14:paraId="4B1ECE26" w14:textId="4DEFDD3D"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Корпоративное управление </w:t>
      </w:r>
      <w:r w:rsidR="00797C86" w:rsidRPr="000028C3">
        <w:rPr>
          <w:rFonts w:ascii="Times New Roman" w:hAnsi="Times New Roman" w:cs="Times New Roman"/>
        </w:rPr>
        <w:t xml:space="preserve">компании </w:t>
      </w:r>
      <w:r w:rsidRPr="000028C3">
        <w:rPr>
          <w:rFonts w:ascii="Times New Roman" w:hAnsi="Times New Roman" w:cs="Times New Roman"/>
        </w:rPr>
        <w:t xml:space="preserve">характеризуется чрезмерной концентрацией на ключевой фигуре / фигурах топ-менеджеров (потеря отдельных руководящих сотрудников может привести к существенному ухудшению операционной деятельности </w:t>
      </w:r>
      <w:r w:rsidR="00797C86" w:rsidRPr="000028C3">
        <w:rPr>
          <w:rFonts w:ascii="Times New Roman" w:hAnsi="Times New Roman" w:cs="Times New Roman"/>
        </w:rPr>
        <w:t>компании</w:t>
      </w:r>
      <w:r w:rsidRPr="000028C3">
        <w:rPr>
          <w:rFonts w:ascii="Times New Roman" w:hAnsi="Times New Roman" w:cs="Times New Roman"/>
        </w:rPr>
        <w:t>, в т.ч. в результате потери значимых клиентов и (или) неспособности эффективно продолжать деятельность в определенных сегментах) или подвержено существенному внешнему влиянию (в том числе, административному и (или) политическому);</w:t>
      </w:r>
    </w:p>
    <w:p w14:paraId="77D75CB2" w14:textId="324E04B3"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Выявлено явное несоответствие текущей деятельности </w:t>
      </w:r>
      <w:r w:rsidR="00797C86" w:rsidRPr="000028C3">
        <w:rPr>
          <w:rFonts w:ascii="Times New Roman" w:hAnsi="Times New Roman" w:cs="Times New Roman"/>
        </w:rPr>
        <w:t xml:space="preserve">компании </w:t>
      </w:r>
      <w:r w:rsidRPr="000028C3">
        <w:rPr>
          <w:rFonts w:ascii="Times New Roman" w:hAnsi="Times New Roman" w:cs="Times New Roman"/>
        </w:rPr>
        <w:t xml:space="preserve">и ее результатов стратегическим ориентирам развития, установленным Общим собранием акционеров (участников) и Советом директоров и закрепленным такими внутренними документами </w:t>
      </w:r>
      <w:r w:rsidR="00797C86" w:rsidRPr="000028C3">
        <w:rPr>
          <w:rFonts w:ascii="Times New Roman" w:hAnsi="Times New Roman" w:cs="Times New Roman"/>
        </w:rPr>
        <w:t>компании</w:t>
      </w:r>
      <w:r w:rsidRPr="000028C3">
        <w:rPr>
          <w:rFonts w:ascii="Times New Roman" w:hAnsi="Times New Roman" w:cs="Times New Roman"/>
        </w:rPr>
        <w:t>, как стратегия развития и бизнес-план;</w:t>
      </w:r>
    </w:p>
    <w:p w14:paraId="1C0C1127" w14:textId="6BBFDBC9"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Наличие признаков неэффективности бизнес-модели </w:t>
      </w:r>
      <w:r w:rsidR="00797C86" w:rsidRPr="000028C3">
        <w:rPr>
          <w:rFonts w:ascii="Times New Roman" w:hAnsi="Times New Roman" w:cs="Times New Roman"/>
        </w:rPr>
        <w:t>компании</w:t>
      </w:r>
      <w:r w:rsidRPr="000028C3">
        <w:rPr>
          <w:rFonts w:ascii="Times New Roman" w:hAnsi="Times New Roman" w:cs="Times New Roman"/>
        </w:rPr>
        <w:t xml:space="preserve">, такие как устойчивая убыточность и потеря капитала (по оценкам Агентства), потеря конкурентных позиций в ключевых для </w:t>
      </w:r>
      <w:r w:rsidR="00797C86" w:rsidRPr="000028C3">
        <w:rPr>
          <w:rFonts w:ascii="Times New Roman" w:hAnsi="Times New Roman" w:cs="Times New Roman"/>
        </w:rPr>
        <w:t xml:space="preserve">компании </w:t>
      </w:r>
      <w:r w:rsidRPr="000028C3">
        <w:rPr>
          <w:rFonts w:ascii="Times New Roman" w:hAnsi="Times New Roman" w:cs="Times New Roman"/>
        </w:rPr>
        <w:t>рыночных сегментах, продолжительный отток клиентской базы;</w:t>
      </w:r>
    </w:p>
    <w:p w14:paraId="15FABBA5" w14:textId="154F5DCC"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Сотрудничество </w:t>
      </w:r>
      <w:r w:rsidR="00797C86" w:rsidRPr="000028C3">
        <w:rPr>
          <w:rFonts w:ascii="Times New Roman" w:hAnsi="Times New Roman" w:cs="Times New Roman"/>
        </w:rPr>
        <w:t xml:space="preserve">компании </w:t>
      </w:r>
      <w:r w:rsidRPr="000028C3">
        <w:rPr>
          <w:rFonts w:ascii="Times New Roman" w:hAnsi="Times New Roman" w:cs="Times New Roman"/>
        </w:rPr>
        <w:t>с аудитором по последней подготовленной отчетности (при сотрудничестве с разными аудиторами по национальным и международным стандартам оценивается репутация аудитора по международным стандартам), имеющим плохую деловую репутацию. Агентство может оценивать деловую репутацию как плохую на основании фактов заверения недостоверной отчетности, приостановления членства в СРО, а также другой негативной информации;</w:t>
      </w:r>
    </w:p>
    <w:p w14:paraId="4EFD5E71" w14:textId="669643EB" w:rsidR="00E2519B" w:rsidRPr="000028C3" w:rsidRDefault="00797C86"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Компания</w:t>
      </w:r>
      <w:r w:rsidR="00E2519B" w:rsidRPr="000028C3">
        <w:rPr>
          <w:rFonts w:ascii="Times New Roman" w:hAnsi="Times New Roman" w:cs="Times New Roman"/>
        </w:rPr>
        <w:t xml:space="preserve"> продолжительное время не осуществляет ротацию аудиторской фирмы;</w:t>
      </w:r>
    </w:p>
    <w:p w14:paraId="691CE30D" w14:textId="1452F047" w:rsidR="00E2519B" w:rsidRPr="000028C3" w:rsidRDefault="00E2519B" w:rsidP="00797C86">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Неоптимальная численность сотрудников, занимающихся финансовым мониторингом, относительно масштаба деятельности </w:t>
      </w:r>
      <w:r w:rsidR="00797C86" w:rsidRPr="000028C3">
        <w:rPr>
          <w:rFonts w:ascii="Times New Roman" w:hAnsi="Times New Roman" w:cs="Times New Roman"/>
        </w:rPr>
        <w:t>компании</w:t>
      </w:r>
      <w:r w:rsidRPr="000028C3">
        <w:rPr>
          <w:rFonts w:ascii="Times New Roman" w:hAnsi="Times New Roman" w:cs="Times New Roman"/>
        </w:rPr>
        <w:t>;</w:t>
      </w:r>
      <w:r w:rsidR="00797C86" w:rsidRPr="000028C3">
        <w:rPr>
          <w:rFonts w:ascii="Times New Roman" w:hAnsi="Times New Roman" w:cs="Times New Roman"/>
        </w:rPr>
        <w:t xml:space="preserve"> </w:t>
      </w:r>
    </w:p>
    <w:p w14:paraId="143F46F0"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Наличие у Агентства информации о прецедентах вмешательства ключевых собственников (не состоящих в органах управления) в процесс принятия решений в обход действующих органов управления (например, минуя либо применяя формально процедуры риск-менеджмента и контроля конфликта интересов) или прецеденты превышения полномочий собственниками, входящими в состав органов управления;</w:t>
      </w:r>
    </w:p>
    <w:p w14:paraId="5A91172A" w14:textId="2DFDF8E6" w:rsidR="00E2519B" w:rsidRPr="000028C3" w:rsidRDefault="00E2519B" w:rsidP="00797C86">
      <w:pPr>
        <w:pStyle w:val="af7"/>
        <w:numPr>
          <w:ilvl w:val="0"/>
          <w:numId w:val="43"/>
        </w:numPr>
        <w:jc w:val="both"/>
        <w:rPr>
          <w:rFonts w:ascii="Times New Roman" w:hAnsi="Times New Roman" w:cs="Times New Roman"/>
        </w:rPr>
      </w:pPr>
      <w:r w:rsidRPr="000028C3">
        <w:rPr>
          <w:rFonts w:ascii="Times New Roman" w:hAnsi="Times New Roman" w:cs="Times New Roman"/>
          <w:iCs/>
          <w:szCs w:val="24"/>
        </w:rPr>
        <w:lastRenderedPageBreak/>
        <w:t xml:space="preserve">Не внедрена </w:t>
      </w:r>
      <w:r w:rsidR="00797C86" w:rsidRPr="000028C3">
        <w:rPr>
          <w:rFonts w:ascii="Times New Roman" w:hAnsi="Times New Roman" w:cs="Times New Roman"/>
          <w:iCs/>
          <w:szCs w:val="24"/>
        </w:rPr>
        <w:t>специализированная система, которая обеспечивают все основные функции и имеют обмен данными с бухгалтерским ПО;</w:t>
      </w:r>
    </w:p>
    <w:p w14:paraId="0B328605" w14:textId="64789277" w:rsidR="00E2519B" w:rsidRPr="000028C3" w:rsidRDefault="00797C86"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Компания</w:t>
      </w:r>
      <w:r w:rsidR="00E2519B" w:rsidRPr="000028C3">
        <w:rPr>
          <w:rFonts w:ascii="Times New Roman" w:hAnsi="Times New Roman" w:cs="Times New Roman"/>
        </w:rPr>
        <w:t xml:space="preserve"> не располагает резервными серверами и источниками питания, не обеспечено регулярное резервное копирование данных;</w:t>
      </w:r>
    </w:p>
    <w:p w14:paraId="2C4C268A" w14:textId="30272712"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Наличие фактов утечки данных</w:t>
      </w:r>
      <w:r w:rsidR="00797C86" w:rsidRPr="000028C3">
        <w:rPr>
          <w:rFonts w:ascii="Times New Roman" w:hAnsi="Times New Roman" w:cs="Times New Roman"/>
        </w:rPr>
        <w:t>, составляющих коммерческую тайну,</w:t>
      </w:r>
      <w:r w:rsidRPr="000028C3">
        <w:rPr>
          <w:rFonts w:ascii="Times New Roman" w:hAnsi="Times New Roman" w:cs="Times New Roman"/>
        </w:rPr>
        <w:t xml:space="preserve"> из корпоративной сети </w:t>
      </w:r>
      <w:r w:rsidR="00797C86" w:rsidRPr="000028C3">
        <w:rPr>
          <w:rFonts w:ascii="Times New Roman" w:hAnsi="Times New Roman" w:cs="Times New Roman"/>
        </w:rPr>
        <w:t>компании</w:t>
      </w:r>
      <w:r w:rsidRPr="000028C3">
        <w:rPr>
          <w:rFonts w:ascii="Times New Roman" w:hAnsi="Times New Roman" w:cs="Times New Roman"/>
        </w:rPr>
        <w:t xml:space="preserve"> в последние два года;</w:t>
      </w:r>
    </w:p>
    <w:p w14:paraId="006F42DF" w14:textId="106E25FA"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Непрозрачность структуры группы, в которую входит </w:t>
      </w:r>
      <w:r w:rsidR="00797C86" w:rsidRPr="000028C3">
        <w:rPr>
          <w:rFonts w:ascii="Times New Roman" w:hAnsi="Times New Roman" w:cs="Times New Roman"/>
        </w:rPr>
        <w:t>компания</w:t>
      </w:r>
      <w:r w:rsidRPr="000028C3">
        <w:rPr>
          <w:rFonts w:ascii="Times New Roman" w:hAnsi="Times New Roman" w:cs="Times New Roman"/>
        </w:rPr>
        <w:t xml:space="preserve"> (наличия непрозрачных сделок со связанными сторонами, транзакций между компаниями группы без очевидного экономического смысла);</w:t>
      </w:r>
    </w:p>
    <w:p w14:paraId="4765041B" w14:textId="7E5404C4"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Низкий уровень информационной прозрачности для неограниченного круга лиц (например, </w:t>
      </w:r>
      <w:r w:rsidRPr="000028C3">
        <w:rPr>
          <w:rFonts w:ascii="Times New Roman" w:hAnsi="Times New Roman" w:cs="Times New Roman"/>
          <w:iCs/>
          <w:szCs w:val="24"/>
        </w:rPr>
        <w:t>у компании отсутствует интернет-сайт или его информативность находится на низком уровне</w:t>
      </w:r>
      <w:r w:rsidRPr="000028C3">
        <w:rPr>
          <w:rFonts w:ascii="Times New Roman" w:hAnsi="Times New Roman" w:cs="Times New Roman"/>
        </w:rPr>
        <w:t xml:space="preserve">) или при взаимодействии с Агентством (например, </w:t>
      </w:r>
      <w:r w:rsidR="00797C86" w:rsidRPr="000028C3">
        <w:rPr>
          <w:rFonts w:ascii="Times New Roman" w:hAnsi="Times New Roman" w:cs="Times New Roman"/>
        </w:rPr>
        <w:t>компания</w:t>
      </w:r>
      <w:r w:rsidRPr="000028C3">
        <w:rPr>
          <w:rFonts w:ascii="Times New Roman" w:hAnsi="Times New Roman" w:cs="Times New Roman"/>
        </w:rPr>
        <w:t xml:space="preserve"> отказалась отвечать на дополнительные вопросы Агентства);</w:t>
      </w:r>
    </w:p>
    <w:p w14:paraId="095B6843" w14:textId="0069991F"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Прочие факты, свидетельствующие о неоптимальной организации корпоративного управления, </w:t>
      </w:r>
      <w:r w:rsidR="00797C86" w:rsidRPr="000028C3">
        <w:rPr>
          <w:rFonts w:ascii="Times New Roman" w:hAnsi="Times New Roman" w:cs="Times New Roman"/>
        </w:rPr>
        <w:t>ИТ-обеспечения</w:t>
      </w:r>
      <w:r w:rsidR="00BE2C5D" w:rsidRPr="000028C3">
        <w:rPr>
          <w:rFonts w:ascii="Times New Roman" w:hAnsi="Times New Roman" w:cs="Times New Roman"/>
        </w:rPr>
        <w:t xml:space="preserve"> и политики в области информационной прозрачности</w:t>
      </w:r>
      <w:r w:rsidRPr="000028C3">
        <w:rPr>
          <w:rFonts w:ascii="Times New Roman" w:hAnsi="Times New Roman" w:cs="Times New Roman"/>
        </w:rPr>
        <w:t>.</w:t>
      </w:r>
    </w:p>
    <w:p w14:paraId="12BB993A" w14:textId="77777777" w:rsidR="00E2519B" w:rsidRPr="000028C3" w:rsidRDefault="00E2519B" w:rsidP="00E2519B"/>
    <w:p w14:paraId="41F1F31A" w14:textId="77777777" w:rsidR="00E2519B" w:rsidRPr="000028C3" w:rsidRDefault="00E2519B" w:rsidP="00CB0371">
      <w:pPr>
        <w:pStyle w:val="ad"/>
        <w:spacing w:before="0" w:beforeAutospacing="0" w:after="0" w:afterAutospacing="0"/>
        <w:ind w:firstLine="567"/>
        <w:jc w:val="both"/>
      </w:pPr>
      <w:r w:rsidRPr="000028C3">
        <w:t>Основаниями для корректировки балла вверх могут выступать:</w:t>
      </w:r>
    </w:p>
    <w:p w14:paraId="7A080CA6"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Исключительно высокий уровень компетенции и деловой репутации членов СД и исполнительных органов;</w:t>
      </w:r>
    </w:p>
    <w:p w14:paraId="21DA4533"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В состав СД входят независимые директора</w:t>
      </w:r>
      <w:r w:rsidRPr="000028C3">
        <w:rPr>
          <w:rStyle w:val="a6"/>
          <w:rFonts w:ascii="Times New Roman" w:hAnsi="Times New Roman" w:cs="Times New Roman"/>
          <w:color w:val="000000"/>
          <w:sz w:val="20"/>
          <w:szCs w:val="20"/>
        </w:rPr>
        <w:footnoteReference w:id="12"/>
      </w:r>
      <w:r w:rsidRPr="000028C3">
        <w:rPr>
          <w:rFonts w:ascii="Times New Roman" w:hAnsi="Times New Roman" w:cs="Times New Roman"/>
        </w:rPr>
        <w:t>, которые действуют в интересах всех собственников, включая миноритарных (при наличии);</w:t>
      </w:r>
    </w:p>
    <w:p w14:paraId="4D9D89F9"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Независимые директора составляют не менее 30% состава Совета директоров;</w:t>
      </w:r>
    </w:p>
    <w:p w14:paraId="2FC2E422" w14:textId="141B4BD8"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Наличие комитетов при СД по вознаграждениям</w:t>
      </w:r>
      <w:r w:rsidRPr="000028C3">
        <w:rPr>
          <w:rStyle w:val="a6"/>
          <w:rFonts w:ascii="Times New Roman" w:hAnsi="Times New Roman" w:cs="Times New Roman"/>
          <w:color w:val="000000"/>
          <w:sz w:val="20"/>
          <w:szCs w:val="20"/>
        </w:rPr>
        <w:footnoteReference w:id="13"/>
      </w:r>
      <w:r w:rsidRPr="000028C3">
        <w:rPr>
          <w:rFonts w:ascii="Times New Roman" w:hAnsi="Times New Roman" w:cs="Times New Roman"/>
        </w:rPr>
        <w:t xml:space="preserve"> </w:t>
      </w:r>
      <w:r w:rsidR="002955F4" w:rsidRPr="000028C3">
        <w:rPr>
          <w:rFonts w:ascii="Times New Roman" w:hAnsi="Times New Roman" w:cs="Times New Roman"/>
        </w:rPr>
        <w:t>и</w:t>
      </w:r>
      <w:r w:rsidR="002955F4">
        <w:rPr>
          <w:rFonts w:ascii="Times New Roman" w:hAnsi="Times New Roman" w:cs="Times New Roman"/>
        </w:rPr>
        <w:t xml:space="preserve"> (</w:t>
      </w:r>
      <w:r w:rsidR="002955F4" w:rsidRPr="000028C3">
        <w:rPr>
          <w:rFonts w:ascii="Times New Roman" w:hAnsi="Times New Roman" w:cs="Times New Roman"/>
        </w:rPr>
        <w:t>или</w:t>
      </w:r>
      <w:r w:rsidR="002955F4">
        <w:rPr>
          <w:rFonts w:ascii="Times New Roman" w:hAnsi="Times New Roman" w:cs="Times New Roman"/>
        </w:rPr>
        <w:t>)</w:t>
      </w:r>
      <w:r w:rsidR="002955F4" w:rsidRPr="000028C3">
        <w:rPr>
          <w:rFonts w:ascii="Times New Roman" w:hAnsi="Times New Roman" w:cs="Times New Roman"/>
        </w:rPr>
        <w:t xml:space="preserve"> </w:t>
      </w:r>
      <w:r w:rsidRPr="000028C3">
        <w:rPr>
          <w:rFonts w:ascii="Times New Roman" w:hAnsi="Times New Roman" w:cs="Times New Roman"/>
        </w:rPr>
        <w:t>по аудиту;</w:t>
      </w:r>
    </w:p>
    <w:p w14:paraId="62B6BB8D" w14:textId="3E74331B"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Высокий уровень вовлечения членов СД в управление деятельностью </w:t>
      </w:r>
      <w:r w:rsidR="00691322" w:rsidRPr="000028C3">
        <w:rPr>
          <w:rFonts w:ascii="Times New Roman" w:hAnsi="Times New Roman" w:cs="Times New Roman"/>
        </w:rPr>
        <w:t>компанией</w:t>
      </w:r>
      <w:r w:rsidRPr="000028C3">
        <w:rPr>
          <w:rFonts w:ascii="Times New Roman" w:hAnsi="Times New Roman" w:cs="Times New Roman"/>
        </w:rPr>
        <w:t xml:space="preserve"> (например, наличие поручений СД по результатам заседаний), наличие свидетельств контроля СД над деятельностью </w:t>
      </w:r>
      <w:r w:rsidR="00691322" w:rsidRPr="000028C3">
        <w:rPr>
          <w:rFonts w:ascii="Times New Roman" w:hAnsi="Times New Roman" w:cs="Times New Roman"/>
        </w:rPr>
        <w:t>компании</w:t>
      </w:r>
      <w:r w:rsidRPr="000028C3">
        <w:rPr>
          <w:rFonts w:ascii="Times New Roman" w:hAnsi="Times New Roman" w:cs="Times New Roman"/>
        </w:rPr>
        <w:t>;</w:t>
      </w:r>
    </w:p>
    <w:p w14:paraId="1745E9D7" w14:textId="7B8F791D"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Сотрудничество </w:t>
      </w:r>
      <w:r w:rsidR="00BE2C5D" w:rsidRPr="000028C3">
        <w:rPr>
          <w:rFonts w:ascii="Times New Roman" w:hAnsi="Times New Roman" w:cs="Times New Roman"/>
        </w:rPr>
        <w:t>компании</w:t>
      </w:r>
      <w:r w:rsidRPr="000028C3">
        <w:rPr>
          <w:rFonts w:ascii="Times New Roman" w:hAnsi="Times New Roman" w:cs="Times New Roman"/>
        </w:rPr>
        <w:t xml:space="preserve"> с аудитором по последней подготовленной отчетности (при сотрудничестве с разными аудиторами по национальным и международным стандартам оценивается репутация аудитора по международным стандартам), имеющим хорошую деловую репутацию. Агентство может оценивать деловую репутацию как высокую на основании известности бренда, отсутствия фактов заверения недостоверной отчетности и приостановления членства в СРО, а также другой информации;</w:t>
      </w:r>
    </w:p>
    <w:p w14:paraId="702899DF" w14:textId="0D20F7BE"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Высокий уровень организации деятельности подразделений, осуществляющих управление рисками, </w:t>
      </w:r>
      <w:r w:rsidRPr="000028C3">
        <w:rPr>
          <w:rFonts w:ascii="Times New Roman" w:hAnsi="Times New Roman" w:cs="Times New Roman"/>
          <w:iCs/>
          <w:szCs w:val="24"/>
        </w:rPr>
        <w:t>внутренний аудит и юридической службы</w:t>
      </w:r>
      <w:r w:rsidRPr="000028C3">
        <w:rPr>
          <w:rFonts w:ascii="Times New Roman" w:hAnsi="Times New Roman" w:cs="Times New Roman"/>
        </w:rPr>
        <w:t xml:space="preserve"> (численность сотрудников, их квалификация и компетенции соответствуют профилю рисков </w:t>
      </w:r>
      <w:r w:rsidR="00BE2C5D" w:rsidRPr="000028C3">
        <w:rPr>
          <w:rFonts w:ascii="Times New Roman" w:hAnsi="Times New Roman" w:cs="Times New Roman"/>
        </w:rPr>
        <w:t>компании</w:t>
      </w:r>
      <w:r w:rsidRPr="000028C3">
        <w:rPr>
          <w:rFonts w:ascii="Times New Roman" w:hAnsi="Times New Roman" w:cs="Times New Roman"/>
        </w:rPr>
        <w:t>);</w:t>
      </w:r>
    </w:p>
    <w:p w14:paraId="60A3E5C3" w14:textId="071ABEFB"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Степень диджитализации основных </w:t>
      </w:r>
      <w:r w:rsidR="00BE2C5D" w:rsidRPr="000028C3">
        <w:rPr>
          <w:rFonts w:ascii="Times New Roman" w:hAnsi="Times New Roman" w:cs="Times New Roman"/>
        </w:rPr>
        <w:t>факторинговых</w:t>
      </w:r>
      <w:r w:rsidRPr="000028C3">
        <w:rPr>
          <w:rFonts w:ascii="Times New Roman" w:hAnsi="Times New Roman" w:cs="Times New Roman"/>
        </w:rPr>
        <w:t xml:space="preserve"> услуг оценивается как высокая (в т.ч. есть </w:t>
      </w:r>
      <w:r w:rsidRPr="000028C3">
        <w:rPr>
          <w:rFonts w:ascii="Times New Roman" w:hAnsi="Times New Roman" w:cs="Times New Roman"/>
          <w:iCs/>
          <w:szCs w:val="24"/>
        </w:rPr>
        <w:t xml:space="preserve">возможность предоставления </w:t>
      </w:r>
      <w:r w:rsidR="00F65E80" w:rsidRPr="000028C3">
        <w:rPr>
          <w:rFonts w:ascii="Times New Roman" w:hAnsi="Times New Roman" w:cs="Times New Roman"/>
          <w:iCs/>
          <w:szCs w:val="24"/>
        </w:rPr>
        <w:t>полного электронного факторинга</w:t>
      </w:r>
      <w:r w:rsidRPr="000028C3">
        <w:rPr>
          <w:rFonts w:ascii="Times New Roman" w:hAnsi="Times New Roman" w:cs="Times New Roman"/>
        </w:rPr>
        <w:t>);</w:t>
      </w:r>
    </w:p>
    <w:p w14:paraId="0AB25D75"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Высокий уровень информационной прозрачности как для неограниченного круга лиц, так и в процессе взаимодействия с Агентством;</w:t>
      </w:r>
    </w:p>
    <w:p w14:paraId="77B80F64" w14:textId="2A0F33D1"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lastRenderedPageBreak/>
        <w:t xml:space="preserve">Высокая эффективность и устойчивость бизнес-модели </w:t>
      </w:r>
      <w:r w:rsidR="00F65E80" w:rsidRPr="000028C3">
        <w:rPr>
          <w:rFonts w:ascii="Times New Roman" w:hAnsi="Times New Roman" w:cs="Times New Roman"/>
        </w:rPr>
        <w:t>компании</w:t>
      </w:r>
      <w:r w:rsidRPr="000028C3">
        <w:rPr>
          <w:rFonts w:ascii="Times New Roman" w:hAnsi="Times New Roman" w:cs="Times New Roman"/>
        </w:rPr>
        <w:t xml:space="preserve"> (в том числе поддержание на протяжении периода не менее трех последних лет рентабельности капитала на уровне не ниже среднерыночного);</w:t>
      </w:r>
    </w:p>
    <w:p w14:paraId="6B3370E0" w14:textId="43FBB692"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 xml:space="preserve">Устойчивое на протяжении последних лет выполнение или перевыполнение целевых показателей, закрепленных во внутренних документах </w:t>
      </w:r>
      <w:r w:rsidR="00F65E80" w:rsidRPr="000028C3">
        <w:rPr>
          <w:rFonts w:ascii="Times New Roman" w:hAnsi="Times New Roman" w:cs="Times New Roman"/>
        </w:rPr>
        <w:t xml:space="preserve">компании </w:t>
      </w:r>
      <w:r w:rsidRPr="000028C3">
        <w:rPr>
          <w:rFonts w:ascii="Times New Roman" w:hAnsi="Times New Roman" w:cs="Times New Roman"/>
        </w:rPr>
        <w:t>(стратегия развития и бизнес-план);</w:t>
      </w:r>
    </w:p>
    <w:p w14:paraId="2F7E43D4" w14:textId="77777777" w:rsidR="00E2519B" w:rsidRPr="000028C3" w:rsidRDefault="00E2519B" w:rsidP="00E2519B">
      <w:pPr>
        <w:pStyle w:val="af7"/>
        <w:numPr>
          <w:ilvl w:val="0"/>
          <w:numId w:val="43"/>
        </w:numPr>
        <w:jc w:val="both"/>
        <w:rPr>
          <w:rFonts w:ascii="Times New Roman" w:hAnsi="Times New Roman" w:cs="Times New Roman"/>
        </w:rPr>
      </w:pPr>
      <w:r w:rsidRPr="000028C3">
        <w:rPr>
          <w:rFonts w:ascii="Times New Roman" w:hAnsi="Times New Roman" w:cs="Times New Roman"/>
        </w:rPr>
        <w:t>Высокий уровень проведения рейтинговой встречи / интервью (при условии присутствия всех необходимых специалистов, прямых ответов на вопросы, готовности раскрываться (если отказ от ответа, то мотивированный), согласованности позиции участников встречи / интервью с предоставленной Агентству информацией);</w:t>
      </w:r>
    </w:p>
    <w:p w14:paraId="3C42D1D7" w14:textId="2EF82ABC" w:rsidR="00F65E80" w:rsidRPr="000028C3" w:rsidRDefault="00F65E80" w:rsidP="00F65E80">
      <w:pPr>
        <w:pStyle w:val="af7"/>
        <w:numPr>
          <w:ilvl w:val="0"/>
          <w:numId w:val="43"/>
        </w:numPr>
        <w:jc w:val="both"/>
        <w:rPr>
          <w:rFonts w:ascii="Times New Roman" w:hAnsi="Times New Roman" w:cs="Times New Roman"/>
        </w:rPr>
      </w:pPr>
      <w:r w:rsidRPr="000028C3">
        <w:rPr>
          <w:rFonts w:ascii="Times New Roman" w:hAnsi="Times New Roman" w:cs="Times New Roman"/>
        </w:rPr>
        <w:t>Прочие факты, свидетельствующие о высоком уровне организации корпоративного управления, ИТ-обеспечения и политики в области информационной прозрачности.</w:t>
      </w:r>
    </w:p>
    <w:p w14:paraId="28DE9AA0" w14:textId="77777777" w:rsidR="009662E9" w:rsidRPr="000028C3" w:rsidRDefault="009662E9" w:rsidP="0039664F">
      <w:pPr>
        <w:jc w:val="both"/>
        <w:rPr>
          <w:highlight w:val="yellow"/>
        </w:rPr>
      </w:pPr>
    </w:p>
    <w:p w14:paraId="7EDEB34E" w14:textId="77777777" w:rsidR="008B1955" w:rsidRPr="000028C3" w:rsidRDefault="008B1955" w:rsidP="0098669D">
      <w:pPr>
        <w:pStyle w:val="3"/>
        <w:numPr>
          <w:ilvl w:val="1"/>
          <w:numId w:val="10"/>
        </w:numPr>
        <w:spacing w:before="0" w:after="0"/>
        <w:ind w:left="709"/>
        <w:rPr>
          <w:rFonts w:ascii="Times New Roman" w:hAnsi="Times New Roman" w:cs="Times New Roman"/>
        </w:rPr>
      </w:pPr>
      <w:bookmarkStart w:id="87" w:name="_Toc447270452"/>
      <w:bookmarkStart w:id="88" w:name="_Toc39667636"/>
      <w:r w:rsidRPr="000028C3">
        <w:rPr>
          <w:rFonts w:ascii="Times New Roman" w:hAnsi="Times New Roman" w:cs="Times New Roman"/>
        </w:rPr>
        <w:t>Стратегическое обеспечение</w:t>
      </w:r>
      <w:bookmarkEnd w:id="87"/>
      <w:bookmarkEnd w:id="88"/>
    </w:p>
    <w:p w14:paraId="62E25544" w14:textId="77777777" w:rsidR="0039664F" w:rsidRPr="000028C3" w:rsidRDefault="0039664F" w:rsidP="0039664F">
      <w:pPr>
        <w:pStyle w:val="ad"/>
        <w:spacing w:before="0" w:beforeAutospacing="0" w:after="0" w:afterAutospacing="0"/>
        <w:ind w:firstLine="567"/>
        <w:jc w:val="both"/>
        <w:rPr>
          <w:u w:val="single"/>
        </w:rPr>
      </w:pPr>
    </w:p>
    <w:p w14:paraId="4091A69B" w14:textId="05DF4042" w:rsidR="000B0287" w:rsidRPr="000028C3" w:rsidRDefault="009662E9" w:rsidP="0039664F">
      <w:pPr>
        <w:pStyle w:val="ad"/>
        <w:spacing w:before="0" w:beforeAutospacing="0" w:after="0" w:afterAutospacing="0"/>
        <w:ind w:firstLine="567"/>
        <w:jc w:val="both"/>
        <w:rPr>
          <w:u w:val="single"/>
        </w:rPr>
      </w:pPr>
      <w:r w:rsidRPr="000028C3">
        <w:rPr>
          <w:u w:val="single"/>
        </w:rPr>
        <w:t>Цель оценки</w:t>
      </w:r>
    </w:p>
    <w:p w14:paraId="2EB1581C" w14:textId="77777777" w:rsidR="000B0287" w:rsidRPr="000028C3" w:rsidRDefault="008B1955" w:rsidP="0039664F">
      <w:pPr>
        <w:pStyle w:val="ad"/>
        <w:spacing w:before="0" w:beforeAutospacing="0" w:after="0" w:afterAutospacing="0"/>
        <w:ind w:firstLine="567"/>
        <w:jc w:val="both"/>
      </w:pPr>
      <w:r w:rsidRPr="000028C3">
        <w:t>Определить, имеет ли деятельность компании достаточное стратегическое обеспечение, т.</w:t>
      </w:r>
      <w:r w:rsidR="009662E9" w:rsidRPr="000028C3">
        <w:t xml:space="preserve"> </w:t>
      </w:r>
      <w:r w:rsidRPr="000028C3">
        <w:t>е. подчинена ли она стратегическим целям (средне- и долгосрочным), и каким образом организован процесс определения этих целей.</w:t>
      </w:r>
      <w:r w:rsidR="000B0287" w:rsidRPr="000028C3">
        <w:t xml:space="preserve"> Отсутствие актуальных стратегических документов не позволяет </w:t>
      </w:r>
      <w:r w:rsidR="009662E9" w:rsidRPr="000028C3">
        <w:t>А</w:t>
      </w:r>
      <w:r w:rsidR="000B0287" w:rsidRPr="000028C3">
        <w:t>гентству оценить возможности достижения поставленных целей и их влияни</w:t>
      </w:r>
      <w:r w:rsidR="009662E9" w:rsidRPr="000028C3">
        <w:t>е</w:t>
      </w:r>
      <w:r w:rsidR="000B0287" w:rsidRPr="000028C3">
        <w:t xml:space="preserve"> на конкурентоспособность</w:t>
      </w:r>
      <w:r w:rsidR="009662E9" w:rsidRPr="000028C3">
        <w:t xml:space="preserve"> и</w:t>
      </w:r>
      <w:r w:rsidR="000B0287" w:rsidRPr="000028C3">
        <w:t xml:space="preserve"> перспективы развития </w:t>
      </w:r>
      <w:r w:rsidR="000F2177" w:rsidRPr="000028C3">
        <w:t>компании</w:t>
      </w:r>
      <w:r w:rsidR="000B0287" w:rsidRPr="000028C3">
        <w:t xml:space="preserve">. Помимо наличия формальных документов по стратегии, </w:t>
      </w:r>
      <w:r w:rsidR="009662E9" w:rsidRPr="000028C3">
        <w:t>А</w:t>
      </w:r>
      <w:r w:rsidR="000B0287" w:rsidRPr="000028C3">
        <w:t xml:space="preserve">гентство стремится оценить понимание менеджментом стратегии развития, что важно для прогнозирования финансовых показателей, влияющих на кредитоспособность </w:t>
      </w:r>
      <w:r w:rsidR="000F2177" w:rsidRPr="000028C3">
        <w:t>компании</w:t>
      </w:r>
      <w:r w:rsidR="000B0287" w:rsidRPr="000028C3">
        <w:t>.</w:t>
      </w:r>
    </w:p>
    <w:p w14:paraId="648DEECE" w14:textId="77777777" w:rsidR="009662E9" w:rsidRPr="000028C3" w:rsidRDefault="009662E9" w:rsidP="0039664F">
      <w:pPr>
        <w:jc w:val="both"/>
        <w:rPr>
          <w:highlight w:val="yellow"/>
        </w:rPr>
      </w:pPr>
    </w:p>
    <w:p w14:paraId="340F3D5D" w14:textId="77777777" w:rsidR="008B1955" w:rsidRPr="000028C3" w:rsidRDefault="008B1955" w:rsidP="0039664F">
      <w:pPr>
        <w:pStyle w:val="ad"/>
        <w:spacing w:before="0" w:beforeAutospacing="0" w:after="0" w:afterAutospacing="0"/>
        <w:ind w:firstLine="567"/>
        <w:jc w:val="both"/>
        <w:rPr>
          <w:u w:val="single"/>
        </w:rPr>
      </w:pPr>
      <w:r w:rsidRPr="000028C3">
        <w:rPr>
          <w:u w:val="single"/>
        </w:rPr>
        <w:t>Алгоритм выставления оценки</w:t>
      </w:r>
      <w:r w:rsidRPr="000028C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8369"/>
      </w:tblGrid>
      <w:tr w:rsidR="009662E9" w:rsidRPr="000028C3" w14:paraId="51F4B4B8" w14:textId="77777777" w:rsidTr="006F39EA">
        <w:tc>
          <w:tcPr>
            <w:tcW w:w="514" w:type="pct"/>
            <w:shd w:val="clear" w:color="auto" w:fill="auto"/>
            <w:vAlign w:val="center"/>
          </w:tcPr>
          <w:p w14:paraId="47B1DB2C" w14:textId="77777777" w:rsidR="008B1955" w:rsidRPr="000028C3" w:rsidRDefault="008B1955" w:rsidP="0039664F">
            <w:r w:rsidRPr="000028C3">
              <w:t>Оценка</w:t>
            </w:r>
          </w:p>
        </w:tc>
        <w:tc>
          <w:tcPr>
            <w:tcW w:w="4486" w:type="pct"/>
            <w:shd w:val="clear" w:color="auto" w:fill="auto"/>
            <w:vAlign w:val="center"/>
          </w:tcPr>
          <w:p w14:paraId="0D31FE47" w14:textId="77777777" w:rsidR="008B1955" w:rsidRPr="000028C3" w:rsidRDefault="009662E9" w:rsidP="0039664F">
            <w:pPr>
              <w:ind w:left="215"/>
            </w:pPr>
            <w:r w:rsidRPr="000028C3">
              <w:t>Критерии</w:t>
            </w:r>
          </w:p>
        </w:tc>
      </w:tr>
      <w:tr w:rsidR="009662E9" w:rsidRPr="000028C3" w14:paraId="0533CC00" w14:textId="77777777" w:rsidTr="006F39EA">
        <w:tc>
          <w:tcPr>
            <w:tcW w:w="514" w:type="pct"/>
            <w:shd w:val="clear" w:color="auto" w:fill="auto"/>
            <w:vAlign w:val="center"/>
          </w:tcPr>
          <w:p w14:paraId="33C5E943" w14:textId="77777777" w:rsidR="008B1955" w:rsidRPr="000028C3" w:rsidRDefault="008B1955" w:rsidP="0039664F">
            <w:pPr>
              <w:jc w:val="center"/>
            </w:pPr>
            <w:r w:rsidRPr="000028C3">
              <w:t>1</w:t>
            </w:r>
          </w:p>
        </w:tc>
        <w:tc>
          <w:tcPr>
            <w:tcW w:w="4486" w:type="pct"/>
            <w:shd w:val="clear" w:color="auto" w:fill="auto"/>
          </w:tcPr>
          <w:p w14:paraId="4A9270D4" w14:textId="77777777" w:rsidR="008B1955" w:rsidRPr="000028C3" w:rsidRDefault="008B1955" w:rsidP="0039664F">
            <w:pPr>
              <w:numPr>
                <w:ilvl w:val="0"/>
                <w:numId w:val="2"/>
              </w:numPr>
              <w:tabs>
                <w:tab w:val="clear" w:pos="935"/>
                <w:tab w:val="num" w:pos="390"/>
              </w:tabs>
              <w:ind w:left="390"/>
              <w:jc w:val="both"/>
            </w:pPr>
            <w:r w:rsidRPr="000028C3">
              <w:t>Компания имеет в наличии все необходимые стратегические документы (</w:t>
            </w:r>
            <w:r w:rsidR="009662E9" w:rsidRPr="000028C3">
              <w:t>стратегия на 1 год, на 3-5 лет).</w:t>
            </w:r>
          </w:p>
          <w:p w14:paraId="6EFF4569" w14:textId="77777777" w:rsidR="008B1955" w:rsidRPr="000028C3" w:rsidRDefault="008B1955" w:rsidP="0039664F">
            <w:pPr>
              <w:numPr>
                <w:ilvl w:val="0"/>
                <w:numId w:val="2"/>
              </w:numPr>
              <w:tabs>
                <w:tab w:val="clear" w:pos="935"/>
                <w:tab w:val="num" w:pos="390"/>
              </w:tabs>
              <w:ind w:left="390"/>
              <w:jc w:val="both"/>
            </w:pPr>
            <w:r w:rsidRPr="000028C3">
              <w:t xml:space="preserve">В стратегических документах четко определены цели компании (методология </w:t>
            </w:r>
            <w:r w:rsidRPr="000028C3">
              <w:rPr>
                <w:lang w:val="en-US"/>
              </w:rPr>
              <w:t>SMART</w:t>
            </w:r>
            <w:r w:rsidRPr="000028C3">
              <w:rPr>
                <w:rStyle w:val="a6"/>
                <w:lang w:val="en-US"/>
              </w:rPr>
              <w:footnoteReference w:id="14"/>
            </w:r>
            <w:r w:rsidR="009662E9" w:rsidRPr="000028C3">
              <w:t>).</w:t>
            </w:r>
          </w:p>
          <w:p w14:paraId="5216C986" w14:textId="77777777" w:rsidR="008B1955" w:rsidRPr="000028C3" w:rsidRDefault="008B1955" w:rsidP="0039664F">
            <w:pPr>
              <w:numPr>
                <w:ilvl w:val="0"/>
                <w:numId w:val="2"/>
              </w:numPr>
              <w:tabs>
                <w:tab w:val="clear" w:pos="935"/>
                <w:tab w:val="num" w:pos="390"/>
              </w:tabs>
              <w:ind w:left="390"/>
              <w:jc w:val="both"/>
            </w:pPr>
            <w:r w:rsidRPr="000028C3">
              <w:t>Стратегия содержит перечень ключевых сегментов, анализ конкурентной среды, сильных и слабых сторон компании относительно конкурентов</w:t>
            </w:r>
            <w:r w:rsidR="009662E9" w:rsidRPr="000028C3">
              <w:t>.</w:t>
            </w:r>
          </w:p>
          <w:p w14:paraId="4F3E0799" w14:textId="77777777" w:rsidR="008B1955" w:rsidRPr="000028C3" w:rsidRDefault="008B1955" w:rsidP="0039664F">
            <w:pPr>
              <w:numPr>
                <w:ilvl w:val="0"/>
                <w:numId w:val="2"/>
              </w:numPr>
              <w:tabs>
                <w:tab w:val="clear" w:pos="935"/>
                <w:tab w:val="num" w:pos="390"/>
              </w:tabs>
              <w:ind w:left="390"/>
              <w:jc w:val="both"/>
            </w:pPr>
            <w:r w:rsidRPr="000028C3">
              <w:t>Стратегия учитывает актуальные макроэкономические параметры (</w:t>
            </w:r>
            <w:r w:rsidR="009662E9" w:rsidRPr="000028C3">
              <w:t>в качестве одного из сценариев).</w:t>
            </w:r>
          </w:p>
          <w:p w14:paraId="19B66455" w14:textId="1507CFF6" w:rsidR="008B1955" w:rsidRPr="000028C3" w:rsidRDefault="008B1955" w:rsidP="00982079">
            <w:pPr>
              <w:numPr>
                <w:ilvl w:val="0"/>
                <w:numId w:val="2"/>
              </w:numPr>
              <w:tabs>
                <w:tab w:val="clear" w:pos="935"/>
                <w:tab w:val="num" w:pos="390"/>
              </w:tabs>
              <w:ind w:left="390"/>
              <w:jc w:val="both"/>
            </w:pPr>
            <w:r w:rsidRPr="000028C3">
              <w:t xml:space="preserve">Движение в направлении заданных целей </w:t>
            </w:r>
            <w:r w:rsidR="00982079" w:rsidRPr="000028C3">
              <w:t xml:space="preserve">соответствует возможностям компании в сложившейся рыночной конъюнктуре (целевые темпы роста отдельных показателей значительно не превышают прогнозные значения по сектору), </w:t>
            </w:r>
            <w:r w:rsidRPr="000028C3">
              <w:t xml:space="preserve">способствует повышению кредитоспособности компании и усилению конкурентных позиций. </w:t>
            </w:r>
          </w:p>
        </w:tc>
      </w:tr>
      <w:tr w:rsidR="009662E9" w:rsidRPr="000028C3" w14:paraId="4D001E0F" w14:textId="77777777" w:rsidTr="006F39EA">
        <w:tc>
          <w:tcPr>
            <w:tcW w:w="514" w:type="pct"/>
            <w:shd w:val="clear" w:color="auto" w:fill="auto"/>
            <w:vAlign w:val="center"/>
          </w:tcPr>
          <w:p w14:paraId="2F25DB8A" w14:textId="77777777" w:rsidR="008B1955" w:rsidRPr="000028C3" w:rsidRDefault="008B1955" w:rsidP="0039664F">
            <w:pPr>
              <w:jc w:val="center"/>
            </w:pPr>
            <w:r w:rsidRPr="000028C3">
              <w:t>0,5</w:t>
            </w:r>
          </w:p>
        </w:tc>
        <w:tc>
          <w:tcPr>
            <w:tcW w:w="4486" w:type="pct"/>
            <w:shd w:val="clear" w:color="auto" w:fill="auto"/>
          </w:tcPr>
          <w:p w14:paraId="5A64182B" w14:textId="77777777" w:rsidR="008B1955" w:rsidRPr="000028C3" w:rsidRDefault="008B1955" w:rsidP="0039664F">
            <w:pPr>
              <w:numPr>
                <w:ilvl w:val="0"/>
                <w:numId w:val="2"/>
              </w:numPr>
              <w:tabs>
                <w:tab w:val="clear" w:pos="935"/>
                <w:tab w:val="num" w:pos="390"/>
              </w:tabs>
              <w:ind w:left="390"/>
              <w:jc w:val="both"/>
            </w:pPr>
            <w:r w:rsidRPr="000028C3">
              <w:t>Из вышеприведенных условий не выполнено одно (не второе и не последнее).</w:t>
            </w:r>
          </w:p>
        </w:tc>
      </w:tr>
      <w:tr w:rsidR="009662E9" w:rsidRPr="000028C3" w14:paraId="4EF6B4E3" w14:textId="77777777" w:rsidTr="006F39EA">
        <w:tc>
          <w:tcPr>
            <w:tcW w:w="514" w:type="pct"/>
            <w:shd w:val="clear" w:color="auto" w:fill="auto"/>
            <w:vAlign w:val="center"/>
          </w:tcPr>
          <w:p w14:paraId="188E09A2" w14:textId="77777777" w:rsidR="008B1955" w:rsidRPr="000028C3" w:rsidRDefault="008B1955" w:rsidP="0039664F">
            <w:pPr>
              <w:jc w:val="center"/>
            </w:pPr>
            <w:r w:rsidRPr="000028C3">
              <w:t>0</w:t>
            </w:r>
          </w:p>
        </w:tc>
        <w:tc>
          <w:tcPr>
            <w:tcW w:w="4486" w:type="pct"/>
            <w:shd w:val="clear" w:color="auto" w:fill="auto"/>
          </w:tcPr>
          <w:p w14:paraId="1C1439B6" w14:textId="77777777" w:rsidR="008B1955" w:rsidRPr="000028C3" w:rsidRDefault="008B1955" w:rsidP="0039664F">
            <w:pPr>
              <w:numPr>
                <w:ilvl w:val="0"/>
                <w:numId w:val="2"/>
              </w:numPr>
              <w:tabs>
                <w:tab w:val="clear" w:pos="935"/>
                <w:tab w:val="num" w:pos="390"/>
              </w:tabs>
              <w:ind w:left="390"/>
              <w:jc w:val="both"/>
            </w:pPr>
            <w:r w:rsidRPr="000028C3">
              <w:t>Из вышеприведенных условий не выполнено два ИЛИ не выполнено второе условие ИЛИ не выполнено последнее условие</w:t>
            </w:r>
          </w:p>
        </w:tc>
      </w:tr>
      <w:tr w:rsidR="009662E9" w:rsidRPr="000028C3" w14:paraId="35B7B59A" w14:textId="77777777" w:rsidTr="006F39EA">
        <w:tc>
          <w:tcPr>
            <w:tcW w:w="514" w:type="pct"/>
            <w:shd w:val="clear" w:color="auto" w:fill="auto"/>
            <w:vAlign w:val="center"/>
          </w:tcPr>
          <w:p w14:paraId="69864406" w14:textId="77777777" w:rsidR="008B1955" w:rsidRPr="000028C3" w:rsidRDefault="008B1955" w:rsidP="0039664F">
            <w:pPr>
              <w:jc w:val="center"/>
            </w:pPr>
            <w:r w:rsidRPr="000028C3">
              <w:t>-0,5</w:t>
            </w:r>
          </w:p>
        </w:tc>
        <w:tc>
          <w:tcPr>
            <w:tcW w:w="4486" w:type="pct"/>
            <w:shd w:val="clear" w:color="auto" w:fill="auto"/>
          </w:tcPr>
          <w:p w14:paraId="5EEC9908" w14:textId="77777777" w:rsidR="008B1955" w:rsidRPr="000028C3" w:rsidRDefault="008B1955" w:rsidP="0039664F">
            <w:pPr>
              <w:numPr>
                <w:ilvl w:val="0"/>
                <w:numId w:val="2"/>
              </w:numPr>
              <w:tabs>
                <w:tab w:val="clear" w:pos="935"/>
                <w:tab w:val="num" w:pos="390"/>
              </w:tabs>
              <w:ind w:left="390"/>
              <w:jc w:val="both"/>
            </w:pPr>
            <w:r w:rsidRPr="000028C3">
              <w:t>Из вышеприведенных условий не выполнено три.</w:t>
            </w:r>
          </w:p>
        </w:tc>
      </w:tr>
      <w:tr w:rsidR="009662E9" w:rsidRPr="000028C3" w14:paraId="078CA211" w14:textId="77777777" w:rsidTr="006F39EA">
        <w:tc>
          <w:tcPr>
            <w:tcW w:w="514" w:type="pct"/>
            <w:shd w:val="clear" w:color="auto" w:fill="auto"/>
            <w:vAlign w:val="center"/>
          </w:tcPr>
          <w:p w14:paraId="63BEABC9" w14:textId="77777777" w:rsidR="008B1955" w:rsidRPr="000028C3" w:rsidRDefault="008B1955" w:rsidP="0039664F">
            <w:pPr>
              <w:jc w:val="center"/>
            </w:pPr>
            <w:r w:rsidRPr="000028C3">
              <w:lastRenderedPageBreak/>
              <w:t>-1</w:t>
            </w:r>
          </w:p>
        </w:tc>
        <w:tc>
          <w:tcPr>
            <w:tcW w:w="4486" w:type="pct"/>
            <w:shd w:val="clear" w:color="auto" w:fill="auto"/>
          </w:tcPr>
          <w:p w14:paraId="24D12BDE" w14:textId="77777777" w:rsidR="008B1955" w:rsidRPr="000028C3" w:rsidRDefault="008B1955" w:rsidP="0039664F">
            <w:pPr>
              <w:numPr>
                <w:ilvl w:val="0"/>
                <w:numId w:val="2"/>
              </w:numPr>
              <w:tabs>
                <w:tab w:val="clear" w:pos="935"/>
                <w:tab w:val="num" w:pos="390"/>
              </w:tabs>
              <w:ind w:left="390"/>
              <w:jc w:val="both"/>
            </w:pPr>
            <w:r w:rsidRPr="000028C3">
              <w:t>Из вышеприведенных условий не выполнено четыре.</w:t>
            </w:r>
          </w:p>
        </w:tc>
      </w:tr>
    </w:tbl>
    <w:p w14:paraId="3932256A" w14:textId="77777777" w:rsidR="008B1955" w:rsidRPr="000028C3" w:rsidRDefault="008B1955" w:rsidP="0039664F">
      <w:pPr>
        <w:rPr>
          <w:highlight w:val="yellow"/>
        </w:rPr>
      </w:pPr>
    </w:p>
    <w:p w14:paraId="53D23909" w14:textId="77777777" w:rsidR="008B1955" w:rsidRPr="000028C3" w:rsidRDefault="008B1955" w:rsidP="0039664F">
      <w:pPr>
        <w:pStyle w:val="ad"/>
        <w:spacing w:before="0" w:beforeAutospacing="0" w:after="0" w:afterAutospacing="0"/>
        <w:ind w:firstLine="567"/>
        <w:jc w:val="both"/>
      </w:pPr>
      <w:r w:rsidRPr="000028C3">
        <w:t xml:space="preserve">Под полным пакетом стратегических документов понимается: </w:t>
      </w:r>
    </w:p>
    <w:p w14:paraId="42E2ECD4" w14:textId="77777777" w:rsidR="008B1955" w:rsidRPr="000028C3" w:rsidRDefault="008B1955" w:rsidP="0098669D">
      <w:pPr>
        <w:pStyle w:val="af7"/>
        <w:numPr>
          <w:ilvl w:val="0"/>
          <w:numId w:val="18"/>
        </w:numPr>
        <w:jc w:val="both"/>
        <w:rPr>
          <w:rFonts w:ascii="Times New Roman" w:hAnsi="Times New Roman" w:cs="Times New Roman"/>
        </w:rPr>
      </w:pPr>
      <w:r w:rsidRPr="000028C3">
        <w:rPr>
          <w:rFonts w:ascii="Times New Roman" w:hAnsi="Times New Roman" w:cs="Times New Roman"/>
        </w:rPr>
        <w:t>1 год – финансовый план (возможно в рамках более долгосрочного бизнес-плана);</w:t>
      </w:r>
    </w:p>
    <w:p w14:paraId="16A463B3" w14:textId="77777777" w:rsidR="008B1955" w:rsidRPr="000028C3" w:rsidRDefault="008B1955" w:rsidP="0098669D">
      <w:pPr>
        <w:pStyle w:val="af7"/>
        <w:numPr>
          <w:ilvl w:val="0"/>
          <w:numId w:val="18"/>
        </w:numPr>
        <w:jc w:val="both"/>
        <w:rPr>
          <w:rFonts w:ascii="Times New Roman" w:hAnsi="Times New Roman" w:cs="Times New Roman"/>
        </w:rPr>
      </w:pPr>
      <w:r w:rsidRPr="000028C3">
        <w:rPr>
          <w:rFonts w:ascii="Times New Roman" w:hAnsi="Times New Roman" w:cs="Times New Roman"/>
        </w:rPr>
        <w:t>3 года – бизнес-план (возможно в рамках стратегии);</w:t>
      </w:r>
    </w:p>
    <w:p w14:paraId="3B9185F8" w14:textId="77777777" w:rsidR="008B1955" w:rsidRPr="000028C3" w:rsidRDefault="008B1955" w:rsidP="0098669D">
      <w:pPr>
        <w:pStyle w:val="af7"/>
        <w:numPr>
          <w:ilvl w:val="0"/>
          <w:numId w:val="18"/>
        </w:numPr>
        <w:jc w:val="both"/>
        <w:rPr>
          <w:rFonts w:ascii="Times New Roman" w:hAnsi="Times New Roman" w:cs="Times New Roman"/>
        </w:rPr>
      </w:pPr>
      <w:r w:rsidRPr="000028C3">
        <w:rPr>
          <w:rFonts w:ascii="Times New Roman" w:hAnsi="Times New Roman" w:cs="Times New Roman"/>
        </w:rPr>
        <w:t>5 лет и более – стратегия.</w:t>
      </w:r>
    </w:p>
    <w:p w14:paraId="58CD60EC" w14:textId="77777777" w:rsidR="008B1955" w:rsidRPr="000028C3" w:rsidRDefault="008B1955" w:rsidP="0039664F">
      <w:pPr>
        <w:jc w:val="both"/>
      </w:pPr>
    </w:p>
    <w:p w14:paraId="5A0C11CD" w14:textId="77777777" w:rsidR="008B1955" w:rsidRPr="000028C3" w:rsidRDefault="008B1955" w:rsidP="0039664F">
      <w:pPr>
        <w:pStyle w:val="ad"/>
        <w:spacing w:before="0" w:beforeAutospacing="0" w:after="0" w:afterAutospacing="0"/>
        <w:ind w:firstLine="567"/>
        <w:jc w:val="both"/>
      </w:pPr>
      <w:r w:rsidRPr="000028C3">
        <w:t xml:space="preserve">Стратегией </w:t>
      </w:r>
      <w:r w:rsidR="0058754B" w:rsidRPr="000028C3">
        <w:t>может</w:t>
      </w:r>
      <w:r w:rsidRPr="000028C3">
        <w:t xml:space="preserve"> считаться презентация </w:t>
      </w:r>
      <w:r w:rsidRPr="000028C3">
        <w:rPr>
          <w:lang w:val="en-US"/>
        </w:rPr>
        <w:t>Power</w:t>
      </w:r>
      <w:r w:rsidRPr="000028C3">
        <w:t xml:space="preserve"> </w:t>
      </w:r>
      <w:r w:rsidRPr="000028C3">
        <w:rPr>
          <w:lang w:val="en-US"/>
        </w:rPr>
        <w:t>Point</w:t>
      </w:r>
      <w:r w:rsidRPr="000028C3">
        <w:t xml:space="preserve">. В стратегии должны быть определены цели (точная цель, параметры достижения, сроки и ответственные). </w:t>
      </w:r>
      <w:r w:rsidR="0058754B" w:rsidRPr="000028C3">
        <w:t>Ф</w:t>
      </w:r>
      <w:r w:rsidRPr="000028C3">
        <w:t>инансов</w:t>
      </w:r>
      <w:r w:rsidR="0058754B" w:rsidRPr="000028C3">
        <w:t>ый</w:t>
      </w:r>
      <w:r w:rsidRPr="000028C3">
        <w:t xml:space="preserve"> план долж</w:t>
      </w:r>
      <w:r w:rsidR="0058754B" w:rsidRPr="000028C3">
        <w:t>е</w:t>
      </w:r>
      <w:r w:rsidRPr="000028C3">
        <w:t>н</w:t>
      </w:r>
      <w:r w:rsidR="0058754B" w:rsidRPr="000028C3">
        <w:t xml:space="preserve"> включать в себя</w:t>
      </w:r>
      <w:r w:rsidRPr="000028C3">
        <w:t xml:space="preserve"> показатели (финансовые), бизнес-план – финансовые показатели </w:t>
      </w:r>
      <w:r w:rsidR="0058754B" w:rsidRPr="000028C3">
        <w:t>и</w:t>
      </w:r>
      <w:r w:rsidRPr="000028C3">
        <w:t xml:space="preserve"> стратегические приоритеты.</w:t>
      </w:r>
    </w:p>
    <w:p w14:paraId="25D5CD02" w14:textId="77777777" w:rsidR="003437F9" w:rsidRPr="000028C3" w:rsidRDefault="003437F9" w:rsidP="003437F9">
      <w:pPr>
        <w:pStyle w:val="ad"/>
        <w:spacing w:before="0" w:beforeAutospacing="0" w:after="0" w:afterAutospacing="0"/>
        <w:ind w:firstLine="567"/>
        <w:jc w:val="both"/>
      </w:pPr>
    </w:p>
    <w:p w14:paraId="04F2C70A" w14:textId="70CA8ED1" w:rsidR="003437F9" w:rsidRPr="000028C3" w:rsidRDefault="003437F9" w:rsidP="003437F9">
      <w:pPr>
        <w:pStyle w:val="ad"/>
        <w:spacing w:before="0" w:beforeAutospacing="0" w:after="0" w:afterAutospacing="0"/>
        <w:ind w:firstLine="567"/>
        <w:jc w:val="both"/>
      </w:pPr>
      <w:r w:rsidRPr="000028C3">
        <w:t>Возможные корректировки:</w:t>
      </w:r>
    </w:p>
    <w:p w14:paraId="3BF9007F" w14:textId="575B1F3F" w:rsidR="003437F9" w:rsidRPr="000028C3" w:rsidRDefault="003437F9" w:rsidP="00982079">
      <w:pPr>
        <w:pStyle w:val="af7"/>
        <w:numPr>
          <w:ilvl w:val="0"/>
          <w:numId w:val="45"/>
        </w:numPr>
        <w:tabs>
          <w:tab w:val="left" w:pos="709"/>
        </w:tabs>
        <w:jc w:val="both"/>
        <w:rPr>
          <w:rFonts w:ascii="Times New Roman" w:hAnsi="Times New Roman" w:cs="Times New Roman"/>
        </w:rPr>
      </w:pPr>
      <w:r w:rsidRPr="000028C3">
        <w:rPr>
          <w:rFonts w:ascii="Times New Roman" w:hAnsi="Times New Roman" w:cs="Times New Roman"/>
        </w:rPr>
        <w:t xml:space="preserve">Оценка может быть скорректирована (не более чем на 1 вверх / вниз) по итогам интервью, если топ-менеджмент продемонстрировал хорошее / недостаточное понимание перспектив развития компании. </w:t>
      </w:r>
    </w:p>
    <w:p w14:paraId="2F3C62F2" w14:textId="77777777" w:rsidR="003437F9" w:rsidRPr="000028C3" w:rsidRDefault="003437F9" w:rsidP="00982079">
      <w:pPr>
        <w:pStyle w:val="af7"/>
        <w:numPr>
          <w:ilvl w:val="0"/>
          <w:numId w:val="45"/>
        </w:numPr>
        <w:tabs>
          <w:tab w:val="left" w:pos="709"/>
        </w:tabs>
        <w:jc w:val="both"/>
        <w:rPr>
          <w:rFonts w:ascii="Times New Roman" w:hAnsi="Times New Roman" w:cs="Times New Roman"/>
        </w:rPr>
      </w:pPr>
      <w:bookmarkStart w:id="89" w:name="_Toc312943481"/>
      <w:bookmarkStart w:id="90" w:name="_Toc447270453"/>
      <w:r w:rsidRPr="000028C3">
        <w:rPr>
          <w:rFonts w:ascii="Times New Roman" w:hAnsi="Times New Roman" w:cs="Times New Roman"/>
        </w:rPr>
        <w:t>Балл может быть понижен вплоть до -1 за недостижение плановых показателей стратегий завершившихся периодов.</w:t>
      </w:r>
    </w:p>
    <w:p w14:paraId="3AACA1F3" w14:textId="77777777" w:rsidR="003437F9" w:rsidRPr="000028C3" w:rsidRDefault="003437F9" w:rsidP="00982079">
      <w:pPr>
        <w:pStyle w:val="af7"/>
        <w:numPr>
          <w:ilvl w:val="0"/>
          <w:numId w:val="45"/>
        </w:numPr>
        <w:tabs>
          <w:tab w:val="left" w:pos="709"/>
        </w:tabs>
        <w:jc w:val="both"/>
        <w:rPr>
          <w:rFonts w:ascii="Times New Roman" w:hAnsi="Times New Roman" w:cs="Times New Roman"/>
        </w:rPr>
      </w:pPr>
      <w:r w:rsidRPr="000028C3">
        <w:rPr>
          <w:rFonts w:ascii="Times New Roman" w:hAnsi="Times New Roman" w:cs="Times New Roman"/>
        </w:rPr>
        <w:t>Балл может быть понижен максимально на 0,5, если основное целевые индикаторы стратегии регулярно претерпевают существенные изменения в зависимости от волатильности рыночных показателей.</w:t>
      </w:r>
    </w:p>
    <w:p w14:paraId="0BCDBE6C" w14:textId="1EC4DDD5" w:rsidR="003437F9" w:rsidRPr="000028C3" w:rsidRDefault="003437F9" w:rsidP="00982079">
      <w:pPr>
        <w:pStyle w:val="af7"/>
        <w:numPr>
          <w:ilvl w:val="0"/>
          <w:numId w:val="45"/>
        </w:numPr>
        <w:tabs>
          <w:tab w:val="left" w:pos="709"/>
        </w:tabs>
        <w:jc w:val="both"/>
        <w:rPr>
          <w:rFonts w:ascii="Times New Roman" w:hAnsi="Times New Roman" w:cs="Times New Roman"/>
        </w:rPr>
      </w:pPr>
      <w:r w:rsidRPr="000028C3">
        <w:rPr>
          <w:rFonts w:ascii="Times New Roman" w:hAnsi="Times New Roman" w:cs="Times New Roman"/>
        </w:rPr>
        <w:t>Балл может быть понижен на 0,5-1, если в стратегии компании заложен неорганический рост за счет сделок слияний и поглощений либо нестабильных компонентов.</w:t>
      </w:r>
    </w:p>
    <w:p w14:paraId="017EF6EB" w14:textId="77777777" w:rsidR="00982079" w:rsidRPr="000028C3" w:rsidRDefault="00982079" w:rsidP="003437F9">
      <w:pPr>
        <w:tabs>
          <w:tab w:val="left" w:pos="709"/>
        </w:tabs>
        <w:ind w:left="567"/>
        <w:jc w:val="both"/>
      </w:pPr>
    </w:p>
    <w:p w14:paraId="072EEB4D" w14:textId="758DD98D" w:rsidR="008B1955" w:rsidRPr="000028C3" w:rsidRDefault="008B1955" w:rsidP="0098669D">
      <w:pPr>
        <w:pStyle w:val="3"/>
        <w:numPr>
          <w:ilvl w:val="1"/>
          <w:numId w:val="10"/>
        </w:numPr>
        <w:spacing w:before="0" w:after="0"/>
        <w:ind w:left="709"/>
        <w:rPr>
          <w:rFonts w:ascii="Times New Roman" w:hAnsi="Times New Roman" w:cs="Times New Roman"/>
        </w:rPr>
      </w:pPr>
      <w:bookmarkStart w:id="91" w:name="_Toc39667637"/>
      <w:r w:rsidRPr="000028C3">
        <w:rPr>
          <w:rFonts w:ascii="Times New Roman" w:hAnsi="Times New Roman" w:cs="Times New Roman"/>
        </w:rPr>
        <w:t>Структура собственности</w:t>
      </w:r>
      <w:bookmarkEnd w:id="89"/>
      <w:bookmarkEnd w:id="90"/>
      <w:bookmarkEnd w:id="91"/>
    </w:p>
    <w:p w14:paraId="7ABC5504" w14:textId="77777777" w:rsidR="0039664F" w:rsidRPr="000028C3" w:rsidRDefault="0039664F" w:rsidP="0039664F">
      <w:pPr>
        <w:pStyle w:val="ad"/>
        <w:spacing w:before="0" w:beforeAutospacing="0" w:after="0" w:afterAutospacing="0"/>
        <w:ind w:firstLine="567"/>
        <w:jc w:val="both"/>
        <w:rPr>
          <w:u w:val="single"/>
        </w:rPr>
      </w:pPr>
    </w:p>
    <w:p w14:paraId="2E059C4D" w14:textId="48410735" w:rsidR="008B1955" w:rsidRPr="000028C3" w:rsidRDefault="008B1955" w:rsidP="0039664F">
      <w:pPr>
        <w:pStyle w:val="ad"/>
        <w:spacing w:before="0" w:beforeAutospacing="0" w:after="0" w:afterAutospacing="0"/>
        <w:ind w:firstLine="567"/>
        <w:jc w:val="both"/>
      </w:pPr>
      <w:r w:rsidRPr="000028C3">
        <w:rPr>
          <w:u w:val="single"/>
        </w:rPr>
        <w:t>Цель оценки</w:t>
      </w:r>
    </w:p>
    <w:p w14:paraId="2849F9B6" w14:textId="77777777" w:rsidR="00D620E6" w:rsidRPr="000028C3" w:rsidRDefault="00D620E6" w:rsidP="0039664F">
      <w:pPr>
        <w:pStyle w:val="ad"/>
        <w:spacing w:before="0" w:beforeAutospacing="0" w:after="0" w:afterAutospacing="0"/>
        <w:ind w:firstLine="567"/>
        <w:jc w:val="both"/>
      </w:pPr>
      <w:r w:rsidRPr="000028C3">
        <w:t>Определить, насколько концентрированной является текущая структура собственности компании и выявить потенциальные либо существующие конфликты между ключевыми собственниками, которые могут привести к снижению кредитоспособности компании, а также выявить косвенные признаки заинтересованности собственников в ее поддержке. Позитивно оценивается стабильная прозрачная структура владения, отсутствие офшоров в цепочке владения, незначительное число технических компаний до конечного контролирующего собственника.</w:t>
      </w:r>
    </w:p>
    <w:p w14:paraId="38FD7663" w14:textId="77777777" w:rsidR="00394C2C" w:rsidRPr="000028C3" w:rsidRDefault="00394C2C" w:rsidP="0039664F">
      <w:pPr>
        <w:jc w:val="both"/>
        <w:rPr>
          <w:u w:val="single"/>
        </w:rPr>
      </w:pPr>
    </w:p>
    <w:p w14:paraId="1EBF640A" w14:textId="2F6D8BAE" w:rsidR="0039664F" w:rsidRPr="000028C3" w:rsidRDefault="0039664F"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77799ED8" w14:textId="77777777" w:rsidR="008B1955" w:rsidRPr="000028C3" w:rsidRDefault="00394C2C" w:rsidP="0039664F">
      <w:pPr>
        <w:pStyle w:val="ad"/>
        <w:spacing w:before="0" w:beforeAutospacing="0" w:after="0" w:afterAutospacing="0"/>
        <w:ind w:firstLine="567"/>
        <w:jc w:val="both"/>
      </w:pPr>
      <w:r w:rsidRPr="000028C3">
        <w:t>Оценка фактора соответствуют минимальной оценке, полученной по отдельным критериям.</w:t>
      </w:r>
    </w:p>
    <w:p w14:paraId="0FCFB9BC" w14:textId="77777777" w:rsidR="00394C2C" w:rsidRPr="000028C3" w:rsidRDefault="00394C2C" w:rsidP="0039664F">
      <w:pPr>
        <w:jc w:val="both"/>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
        <w:gridCol w:w="3642"/>
        <w:gridCol w:w="1046"/>
        <w:gridCol w:w="1049"/>
        <w:gridCol w:w="1049"/>
        <w:gridCol w:w="1049"/>
        <w:gridCol w:w="1047"/>
      </w:tblGrid>
      <w:tr w:rsidR="0056518F" w:rsidRPr="000028C3" w14:paraId="47873309" w14:textId="77777777" w:rsidTr="00645F45">
        <w:trPr>
          <w:trHeight w:val="20"/>
        </w:trPr>
        <w:tc>
          <w:tcPr>
            <w:tcW w:w="248" w:type="pct"/>
            <w:shd w:val="clear" w:color="auto" w:fill="auto"/>
            <w:vAlign w:val="center"/>
          </w:tcPr>
          <w:p w14:paraId="2F151F1D" w14:textId="77777777" w:rsidR="008B1955" w:rsidRPr="000028C3" w:rsidRDefault="008B1955" w:rsidP="0039664F">
            <w:pPr>
              <w:jc w:val="center"/>
            </w:pPr>
            <w:r w:rsidRPr="000028C3">
              <w:t>№</w:t>
            </w:r>
          </w:p>
        </w:tc>
        <w:tc>
          <w:tcPr>
            <w:tcW w:w="1949" w:type="pct"/>
            <w:shd w:val="clear" w:color="auto" w:fill="auto"/>
          </w:tcPr>
          <w:p w14:paraId="58576FC1" w14:textId="77777777" w:rsidR="008B1955" w:rsidRPr="000028C3" w:rsidRDefault="008B1955" w:rsidP="0039664F">
            <w:r w:rsidRPr="000028C3">
              <w:t>Параметр</w:t>
            </w:r>
          </w:p>
        </w:tc>
        <w:tc>
          <w:tcPr>
            <w:tcW w:w="560" w:type="pct"/>
            <w:shd w:val="clear" w:color="auto" w:fill="auto"/>
            <w:vAlign w:val="center"/>
          </w:tcPr>
          <w:p w14:paraId="2D671F3F" w14:textId="77777777" w:rsidR="008B1955" w:rsidRPr="000028C3" w:rsidRDefault="008B1955" w:rsidP="0039664F">
            <w:pPr>
              <w:jc w:val="center"/>
            </w:pPr>
            <w:r w:rsidRPr="000028C3">
              <w:t>-1</w:t>
            </w:r>
          </w:p>
        </w:tc>
        <w:tc>
          <w:tcPr>
            <w:tcW w:w="561" w:type="pct"/>
            <w:shd w:val="clear" w:color="auto" w:fill="auto"/>
            <w:vAlign w:val="center"/>
          </w:tcPr>
          <w:p w14:paraId="68268F72" w14:textId="77777777" w:rsidR="008B1955" w:rsidRPr="000028C3" w:rsidRDefault="008B1955" w:rsidP="0039664F">
            <w:pPr>
              <w:jc w:val="center"/>
            </w:pPr>
            <w:r w:rsidRPr="000028C3">
              <w:t>-0,5</w:t>
            </w:r>
          </w:p>
        </w:tc>
        <w:tc>
          <w:tcPr>
            <w:tcW w:w="561" w:type="pct"/>
            <w:shd w:val="clear" w:color="auto" w:fill="auto"/>
            <w:vAlign w:val="center"/>
          </w:tcPr>
          <w:p w14:paraId="2A5A0745" w14:textId="77777777" w:rsidR="008B1955" w:rsidRPr="000028C3" w:rsidRDefault="008B1955" w:rsidP="0039664F">
            <w:pPr>
              <w:jc w:val="center"/>
            </w:pPr>
            <w:r w:rsidRPr="000028C3">
              <w:t>0</w:t>
            </w:r>
          </w:p>
        </w:tc>
        <w:tc>
          <w:tcPr>
            <w:tcW w:w="561" w:type="pct"/>
            <w:shd w:val="clear" w:color="auto" w:fill="auto"/>
            <w:vAlign w:val="center"/>
          </w:tcPr>
          <w:p w14:paraId="5AD5A966" w14:textId="77777777" w:rsidR="008B1955" w:rsidRPr="000028C3" w:rsidRDefault="008B1955" w:rsidP="0039664F">
            <w:pPr>
              <w:jc w:val="center"/>
            </w:pPr>
            <w:r w:rsidRPr="000028C3">
              <w:t>0,5</w:t>
            </w:r>
          </w:p>
        </w:tc>
        <w:tc>
          <w:tcPr>
            <w:tcW w:w="561" w:type="pct"/>
            <w:shd w:val="clear" w:color="auto" w:fill="auto"/>
            <w:vAlign w:val="center"/>
          </w:tcPr>
          <w:p w14:paraId="51D084E5" w14:textId="77777777" w:rsidR="008B1955" w:rsidRPr="000028C3" w:rsidRDefault="008B1955" w:rsidP="0039664F">
            <w:pPr>
              <w:jc w:val="center"/>
            </w:pPr>
            <w:r w:rsidRPr="000028C3">
              <w:t>1</w:t>
            </w:r>
          </w:p>
        </w:tc>
      </w:tr>
      <w:tr w:rsidR="0056518F" w:rsidRPr="000028C3" w14:paraId="0528FE3E" w14:textId="77777777" w:rsidTr="00645F45">
        <w:trPr>
          <w:trHeight w:val="20"/>
        </w:trPr>
        <w:tc>
          <w:tcPr>
            <w:tcW w:w="248" w:type="pct"/>
            <w:shd w:val="clear" w:color="auto" w:fill="auto"/>
            <w:vAlign w:val="center"/>
          </w:tcPr>
          <w:p w14:paraId="28BDC50D" w14:textId="77777777" w:rsidR="00EC5509" w:rsidRPr="000028C3" w:rsidRDefault="00EC5509" w:rsidP="0039664F">
            <w:pPr>
              <w:jc w:val="center"/>
            </w:pPr>
            <w:r w:rsidRPr="000028C3">
              <w:t>1</w:t>
            </w:r>
          </w:p>
        </w:tc>
        <w:tc>
          <w:tcPr>
            <w:tcW w:w="1949" w:type="pct"/>
            <w:shd w:val="clear" w:color="auto" w:fill="auto"/>
          </w:tcPr>
          <w:p w14:paraId="133D42F7" w14:textId="77777777" w:rsidR="00EC5509" w:rsidRPr="000028C3" w:rsidRDefault="00EC5509" w:rsidP="0039664F">
            <w:pPr>
              <w:rPr>
                <w:highlight w:val="yellow"/>
              </w:rPr>
            </w:pPr>
            <w:r w:rsidRPr="000028C3">
              <w:t>Доля крупнейшего конечного собственника (совокупная доля членов одной семьи), %</w:t>
            </w:r>
          </w:p>
        </w:tc>
        <w:tc>
          <w:tcPr>
            <w:tcW w:w="560" w:type="pct"/>
            <w:shd w:val="clear" w:color="auto" w:fill="auto"/>
            <w:vAlign w:val="center"/>
          </w:tcPr>
          <w:p w14:paraId="303EBCE5" w14:textId="77777777" w:rsidR="00EC5509" w:rsidRPr="000028C3" w:rsidRDefault="00EC5509" w:rsidP="0039664F">
            <w:pPr>
              <w:jc w:val="center"/>
            </w:pPr>
            <w:r w:rsidRPr="000028C3">
              <w:t>-</w:t>
            </w:r>
          </w:p>
        </w:tc>
        <w:tc>
          <w:tcPr>
            <w:tcW w:w="561" w:type="pct"/>
            <w:shd w:val="clear" w:color="auto" w:fill="auto"/>
            <w:vAlign w:val="center"/>
          </w:tcPr>
          <w:p w14:paraId="71E17BC0" w14:textId="77777777" w:rsidR="00EC5509" w:rsidRPr="000028C3" w:rsidRDefault="00EC5509" w:rsidP="0039664F">
            <w:pPr>
              <w:jc w:val="center"/>
            </w:pPr>
            <w:r w:rsidRPr="000028C3">
              <w:rPr>
                <w:lang w:val="en-US"/>
              </w:rPr>
              <w:t>&lt;</w:t>
            </w:r>
            <w:r w:rsidRPr="000028C3">
              <w:t xml:space="preserve"> 25</w:t>
            </w:r>
          </w:p>
        </w:tc>
        <w:tc>
          <w:tcPr>
            <w:tcW w:w="561" w:type="pct"/>
            <w:shd w:val="clear" w:color="auto" w:fill="auto"/>
            <w:vAlign w:val="center"/>
          </w:tcPr>
          <w:p w14:paraId="7255576E" w14:textId="77777777" w:rsidR="00EC5509" w:rsidRPr="000028C3" w:rsidRDefault="00EC5509" w:rsidP="0039664F">
            <w:pPr>
              <w:jc w:val="center"/>
              <w:rPr>
                <w:lang w:val="en-US"/>
              </w:rPr>
            </w:pPr>
            <w:r w:rsidRPr="000028C3">
              <w:rPr>
                <w:lang w:val="en-US"/>
              </w:rPr>
              <w:t>(</w:t>
            </w:r>
            <w:r w:rsidRPr="000028C3">
              <w:t>25</w:t>
            </w:r>
            <w:r w:rsidRPr="000028C3">
              <w:rPr>
                <w:lang w:val="en-US"/>
              </w:rPr>
              <w:t>;</w:t>
            </w:r>
            <w:r w:rsidRPr="000028C3">
              <w:t>50</w:t>
            </w:r>
            <w:r w:rsidRPr="000028C3">
              <w:rPr>
                <w:lang w:val="en-US"/>
              </w:rPr>
              <w:t>]</w:t>
            </w:r>
          </w:p>
        </w:tc>
        <w:tc>
          <w:tcPr>
            <w:tcW w:w="561" w:type="pct"/>
            <w:shd w:val="clear" w:color="auto" w:fill="auto"/>
            <w:vAlign w:val="center"/>
          </w:tcPr>
          <w:p w14:paraId="4F07F957" w14:textId="77777777" w:rsidR="00EC5509" w:rsidRPr="000028C3" w:rsidRDefault="00EC5509" w:rsidP="0039664F">
            <w:pPr>
              <w:jc w:val="center"/>
              <w:rPr>
                <w:lang w:val="en-US"/>
              </w:rPr>
            </w:pPr>
            <w:r w:rsidRPr="000028C3">
              <w:rPr>
                <w:lang w:val="en-US"/>
              </w:rPr>
              <w:t>(</w:t>
            </w:r>
            <w:r w:rsidRPr="000028C3">
              <w:t>50</w:t>
            </w:r>
            <w:r w:rsidRPr="000028C3">
              <w:rPr>
                <w:lang w:val="en-US"/>
              </w:rPr>
              <w:t>;</w:t>
            </w:r>
            <w:r w:rsidRPr="000028C3">
              <w:t xml:space="preserve"> 75</w:t>
            </w:r>
            <w:r w:rsidRPr="000028C3">
              <w:rPr>
                <w:lang w:val="en-US"/>
              </w:rPr>
              <w:t>]</w:t>
            </w:r>
          </w:p>
        </w:tc>
        <w:tc>
          <w:tcPr>
            <w:tcW w:w="561" w:type="pct"/>
            <w:shd w:val="clear" w:color="auto" w:fill="auto"/>
            <w:vAlign w:val="center"/>
          </w:tcPr>
          <w:p w14:paraId="7FF56B79" w14:textId="77777777" w:rsidR="00EC5509" w:rsidRPr="000028C3" w:rsidRDefault="00EC5509" w:rsidP="0039664F">
            <w:pPr>
              <w:jc w:val="center"/>
            </w:pPr>
            <w:r w:rsidRPr="000028C3">
              <w:rPr>
                <w:lang w:val="en-US"/>
              </w:rPr>
              <w:t>&gt;</w:t>
            </w:r>
            <w:r w:rsidRPr="000028C3">
              <w:t xml:space="preserve"> 75</w:t>
            </w:r>
          </w:p>
        </w:tc>
      </w:tr>
      <w:tr w:rsidR="0056518F" w:rsidRPr="000028C3" w14:paraId="6DEED4D5" w14:textId="77777777" w:rsidTr="00645F45">
        <w:trPr>
          <w:trHeight w:val="20"/>
        </w:trPr>
        <w:tc>
          <w:tcPr>
            <w:tcW w:w="248" w:type="pct"/>
            <w:shd w:val="clear" w:color="auto" w:fill="auto"/>
            <w:vAlign w:val="center"/>
          </w:tcPr>
          <w:p w14:paraId="10AE389D" w14:textId="77777777" w:rsidR="008B1955" w:rsidRPr="000028C3" w:rsidRDefault="008B1955" w:rsidP="0039664F">
            <w:pPr>
              <w:jc w:val="center"/>
            </w:pPr>
            <w:r w:rsidRPr="000028C3">
              <w:t>2</w:t>
            </w:r>
          </w:p>
        </w:tc>
        <w:tc>
          <w:tcPr>
            <w:tcW w:w="1949" w:type="pct"/>
            <w:shd w:val="clear" w:color="auto" w:fill="auto"/>
          </w:tcPr>
          <w:p w14:paraId="06BE9955" w14:textId="77777777" w:rsidR="008B1955" w:rsidRPr="000028C3" w:rsidRDefault="008B1955" w:rsidP="0039664F">
            <w:r w:rsidRPr="000028C3">
              <w:t>Число технических</w:t>
            </w:r>
            <w:r w:rsidR="00394C2C" w:rsidRPr="000028C3">
              <w:t xml:space="preserve"> компаний </w:t>
            </w:r>
            <w:r w:rsidRPr="000028C3">
              <w:t>до конечного контролирующего собственника</w:t>
            </w:r>
          </w:p>
        </w:tc>
        <w:tc>
          <w:tcPr>
            <w:tcW w:w="560" w:type="pct"/>
            <w:shd w:val="clear" w:color="auto" w:fill="auto"/>
            <w:vAlign w:val="center"/>
          </w:tcPr>
          <w:p w14:paraId="590D117E" w14:textId="77777777" w:rsidR="008B1955" w:rsidRPr="000028C3" w:rsidRDefault="00394C2C" w:rsidP="0039664F">
            <w:pPr>
              <w:jc w:val="center"/>
            </w:pPr>
            <w:r w:rsidRPr="000028C3">
              <w:t xml:space="preserve">≥ </w:t>
            </w:r>
            <w:r w:rsidR="008B1955" w:rsidRPr="000028C3">
              <w:t>5</w:t>
            </w:r>
          </w:p>
        </w:tc>
        <w:tc>
          <w:tcPr>
            <w:tcW w:w="561" w:type="pct"/>
            <w:shd w:val="clear" w:color="auto" w:fill="auto"/>
            <w:vAlign w:val="center"/>
          </w:tcPr>
          <w:p w14:paraId="6564F0C7" w14:textId="77777777" w:rsidR="008B1955" w:rsidRPr="000028C3" w:rsidRDefault="008B1955" w:rsidP="0039664F">
            <w:pPr>
              <w:jc w:val="center"/>
            </w:pPr>
            <w:r w:rsidRPr="000028C3">
              <w:t>4</w:t>
            </w:r>
          </w:p>
        </w:tc>
        <w:tc>
          <w:tcPr>
            <w:tcW w:w="561" w:type="pct"/>
            <w:shd w:val="clear" w:color="auto" w:fill="auto"/>
            <w:vAlign w:val="center"/>
          </w:tcPr>
          <w:p w14:paraId="6C75F29C" w14:textId="77777777" w:rsidR="008B1955" w:rsidRPr="000028C3" w:rsidRDefault="008B1955" w:rsidP="0039664F">
            <w:pPr>
              <w:jc w:val="center"/>
            </w:pPr>
            <w:r w:rsidRPr="000028C3">
              <w:t>3</w:t>
            </w:r>
          </w:p>
        </w:tc>
        <w:tc>
          <w:tcPr>
            <w:tcW w:w="561" w:type="pct"/>
            <w:shd w:val="clear" w:color="auto" w:fill="auto"/>
            <w:vAlign w:val="center"/>
          </w:tcPr>
          <w:p w14:paraId="03E92F3B" w14:textId="77777777" w:rsidR="008B1955" w:rsidRPr="000028C3" w:rsidRDefault="008B1955" w:rsidP="0039664F">
            <w:pPr>
              <w:jc w:val="center"/>
            </w:pPr>
            <w:r w:rsidRPr="000028C3">
              <w:t>2</w:t>
            </w:r>
          </w:p>
        </w:tc>
        <w:tc>
          <w:tcPr>
            <w:tcW w:w="561" w:type="pct"/>
            <w:shd w:val="clear" w:color="auto" w:fill="auto"/>
            <w:vAlign w:val="center"/>
          </w:tcPr>
          <w:p w14:paraId="23C594EC" w14:textId="77777777" w:rsidR="008B1955" w:rsidRPr="000028C3" w:rsidRDefault="00394C2C" w:rsidP="0039664F">
            <w:pPr>
              <w:jc w:val="center"/>
            </w:pPr>
            <w:r w:rsidRPr="000028C3">
              <w:rPr>
                <w:lang w:val="en-US"/>
              </w:rPr>
              <w:t>&lt; 2</w:t>
            </w:r>
          </w:p>
        </w:tc>
      </w:tr>
      <w:tr w:rsidR="0056518F" w:rsidRPr="000028C3" w14:paraId="0F35C8D4" w14:textId="77777777" w:rsidTr="00645F45">
        <w:trPr>
          <w:trHeight w:val="20"/>
        </w:trPr>
        <w:tc>
          <w:tcPr>
            <w:tcW w:w="248" w:type="pct"/>
            <w:shd w:val="clear" w:color="auto" w:fill="auto"/>
            <w:vAlign w:val="center"/>
          </w:tcPr>
          <w:p w14:paraId="7E67EAEF" w14:textId="77777777" w:rsidR="00EC5509" w:rsidRPr="000028C3" w:rsidRDefault="00EC5509" w:rsidP="0039664F">
            <w:pPr>
              <w:jc w:val="center"/>
            </w:pPr>
            <w:r w:rsidRPr="000028C3">
              <w:t>3</w:t>
            </w:r>
          </w:p>
        </w:tc>
        <w:tc>
          <w:tcPr>
            <w:tcW w:w="1949" w:type="pct"/>
            <w:shd w:val="clear" w:color="auto" w:fill="auto"/>
          </w:tcPr>
          <w:p w14:paraId="73ACC0E4" w14:textId="77777777" w:rsidR="00EC5509" w:rsidRPr="000028C3" w:rsidRDefault="00EC5509" w:rsidP="0039664F">
            <w:pPr>
              <w:rPr>
                <w:highlight w:val="yellow"/>
              </w:rPr>
            </w:pPr>
            <w:r w:rsidRPr="000028C3">
              <w:t xml:space="preserve">Агентство владеет информацией о крупнейших фактических </w:t>
            </w:r>
            <w:r w:rsidRPr="000028C3">
              <w:lastRenderedPageBreak/>
              <w:t>конечных бенефициарах</w:t>
            </w:r>
            <w:r w:rsidRPr="000028C3">
              <w:rPr>
                <w:rStyle w:val="a6"/>
              </w:rPr>
              <w:footnoteReference w:id="15"/>
            </w:r>
            <w:r w:rsidRPr="000028C3">
              <w:t>, их доля в капитале, %</w:t>
            </w:r>
          </w:p>
        </w:tc>
        <w:tc>
          <w:tcPr>
            <w:tcW w:w="560" w:type="pct"/>
            <w:shd w:val="clear" w:color="auto" w:fill="auto"/>
            <w:vAlign w:val="center"/>
          </w:tcPr>
          <w:p w14:paraId="4570E496" w14:textId="77777777" w:rsidR="00EC5509" w:rsidRPr="000028C3" w:rsidRDefault="00EC5509" w:rsidP="0039664F">
            <w:pPr>
              <w:jc w:val="center"/>
            </w:pPr>
            <w:proofErr w:type="gramStart"/>
            <w:r w:rsidRPr="000028C3">
              <w:lastRenderedPageBreak/>
              <w:t>&lt; 50</w:t>
            </w:r>
            <w:proofErr w:type="gramEnd"/>
          </w:p>
        </w:tc>
        <w:tc>
          <w:tcPr>
            <w:tcW w:w="561" w:type="pct"/>
            <w:shd w:val="clear" w:color="auto" w:fill="auto"/>
            <w:vAlign w:val="center"/>
          </w:tcPr>
          <w:p w14:paraId="16FE2EC7" w14:textId="77777777" w:rsidR="00EC5509" w:rsidRPr="000028C3" w:rsidRDefault="00EC5509" w:rsidP="0039664F">
            <w:pPr>
              <w:jc w:val="center"/>
            </w:pPr>
            <w:r w:rsidRPr="000028C3">
              <w:t>-</w:t>
            </w:r>
          </w:p>
        </w:tc>
        <w:tc>
          <w:tcPr>
            <w:tcW w:w="561" w:type="pct"/>
            <w:shd w:val="clear" w:color="auto" w:fill="auto"/>
            <w:vAlign w:val="center"/>
          </w:tcPr>
          <w:p w14:paraId="30554B6E" w14:textId="77777777" w:rsidR="00EC5509" w:rsidRPr="000028C3" w:rsidRDefault="00EC5509" w:rsidP="0039664F">
            <w:pPr>
              <w:jc w:val="center"/>
            </w:pPr>
            <w:r w:rsidRPr="000028C3">
              <w:t>[50;95)</w:t>
            </w:r>
          </w:p>
        </w:tc>
        <w:tc>
          <w:tcPr>
            <w:tcW w:w="561" w:type="pct"/>
            <w:shd w:val="clear" w:color="auto" w:fill="auto"/>
            <w:vAlign w:val="center"/>
          </w:tcPr>
          <w:p w14:paraId="533B8B35" w14:textId="77777777" w:rsidR="00EC5509" w:rsidRPr="000028C3" w:rsidRDefault="00EC5509" w:rsidP="0039664F">
            <w:pPr>
              <w:jc w:val="center"/>
            </w:pPr>
            <w:r w:rsidRPr="000028C3">
              <w:t>-</w:t>
            </w:r>
          </w:p>
        </w:tc>
        <w:tc>
          <w:tcPr>
            <w:tcW w:w="561" w:type="pct"/>
            <w:shd w:val="clear" w:color="auto" w:fill="auto"/>
            <w:vAlign w:val="center"/>
          </w:tcPr>
          <w:p w14:paraId="2E585EB3" w14:textId="77777777" w:rsidR="00EC5509" w:rsidRPr="000028C3" w:rsidRDefault="00EC5509" w:rsidP="0039664F">
            <w:pPr>
              <w:jc w:val="center"/>
            </w:pPr>
            <w:r w:rsidRPr="000028C3">
              <w:t>[95;100]</w:t>
            </w:r>
          </w:p>
        </w:tc>
      </w:tr>
    </w:tbl>
    <w:p w14:paraId="1D6631A7" w14:textId="77777777" w:rsidR="008B1955" w:rsidRPr="000028C3" w:rsidRDefault="008B1955" w:rsidP="0039664F">
      <w:pPr>
        <w:jc w:val="both"/>
        <w:rPr>
          <w:highlight w:val="yellow"/>
        </w:rPr>
      </w:pPr>
    </w:p>
    <w:p w14:paraId="748B95D4" w14:textId="77777777" w:rsidR="008B1955" w:rsidRPr="000028C3" w:rsidRDefault="00C656FA" w:rsidP="0039664F">
      <w:pPr>
        <w:pStyle w:val="ad"/>
        <w:spacing w:before="0" w:beforeAutospacing="0" w:after="0" w:afterAutospacing="0"/>
        <w:ind w:firstLine="567"/>
        <w:jc w:val="both"/>
      </w:pPr>
      <w:r w:rsidRPr="000028C3">
        <w:t>Д</w:t>
      </w:r>
      <w:r w:rsidR="008B1955" w:rsidRPr="000028C3">
        <w:t xml:space="preserve">ля компаний с распыленной структурой собственности с большим </w:t>
      </w:r>
      <w:proofErr w:type="spellStart"/>
      <w:r w:rsidR="008B1955" w:rsidRPr="000028C3">
        <w:t>free</w:t>
      </w:r>
      <w:proofErr w:type="spellEnd"/>
      <w:r w:rsidRPr="000028C3">
        <w:t xml:space="preserve"> </w:t>
      </w:r>
      <w:proofErr w:type="spellStart"/>
      <w:r w:rsidR="008B1955" w:rsidRPr="000028C3">
        <w:t>float</w:t>
      </w:r>
      <w:proofErr w:type="spellEnd"/>
      <w:r w:rsidR="008B1955" w:rsidRPr="000028C3">
        <w:rPr>
          <w:rStyle w:val="a6"/>
        </w:rPr>
        <w:footnoteReference w:id="16"/>
      </w:r>
      <w:r w:rsidR="008B1955" w:rsidRPr="000028C3">
        <w:t xml:space="preserve"> и </w:t>
      </w:r>
      <w:r w:rsidRPr="000028C3">
        <w:t>оценкой фактора «</w:t>
      </w:r>
      <w:r w:rsidR="00BE6683" w:rsidRPr="000028C3">
        <w:t>Корпоративное управление, ИТ-обеспечение и информационная прозрачность</w:t>
      </w:r>
      <w:r w:rsidRPr="000028C3">
        <w:t xml:space="preserve">» </w:t>
      </w:r>
      <w:r w:rsidR="008B1955" w:rsidRPr="000028C3">
        <w:t xml:space="preserve">выше 0,7 параметр </w:t>
      </w:r>
      <w:r w:rsidR="009E60C4" w:rsidRPr="000028C3">
        <w:t>«Доля крупнейшего конечного собственника (совокупная доля членов одной семьи)»</w:t>
      </w:r>
      <w:r w:rsidR="008B1955" w:rsidRPr="000028C3">
        <w:t xml:space="preserve"> </w:t>
      </w:r>
      <w:r w:rsidRPr="000028C3">
        <w:t>не оценивается</w:t>
      </w:r>
      <w:r w:rsidR="008B1955" w:rsidRPr="000028C3">
        <w:t xml:space="preserve">. </w:t>
      </w:r>
      <w:r w:rsidRPr="000028C3">
        <w:t>Оценка определяется</w:t>
      </w:r>
      <w:r w:rsidR="008B1955" w:rsidRPr="000028C3">
        <w:t xml:space="preserve"> на основе </w:t>
      </w:r>
      <w:r w:rsidR="009E60C4" w:rsidRPr="000028C3">
        <w:t>остальных критериев</w:t>
      </w:r>
      <w:r w:rsidR="008B1955" w:rsidRPr="000028C3">
        <w:t xml:space="preserve">, при этом критерии проверяются для бенефициаров с долей более 5%. </w:t>
      </w:r>
    </w:p>
    <w:p w14:paraId="29FFCEC4" w14:textId="77777777" w:rsidR="00EC5509" w:rsidRPr="000028C3" w:rsidRDefault="00EC5509" w:rsidP="0039664F">
      <w:pPr>
        <w:jc w:val="both"/>
      </w:pPr>
    </w:p>
    <w:p w14:paraId="55AC0CA5" w14:textId="77777777" w:rsidR="00EC5509" w:rsidRPr="000028C3" w:rsidRDefault="00EC5509" w:rsidP="0039664F">
      <w:pPr>
        <w:pStyle w:val="ad"/>
        <w:spacing w:before="0" w:beforeAutospacing="0" w:after="0" w:afterAutospacing="0"/>
        <w:ind w:firstLine="567"/>
        <w:jc w:val="both"/>
      </w:pPr>
      <w:r w:rsidRPr="000028C3">
        <w:t>Возможные корректировки:</w:t>
      </w:r>
    </w:p>
    <w:p w14:paraId="446DEECE" w14:textId="77777777" w:rsidR="00EC5509" w:rsidRPr="000028C3" w:rsidRDefault="00B55C46" w:rsidP="0098669D">
      <w:pPr>
        <w:pStyle w:val="af7"/>
        <w:numPr>
          <w:ilvl w:val="0"/>
          <w:numId w:val="32"/>
        </w:numPr>
        <w:jc w:val="both"/>
        <w:rPr>
          <w:rFonts w:ascii="Times New Roman" w:hAnsi="Times New Roman" w:cs="Times New Roman"/>
        </w:rPr>
      </w:pPr>
      <w:r w:rsidRPr="000028C3">
        <w:rPr>
          <w:rFonts w:ascii="Times New Roman" w:hAnsi="Times New Roman" w:cs="Times New Roman"/>
        </w:rPr>
        <w:t>Балл может быть снижен</w:t>
      </w:r>
      <w:r w:rsidR="00EC5509" w:rsidRPr="000028C3">
        <w:rPr>
          <w:rFonts w:ascii="Times New Roman" w:hAnsi="Times New Roman" w:cs="Times New Roman"/>
        </w:rPr>
        <w:t xml:space="preserve"> вплоть до -1 за конфликты между собственниками объекта рейтинга, если эти конфликты оказывают или могут оказать негативное влияние на кредитоспособность компании. </w:t>
      </w:r>
    </w:p>
    <w:p w14:paraId="486F3F02" w14:textId="77777777" w:rsidR="00EC5509" w:rsidRPr="000028C3" w:rsidRDefault="00EC5509" w:rsidP="0098669D">
      <w:pPr>
        <w:pStyle w:val="af7"/>
        <w:numPr>
          <w:ilvl w:val="0"/>
          <w:numId w:val="32"/>
        </w:numPr>
        <w:jc w:val="both"/>
        <w:rPr>
          <w:rFonts w:ascii="Times New Roman" w:hAnsi="Times New Roman" w:cs="Times New Roman"/>
        </w:rPr>
      </w:pPr>
      <w:r w:rsidRPr="000028C3">
        <w:rPr>
          <w:rFonts w:ascii="Times New Roman" w:hAnsi="Times New Roman" w:cs="Times New Roman"/>
        </w:rPr>
        <w:t xml:space="preserve">Балл может быть понижен на 0,5 за значительную долю офшоров в структуре собственности, если это каким-либо образом ограничивает конкурентные позиции компании. </w:t>
      </w:r>
    </w:p>
    <w:p w14:paraId="6ED11853" w14:textId="77777777" w:rsidR="006E7896" w:rsidRPr="000028C3" w:rsidRDefault="006E7896" w:rsidP="0098669D">
      <w:pPr>
        <w:pStyle w:val="af7"/>
        <w:numPr>
          <w:ilvl w:val="0"/>
          <w:numId w:val="32"/>
        </w:numPr>
        <w:jc w:val="both"/>
        <w:rPr>
          <w:rFonts w:ascii="Times New Roman" w:hAnsi="Times New Roman" w:cs="Times New Roman"/>
        </w:rPr>
      </w:pPr>
      <w:r w:rsidRPr="000028C3">
        <w:rPr>
          <w:rFonts w:ascii="Times New Roman" w:hAnsi="Times New Roman" w:cs="Times New Roman"/>
        </w:rPr>
        <w:t>Балл может быть снижен до 0, если устав компании с организационно-правовой формой ООО п</w:t>
      </w:r>
      <w:r w:rsidR="00B82A6C" w:rsidRPr="000028C3">
        <w:rPr>
          <w:rFonts w:ascii="Times New Roman" w:hAnsi="Times New Roman" w:cs="Times New Roman"/>
        </w:rPr>
        <w:t xml:space="preserve">редусматривает, что ее участник </w:t>
      </w:r>
      <w:r w:rsidRPr="000028C3">
        <w:rPr>
          <w:rFonts w:ascii="Times New Roman" w:hAnsi="Times New Roman" w:cs="Times New Roman"/>
        </w:rPr>
        <w:t>может вы</w:t>
      </w:r>
      <w:r w:rsidR="00B82A6C" w:rsidRPr="000028C3">
        <w:rPr>
          <w:rFonts w:ascii="Times New Roman" w:hAnsi="Times New Roman" w:cs="Times New Roman"/>
        </w:rPr>
        <w:t>йти из состава, при этом у компании</w:t>
      </w:r>
      <w:r w:rsidRPr="000028C3">
        <w:rPr>
          <w:rFonts w:ascii="Times New Roman" w:hAnsi="Times New Roman" w:cs="Times New Roman"/>
        </w:rPr>
        <w:t xml:space="preserve"> возникает обязательство по выкупу долей этого участника.</w:t>
      </w:r>
    </w:p>
    <w:p w14:paraId="669F17DE" w14:textId="77777777" w:rsidR="00EC5509" w:rsidRPr="000028C3" w:rsidRDefault="00B55C46" w:rsidP="0098669D">
      <w:pPr>
        <w:pStyle w:val="af7"/>
        <w:numPr>
          <w:ilvl w:val="0"/>
          <w:numId w:val="32"/>
        </w:numPr>
        <w:jc w:val="both"/>
        <w:rPr>
          <w:rFonts w:ascii="Times New Roman" w:hAnsi="Times New Roman" w:cs="Times New Roman"/>
        </w:rPr>
      </w:pPr>
      <w:r w:rsidRPr="000028C3">
        <w:rPr>
          <w:rFonts w:ascii="Times New Roman" w:hAnsi="Times New Roman" w:cs="Times New Roman"/>
        </w:rPr>
        <w:t xml:space="preserve">Балл </w:t>
      </w:r>
      <w:r w:rsidR="00EC5509" w:rsidRPr="000028C3">
        <w:rPr>
          <w:rFonts w:ascii="Times New Roman" w:hAnsi="Times New Roman" w:cs="Times New Roman"/>
        </w:rPr>
        <w:t>может выставляться на основании распределения голосующих прав между акционерами при наличии различия для разных классов акций или акционерного соглашения, снижающего вероятность конфликтов между акционерами.</w:t>
      </w:r>
    </w:p>
    <w:p w14:paraId="00639943" w14:textId="77777777" w:rsidR="00BE6683" w:rsidRPr="000028C3" w:rsidRDefault="00B55C46" w:rsidP="0098669D">
      <w:pPr>
        <w:pStyle w:val="af7"/>
        <w:numPr>
          <w:ilvl w:val="0"/>
          <w:numId w:val="32"/>
        </w:numPr>
        <w:jc w:val="both"/>
        <w:rPr>
          <w:rFonts w:ascii="Times New Roman" w:hAnsi="Times New Roman" w:cs="Times New Roman"/>
          <w:szCs w:val="24"/>
        </w:rPr>
      </w:pPr>
      <w:r w:rsidRPr="000028C3">
        <w:rPr>
          <w:rFonts w:ascii="Times New Roman" w:hAnsi="Times New Roman" w:cs="Times New Roman"/>
        </w:rPr>
        <w:t>Балл может быть понижен</w:t>
      </w:r>
      <w:r w:rsidR="00EC5509" w:rsidRPr="000028C3">
        <w:rPr>
          <w:rFonts w:ascii="Times New Roman" w:hAnsi="Times New Roman" w:cs="Times New Roman"/>
        </w:rPr>
        <w:t xml:space="preserve"> максимально на 1, в случаях, когда Агентство располагает информацией об обременении акций (долей) владения компанией, так как это влечет повышенный риск смены контролирующего собственника и сбоев в оперативном управлении компанией. </w:t>
      </w:r>
    </w:p>
    <w:p w14:paraId="6FE46335" w14:textId="77777777" w:rsidR="003437F9" w:rsidRPr="000028C3" w:rsidRDefault="003437F9" w:rsidP="003437F9">
      <w:pPr>
        <w:pStyle w:val="af7"/>
        <w:numPr>
          <w:ilvl w:val="0"/>
          <w:numId w:val="32"/>
        </w:numPr>
        <w:jc w:val="both"/>
        <w:rPr>
          <w:rFonts w:ascii="Times New Roman" w:hAnsi="Times New Roman" w:cs="Times New Roman"/>
        </w:rPr>
      </w:pPr>
      <w:r w:rsidRPr="000028C3">
        <w:rPr>
          <w:rFonts w:ascii="Times New Roman" w:hAnsi="Times New Roman" w:cs="Times New Roman"/>
        </w:rPr>
        <w:t>Балл может быть понижен на 0,5-1,5 при частой смене ключевых собственников (более 1 раза в течение года), если деловую репутацию собственников нельзя оценить как положительную (критерии оценки деловой репутации приведены в соответствующем разделе).</w:t>
      </w:r>
    </w:p>
    <w:p w14:paraId="07FB4B40" w14:textId="77777777" w:rsidR="00B55C46" w:rsidRPr="000028C3" w:rsidRDefault="00B55C46" w:rsidP="0098669D">
      <w:pPr>
        <w:pStyle w:val="af7"/>
        <w:numPr>
          <w:ilvl w:val="0"/>
          <w:numId w:val="32"/>
        </w:numPr>
        <w:jc w:val="both"/>
        <w:rPr>
          <w:rFonts w:ascii="Times New Roman" w:hAnsi="Times New Roman" w:cs="Times New Roman"/>
          <w:szCs w:val="24"/>
        </w:rPr>
      </w:pPr>
      <w:r w:rsidRPr="000028C3">
        <w:rPr>
          <w:rFonts w:ascii="Times New Roman" w:hAnsi="Times New Roman" w:cs="Times New Roman"/>
        </w:rPr>
        <w:t>Балл может быть снижен вплоть до -1, если в силу каких-либо причин (например, процедура банкротства в отношении собственника-ЮЛ или уголовное преследование, смерть собственника-ФЛ или публичная информация о неисполнении собственником своих финансовых обязательств) существует высокая вероятность невозможности реализовать свое право распоряжения долями в капитале/акциями объекта рейтинга лицом, контролирующим больше 25% его капитала.</w:t>
      </w:r>
    </w:p>
    <w:p w14:paraId="4E829AA9" w14:textId="77777777" w:rsidR="00BE6683" w:rsidRPr="000028C3" w:rsidRDefault="00BE6683" w:rsidP="0039664F">
      <w:pPr>
        <w:jc w:val="both"/>
      </w:pPr>
    </w:p>
    <w:p w14:paraId="03742765" w14:textId="77777777" w:rsidR="008B1955" w:rsidRPr="000028C3" w:rsidRDefault="008B1955" w:rsidP="0098669D">
      <w:pPr>
        <w:pStyle w:val="3"/>
        <w:numPr>
          <w:ilvl w:val="1"/>
          <w:numId w:val="10"/>
        </w:numPr>
        <w:spacing w:before="0" w:after="0"/>
        <w:ind w:left="709"/>
        <w:rPr>
          <w:rFonts w:ascii="Times New Roman" w:hAnsi="Times New Roman" w:cs="Times New Roman"/>
        </w:rPr>
      </w:pPr>
      <w:bookmarkStart w:id="92" w:name="_Toc447270454"/>
      <w:bookmarkStart w:id="93" w:name="_Toc39667638"/>
      <w:r w:rsidRPr="000028C3">
        <w:rPr>
          <w:rFonts w:ascii="Times New Roman" w:hAnsi="Times New Roman" w:cs="Times New Roman"/>
        </w:rPr>
        <w:t>Управление рисками</w:t>
      </w:r>
      <w:bookmarkEnd w:id="92"/>
      <w:bookmarkEnd w:id="93"/>
    </w:p>
    <w:p w14:paraId="1C9F2810" w14:textId="77777777" w:rsidR="0039664F" w:rsidRPr="000028C3" w:rsidRDefault="0039664F" w:rsidP="0039664F">
      <w:pPr>
        <w:pStyle w:val="ad"/>
        <w:spacing w:before="0" w:beforeAutospacing="0" w:after="0" w:afterAutospacing="0"/>
        <w:ind w:firstLine="567"/>
        <w:jc w:val="both"/>
        <w:rPr>
          <w:u w:val="single"/>
        </w:rPr>
      </w:pPr>
    </w:p>
    <w:p w14:paraId="1A18085D" w14:textId="7FF637F9" w:rsidR="008B1955" w:rsidRPr="000028C3" w:rsidRDefault="00C656FA" w:rsidP="0039664F">
      <w:pPr>
        <w:pStyle w:val="ad"/>
        <w:spacing w:before="0" w:beforeAutospacing="0" w:after="0" w:afterAutospacing="0"/>
        <w:ind w:firstLine="567"/>
        <w:jc w:val="both"/>
        <w:rPr>
          <w:u w:val="single"/>
        </w:rPr>
      </w:pPr>
      <w:r w:rsidRPr="000028C3">
        <w:rPr>
          <w:u w:val="single"/>
        </w:rPr>
        <w:t>Цель оценки</w:t>
      </w:r>
    </w:p>
    <w:p w14:paraId="270593E1" w14:textId="77777777" w:rsidR="00D566C0" w:rsidRPr="000028C3" w:rsidRDefault="008B1955" w:rsidP="0039664F">
      <w:pPr>
        <w:pStyle w:val="ad"/>
        <w:spacing w:before="0" w:beforeAutospacing="0" w:after="0" w:afterAutospacing="0"/>
        <w:ind w:firstLine="567"/>
        <w:jc w:val="both"/>
      </w:pPr>
      <w:r w:rsidRPr="000028C3">
        <w:lastRenderedPageBreak/>
        <w:t xml:space="preserve">Определить, насколько текущая инфраструктура </w:t>
      </w:r>
      <w:r w:rsidR="00E86793" w:rsidRPr="000028C3">
        <w:t>риск-менеджмента</w:t>
      </w:r>
      <w:r w:rsidRPr="000028C3">
        <w:t xml:space="preserve"> соответствует профилю рисков, принимаемых на себя компанией. </w:t>
      </w:r>
      <w:r w:rsidR="00D566C0" w:rsidRPr="000028C3">
        <w:t xml:space="preserve">Использование адекватного набора инструментов управления рисками, как правило, ограничивает уровень принимаемых рисков либо позволяет снизить их негативное влияние на деятельность компании. При оценке </w:t>
      </w:r>
      <w:r w:rsidR="00E86793" w:rsidRPr="000028C3">
        <w:t>А</w:t>
      </w:r>
      <w:r w:rsidR="00D566C0" w:rsidRPr="000028C3">
        <w:t>гентство использует также косвенные индикаторы, которые свидетельствуют о повышенной чувствительности к отдельным видам рисков. Например, высокий уровень текучести кадров на уровне топ-менеджмента может свидетельствовать о конфликтах внутри команды, что может привести к росту операционных рисков. Негативно сказывается слабая регламентация управления рисками, которая может привести к непрогнозируемым потерям. Позитивно на рейтинг влияет наличие выделенного подразделения по управлению рисками, наличие действующих на постоянной основе комитетов, деятельность которых напрямую связана с управлением рисками.</w:t>
      </w:r>
    </w:p>
    <w:p w14:paraId="509DECE8" w14:textId="77777777" w:rsidR="005A2B1C" w:rsidRPr="000028C3" w:rsidRDefault="005A2B1C" w:rsidP="0039664F">
      <w:pPr>
        <w:jc w:val="both"/>
        <w:rPr>
          <w:highlight w:val="yellow"/>
        </w:rPr>
      </w:pPr>
    </w:p>
    <w:p w14:paraId="5596533A" w14:textId="103E8931" w:rsidR="00C656FA" w:rsidRPr="000028C3" w:rsidRDefault="008B1955" w:rsidP="0039664F">
      <w:pPr>
        <w:pStyle w:val="ad"/>
        <w:spacing w:before="0" w:beforeAutospacing="0" w:after="0" w:afterAutospacing="0"/>
        <w:ind w:firstLine="567"/>
        <w:jc w:val="both"/>
        <w:rPr>
          <w:u w:val="single"/>
        </w:rPr>
      </w:pPr>
      <w:r w:rsidRPr="000028C3">
        <w:rPr>
          <w:u w:val="single"/>
        </w:rPr>
        <w:t>Алгоритм выставления оценки</w:t>
      </w:r>
    </w:p>
    <w:p w14:paraId="0303B4D6" w14:textId="0696295B" w:rsidR="009174A4" w:rsidRPr="000028C3" w:rsidRDefault="009174A4" w:rsidP="0039664F">
      <w:pPr>
        <w:pStyle w:val="ad"/>
        <w:spacing w:before="0" w:beforeAutospacing="0" w:after="0" w:afterAutospacing="0"/>
        <w:ind w:firstLine="567"/>
        <w:jc w:val="both"/>
      </w:pPr>
      <w:r w:rsidRPr="000028C3">
        <w:t xml:space="preserve">Фактор оценивается по наиболее актуальной информации. При оценке фактора используется чек-лист. </w:t>
      </w:r>
      <w:r w:rsidR="000269BD" w:rsidRPr="000269BD">
        <w:t>Выполнению критерия в полном объеме соответствует оценка 1, частичному выполнению – 0, невыполнению – -1.</w:t>
      </w:r>
      <w:r w:rsidRPr="000028C3">
        <w:t xml:space="preserve"> Полученные </w:t>
      </w:r>
      <w:r w:rsidR="000269BD">
        <w:t>оценки</w:t>
      </w:r>
      <w:r w:rsidR="000269BD" w:rsidRPr="000028C3">
        <w:t xml:space="preserve"> </w:t>
      </w:r>
      <w:r w:rsidRPr="000028C3">
        <w:t>взвешиваются и суммируются.</w:t>
      </w:r>
    </w:p>
    <w:p w14:paraId="403D2446" w14:textId="77777777" w:rsidR="008B1955" w:rsidRPr="000028C3" w:rsidRDefault="008B1955" w:rsidP="0039664F">
      <w:pPr>
        <w:jc w:val="both"/>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4"/>
        <w:gridCol w:w="1131"/>
      </w:tblGrid>
      <w:tr w:rsidR="008B1955" w:rsidRPr="000269BD" w14:paraId="2280949C" w14:textId="77777777" w:rsidTr="006F39EA">
        <w:trPr>
          <w:trHeight w:val="20"/>
        </w:trPr>
        <w:tc>
          <w:tcPr>
            <w:tcW w:w="4395" w:type="pct"/>
            <w:tcBorders>
              <w:bottom w:val="single" w:sz="4" w:space="0" w:color="auto"/>
            </w:tcBorders>
            <w:shd w:val="clear" w:color="auto" w:fill="auto"/>
            <w:vAlign w:val="center"/>
          </w:tcPr>
          <w:p w14:paraId="04A5638F" w14:textId="51E9F286" w:rsidR="008B1955" w:rsidRPr="000269BD" w:rsidRDefault="009D0B14" w:rsidP="0039664F">
            <w:pPr>
              <w:rPr>
                <w:highlight w:val="yellow"/>
              </w:rPr>
            </w:pPr>
            <w:r w:rsidRPr="000269BD">
              <w:t>Параметр</w:t>
            </w:r>
          </w:p>
        </w:tc>
        <w:tc>
          <w:tcPr>
            <w:tcW w:w="605" w:type="pct"/>
            <w:tcBorders>
              <w:bottom w:val="single" w:sz="4" w:space="0" w:color="auto"/>
            </w:tcBorders>
            <w:shd w:val="clear" w:color="auto" w:fill="auto"/>
            <w:noWrap/>
            <w:vAlign w:val="center"/>
          </w:tcPr>
          <w:p w14:paraId="57E90C10" w14:textId="77777777" w:rsidR="008B1955" w:rsidRPr="002955F4" w:rsidRDefault="00E86793" w:rsidP="0039664F">
            <w:pPr>
              <w:jc w:val="center"/>
              <w:rPr>
                <w:highlight w:val="yellow"/>
              </w:rPr>
            </w:pPr>
            <w:r w:rsidRPr="002955F4">
              <w:t>В</w:t>
            </w:r>
            <w:r w:rsidR="008B1955" w:rsidRPr="002955F4">
              <w:t>ес</w:t>
            </w:r>
          </w:p>
        </w:tc>
      </w:tr>
      <w:tr w:rsidR="008B1955" w:rsidRPr="000269BD" w14:paraId="64EA4ACD" w14:textId="77777777" w:rsidTr="006F39EA">
        <w:trPr>
          <w:trHeight w:val="20"/>
        </w:trPr>
        <w:tc>
          <w:tcPr>
            <w:tcW w:w="4395" w:type="pct"/>
            <w:shd w:val="clear" w:color="auto" w:fill="D9D9D9" w:themeFill="background1" w:themeFillShade="D9"/>
            <w:vAlign w:val="center"/>
          </w:tcPr>
          <w:p w14:paraId="39D1F37F" w14:textId="77777777" w:rsidR="008B1955" w:rsidRPr="000269BD" w:rsidRDefault="008B1955" w:rsidP="0039664F">
            <w:pPr>
              <w:rPr>
                <w:bCs/>
              </w:rPr>
            </w:pPr>
            <w:r w:rsidRPr="000269BD">
              <w:rPr>
                <w:bCs/>
              </w:rPr>
              <w:t>Орг</w:t>
            </w:r>
            <w:r w:rsidR="00E86793" w:rsidRPr="000269BD">
              <w:rPr>
                <w:bCs/>
              </w:rPr>
              <w:t>анизационная</w:t>
            </w:r>
            <w:r w:rsidRPr="000269BD">
              <w:rPr>
                <w:bCs/>
              </w:rPr>
              <w:t xml:space="preserve"> структура системы риск-менеджмента</w:t>
            </w:r>
          </w:p>
        </w:tc>
        <w:tc>
          <w:tcPr>
            <w:tcW w:w="605" w:type="pct"/>
            <w:shd w:val="clear" w:color="auto" w:fill="D9D9D9" w:themeFill="background1" w:themeFillShade="D9"/>
            <w:noWrap/>
            <w:vAlign w:val="center"/>
          </w:tcPr>
          <w:p w14:paraId="46772C46" w14:textId="77777777" w:rsidR="008B1955" w:rsidRPr="000269BD" w:rsidRDefault="008B1955" w:rsidP="0039664F">
            <w:pPr>
              <w:jc w:val="center"/>
            </w:pPr>
          </w:p>
        </w:tc>
      </w:tr>
      <w:tr w:rsidR="008B1955" w:rsidRPr="000269BD" w14:paraId="48FE5D09" w14:textId="77777777" w:rsidTr="006F39EA">
        <w:trPr>
          <w:trHeight w:val="20"/>
        </w:trPr>
        <w:tc>
          <w:tcPr>
            <w:tcW w:w="4395" w:type="pct"/>
            <w:shd w:val="clear" w:color="auto" w:fill="auto"/>
            <w:vAlign w:val="center"/>
          </w:tcPr>
          <w:p w14:paraId="0B447E5B" w14:textId="037BEEFE" w:rsidR="008B1955" w:rsidRPr="000269BD" w:rsidRDefault="008B1955" w:rsidP="0039664F">
            <w:r w:rsidRPr="000269BD">
              <w:t>В компании есть отдельное подразделение по управлению рисками</w:t>
            </w:r>
            <w:r w:rsidR="00E3095C" w:rsidRPr="000269BD">
              <w:t xml:space="preserve"> (выполняется / не выполняется)</w:t>
            </w:r>
          </w:p>
        </w:tc>
        <w:tc>
          <w:tcPr>
            <w:tcW w:w="605" w:type="pct"/>
            <w:shd w:val="clear" w:color="auto" w:fill="auto"/>
            <w:noWrap/>
            <w:vAlign w:val="center"/>
          </w:tcPr>
          <w:p w14:paraId="5DB02167" w14:textId="77777777" w:rsidR="008B1955" w:rsidRPr="000269BD" w:rsidRDefault="008B1955" w:rsidP="0039664F">
            <w:pPr>
              <w:jc w:val="center"/>
            </w:pPr>
            <w:r w:rsidRPr="000269BD">
              <w:t>2</w:t>
            </w:r>
          </w:p>
        </w:tc>
      </w:tr>
      <w:tr w:rsidR="008B1955" w:rsidRPr="000269BD" w14:paraId="550D6887" w14:textId="77777777" w:rsidTr="006F39EA">
        <w:trPr>
          <w:trHeight w:val="20"/>
        </w:trPr>
        <w:tc>
          <w:tcPr>
            <w:tcW w:w="4395" w:type="pct"/>
            <w:shd w:val="clear" w:color="auto" w:fill="auto"/>
            <w:vAlign w:val="center"/>
          </w:tcPr>
          <w:p w14:paraId="6143FC55" w14:textId="7F6B5A47" w:rsidR="008B1955" w:rsidRPr="000269BD" w:rsidRDefault="008B1955" w:rsidP="0039664F">
            <w:r w:rsidRPr="000269BD">
              <w:t>Отдельное подразделение по упр</w:t>
            </w:r>
            <w:r w:rsidR="00E86793" w:rsidRPr="000269BD">
              <w:t>авлению рисками работает свыше трех</w:t>
            </w:r>
            <w:r w:rsidRPr="000269BD">
              <w:t xml:space="preserve"> лет</w:t>
            </w:r>
            <w:r w:rsidR="000269BD" w:rsidRPr="000269BD">
              <w:t xml:space="preserve"> (выполняется / не выполняется)</w:t>
            </w:r>
          </w:p>
        </w:tc>
        <w:tc>
          <w:tcPr>
            <w:tcW w:w="605" w:type="pct"/>
            <w:shd w:val="clear" w:color="auto" w:fill="auto"/>
            <w:noWrap/>
            <w:vAlign w:val="center"/>
          </w:tcPr>
          <w:p w14:paraId="08342F76" w14:textId="77777777" w:rsidR="008B1955" w:rsidRPr="000269BD" w:rsidRDefault="008B1955" w:rsidP="0039664F">
            <w:pPr>
              <w:jc w:val="center"/>
            </w:pPr>
            <w:r w:rsidRPr="000269BD">
              <w:t>2</w:t>
            </w:r>
          </w:p>
        </w:tc>
      </w:tr>
      <w:tr w:rsidR="008B1955" w:rsidRPr="000269BD" w14:paraId="26ABB3CC" w14:textId="77777777" w:rsidTr="006F39EA">
        <w:trPr>
          <w:trHeight w:val="20"/>
        </w:trPr>
        <w:tc>
          <w:tcPr>
            <w:tcW w:w="4395" w:type="pct"/>
            <w:shd w:val="clear" w:color="auto" w:fill="auto"/>
            <w:vAlign w:val="center"/>
          </w:tcPr>
          <w:p w14:paraId="7E6FF8C0" w14:textId="66E7F2B1" w:rsidR="008B1955" w:rsidRPr="000269BD" w:rsidRDefault="008B1955" w:rsidP="0039664F">
            <w:r w:rsidRPr="000269BD">
              <w:t xml:space="preserve">Подразделение </w:t>
            </w:r>
            <w:r w:rsidR="00E86793" w:rsidRPr="000269BD">
              <w:t>риск-менеджмента</w:t>
            </w:r>
            <w:r w:rsidRPr="000269BD">
              <w:t xml:space="preserve"> напрямую подчиняется высшему руководству</w:t>
            </w:r>
            <w:r w:rsidR="000269BD" w:rsidRPr="000269BD">
              <w:t xml:space="preserve"> (выполняется / не выполняется)</w:t>
            </w:r>
          </w:p>
        </w:tc>
        <w:tc>
          <w:tcPr>
            <w:tcW w:w="605" w:type="pct"/>
            <w:shd w:val="clear" w:color="auto" w:fill="auto"/>
            <w:noWrap/>
            <w:vAlign w:val="center"/>
          </w:tcPr>
          <w:p w14:paraId="28A6EBAA" w14:textId="77777777" w:rsidR="008B1955" w:rsidRPr="000269BD" w:rsidRDefault="008B1955" w:rsidP="0039664F">
            <w:pPr>
              <w:jc w:val="center"/>
            </w:pPr>
            <w:r w:rsidRPr="000269BD">
              <w:t>2</w:t>
            </w:r>
          </w:p>
        </w:tc>
      </w:tr>
      <w:tr w:rsidR="008B1955" w:rsidRPr="000269BD" w14:paraId="4FEF43D5" w14:textId="77777777" w:rsidTr="006F39EA">
        <w:trPr>
          <w:trHeight w:val="20"/>
        </w:trPr>
        <w:tc>
          <w:tcPr>
            <w:tcW w:w="4395" w:type="pct"/>
            <w:shd w:val="clear" w:color="auto" w:fill="D9D9D9" w:themeFill="background1" w:themeFillShade="D9"/>
            <w:vAlign w:val="center"/>
          </w:tcPr>
          <w:p w14:paraId="241D6730" w14:textId="77777777" w:rsidR="008B1955" w:rsidRPr="000269BD" w:rsidRDefault="008B1955" w:rsidP="0039664F">
            <w:pPr>
              <w:rPr>
                <w:bCs/>
              </w:rPr>
            </w:pPr>
            <w:r w:rsidRPr="000269BD">
              <w:rPr>
                <w:bCs/>
              </w:rPr>
              <w:t>Кредитные риски</w:t>
            </w:r>
          </w:p>
        </w:tc>
        <w:tc>
          <w:tcPr>
            <w:tcW w:w="605" w:type="pct"/>
            <w:shd w:val="clear" w:color="auto" w:fill="D9D9D9" w:themeFill="background1" w:themeFillShade="D9"/>
            <w:noWrap/>
            <w:vAlign w:val="center"/>
          </w:tcPr>
          <w:p w14:paraId="170C5A42" w14:textId="77777777" w:rsidR="008B1955" w:rsidRPr="000269BD" w:rsidRDefault="008B1955" w:rsidP="0039664F">
            <w:pPr>
              <w:jc w:val="center"/>
            </w:pPr>
          </w:p>
        </w:tc>
      </w:tr>
      <w:tr w:rsidR="008B1955" w:rsidRPr="000269BD" w14:paraId="5A7CCBA8" w14:textId="77777777" w:rsidTr="006F39EA">
        <w:trPr>
          <w:trHeight w:val="20"/>
        </w:trPr>
        <w:tc>
          <w:tcPr>
            <w:tcW w:w="4395" w:type="pct"/>
            <w:shd w:val="clear" w:color="auto" w:fill="auto"/>
            <w:vAlign w:val="center"/>
          </w:tcPr>
          <w:p w14:paraId="290A2283" w14:textId="6D99FCDF" w:rsidR="008B1955" w:rsidRPr="000269BD" w:rsidRDefault="008B1955" w:rsidP="0039664F">
            <w:r w:rsidRPr="000269BD">
              <w:t>Существует документ, регламентирующий управление кредитным риском, или методика управления кредитным риском</w:t>
            </w:r>
            <w:r w:rsidR="000269BD" w:rsidRPr="000269BD">
              <w:t xml:space="preserve"> (выполняется / не выполняется)</w:t>
            </w:r>
          </w:p>
        </w:tc>
        <w:tc>
          <w:tcPr>
            <w:tcW w:w="605" w:type="pct"/>
            <w:shd w:val="clear" w:color="auto" w:fill="auto"/>
            <w:noWrap/>
            <w:vAlign w:val="center"/>
          </w:tcPr>
          <w:p w14:paraId="04DAD728" w14:textId="77777777" w:rsidR="008B1955" w:rsidRPr="000269BD" w:rsidRDefault="008B1955" w:rsidP="0039664F">
            <w:pPr>
              <w:jc w:val="center"/>
            </w:pPr>
            <w:r w:rsidRPr="000269BD">
              <w:t>2</w:t>
            </w:r>
          </w:p>
        </w:tc>
      </w:tr>
      <w:tr w:rsidR="008B1955" w:rsidRPr="000269BD" w14:paraId="700F28FD" w14:textId="77777777" w:rsidTr="006F39EA">
        <w:trPr>
          <w:trHeight w:val="20"/>
        </w:trPr>
        <w:tc>
          <w:tcPr>
            <w:tcW w:w="4395" w:type="pct"/>
            <w:shd w:val="clear" w:color="auto" w:fill="auto"/>
            <w:vAlign w:val="center"/>
          </w:tcPr>
          <w:p w14:paraId="009DD9BB" w14:textId="62B1885E" w:rsidR="008B1955" w:rsidRPr="000269BD" w:rsidRDefault="008B1955" w:rsidP="0039664F">
            <w:r w:rsidRPr="000269BD">
              <w:t xml:space="preserve">Существуют лимит(ы) на кредитный риск на группу клиентов </w:t>
            </w:r>
            <w:r w:rsidR="002955F4" w:rsidRPr="008B6610">
              <w:t xml:space="preserve">и (или) </w:t>
            </w:r>
            <w:r w:rsidRPr="002955F4">
              <w:t>на клиента / поставщика</w:t>
            </w:r>
            <w:r w:rsidR="000269BD" w:rsidRPr="000269BD">
              <w:t xml:space="preserve"> (выполняется / не выполняется)</w:t>
            </w:r>
          </w:p>
        </w:tc>
        <w:tc>
          <w:tcPr>
            <w:tcW w:w="605" w:type="pct"/>
            <w:shd w:val="clear" w:color="auto" w:fill="auto"/>
            <w:noWrap/>
            <w:vAlign w:val="center"/>
          </w:tcPr>
          <w:p w14:paraId="42B68B6A" w14:textId="77777777" w:rsidR="008B1955" w:rsidRPr="000269BD" w:rsidRDefault="008B1955" w:rsidP="0039664F">
            <w:pPr>
              <w:jc w:val="center"/>
            </w:pPr>
            <w:r w:rsidRPr="000269BD">
              <w:t>2</w:t>
            </w:r>
          </w:p>
        </w:tc>
      </w:tr>
      <w:tr w:rsidR="008B1955" w:rsidRPr="000269BD" w14:paraId="434433AC" w14:textId="77777777" w:rsidTr="006F39EA">
        <w:trPr>
          <w:trHeight w:val="20"/>
        </w:trPr>
        <w:tc>
          <w:tcPr>
            <w:tcW w:w="4395" w:type="pct"/>
            <w:shd w:val="clear" w:color="auto" w:fill="auto"/>
            <w:vAlign w:val="center"/>
          </w:tcPr>
          <w:p w14:paraId="10A46228" w14:textId="09394BB0" w:rsidR="008B1955" w:rsidRPr="002955F4" w:rsidRDefault="008B1955" w:rsidP="0039664F">
            <w:r w:rsidRPr="000269BD">
              <w:t xml:space="preserve">Существуют лимит(ы) на кредитный риск на группу связанных дебиторов </w:t>
            </w:r>
            <w:r w:rsidR="002955F4" w:rsidRPr="008B6610">
              <w:t xml:space="preserve">и (или) </w:t>
            </w:r>
            <w:r w:rsidRPr="002955F4">
              <w:t>на дебитора</w:t>
            </w:r>
            <w:r w:rsidR="000269BD" w:rsidRPr="002955F4">
              <w:t xml:space="preserve"> (выполняется / не выполняется)</w:t>
            </w:r>
          </w:p>
        </w:tc>
        <w:tc>
          <w:tcPr>
            <w:tcW w:w="605" w:type="pct"/>
            <w:shd w:val="clear" w:color="auto" w:fill="auto"/>
            <w:noWrap/>
            <w:vAlign w:val="center"/>
          </w:tcPr>
          <w:p w14:paraId="0D564FE8" w14:textId="77777777" w:rsidR="008B1955" w:rsidRPr="000269BD" w:rsidRDefault="008B1955" w:rsidP="0039664F">
            <w:pPr>
              <w:jc w:val="center"/>
            </w:pPr>
            <w:r w:rsidRPr="000269BD">
              <w:t>2</w:t>
            </w:r>
          </w:p>
        </w:tc>
      </w:tr>
      <w:tr w:rsidR="008B1955" w:rsidRPr="000269BD" w14:paraId="4648E985" w14:textId="77777777" w:rsidTr="006F39EA">
        <w:trPr>
          <w:trHeight w:val="20"/>
        </w:trPr>
        <w:tc>
          <w:tcPr>
            <w:tcW w:w="4395" w:type="pct"/>
            <w:shd w:val="clear" w:color="auto" w:fill="auto"/>
            <w:vAlign w:val="center"/>
          </w:tcPr>
          <w:p w14:paraId="2A7F36C3" w14:textId="2F463808" w:rsidR="008B1955" w:rsidRPr="000269BD" w:rsidRDefault="008B1955" w:rsidP="0039664F">
            <w:r w:rsidRPr="000269BD">
              <w:t>Существует постоянно функционирующий кредитный</w:t>
            </w:r>
            <w:r w:rsidR="00E86793" w:rsidRPr="000269BD">
              <w:t xml:space="preserve"> </w:t>
            </w:r>
            <w:r w:rsidR="00CC5DF0" w:rsidRPr="000269BD">
              <w:t>/</w:t>
            </w:r>
            <w:r w:rsidR="00E86793" w:rsidRPr="000269BD">
              <w:t xml:space="preserve"> </w:t>
            </w:r>
            <w:r w:rsidR="00CC5DF0" w:rsidRPr="000269BD">
              <w:t xml:space="preserve">факторинговый </w:t>
            </w:r>
            <w:r w:rsidRPr="000269BD">
              <w:t>комитет</w:t>
            </w:r>
            <w:r w:rsidR="000269BD" w:rsidRPr="000269BD">
              <w:t xml:space="preserve"> (выполняется / не выполняется)</w:t>
            </w:r>
          </w:p>
        </w:tc>
        <w:tc>
          <w:tcPr>
            <w:tcW w:w="605" w:type="pct"/>
            <w:shd w:val="clear" w:color="auto" w:fill="auto"/>
            <w:noWrap/>
            <w:vAlign w:val="center"/>
          </w:tcPr>
          <w:p w14:paraId="6D64922E" w14:textId="77777777" w:rsidR="008B1955" w:rsidRPr="000269BD" w:rsidRDefault="008B1955" w:rsidP="0039664F">
            <w:pPr>
              <w:jc w:val="center"/>
            </w:pPr>
            <w:r w:rsidRPr="000269BD">
              <w:t>1</w:t>
            </w:r>
          </w:p>
        </w:tc>
      </w:tr>
      <w:tr w:rsidR="008B1955" w:rsidRPr="000269BD" w14:paraId="13EE919D" w14:textId="77777777" w:rsidTr="006F39EA">
        <w:trPr>
          <w:trHeight w:val="20"/>
        </w:trPr>
        <w:tc>
          <w:tcPr>
            <w:tcW w:w="4395" w:type="pct"/>
            <w:shd w:val="clear" w:color="auto" w:fill="auto"/>
            <w:vAlign w:val="center"/>
          </w:tcPr>
          <w:p w14:paraId="76336210" w14:textId="427D2572" w:rsidR="008B1955" w:rsidRPr="000269BD" w:rsidRDefault="008B1955" w:rsidP="0039664F">
            <w:r w:rsidRPr="000269BD">
              <w:t>В состав кредитного комитета входят представители юридической службы</w:t>
            </w:r>
            <w:r w:rsidR="000269BD" w:rsidRPr="000269BD">
              <w:t xml:space="preserve"> (выполняется / не выполняется)</w:t>
            </w:r>
          </w:p>
        </w:tc>
        <w:tc>
          <w:tcPr>
            <w:tcW w:w="605" w:type="pct"/>
            <w:shd w:val="clear" w:color="auto" w:fill="auto"/>
            <w:noWrap/>
            <w:vAlign w:val="center"/>
          </w:tcPr>
          <w:p w14:paraId="2C45FC58" w14:textId="77777777" w:rsidR="008B1955" w:rsidRPr="000269BD" w:rsidRDefault="008B1955" w:rsidP="0039664F">
            <w:pPr>
              <w:jc w:val="center"/>
            </w:pPr>
            <w:r w:rsidRPr="000269BD">
              <w:t>1</w:t>
            </w:r>
          </w:p>
        </w:tc>
      </w:tr>
      <w:tr w:rsidR="000D6A7C" w:rsidRPr="000269BD" w14:paraId="13CB554B" w14:textId="77777777" w:rsidTr="000D6A7C">
        <w:trPr>
          <w:trHeight w:val="20"/>
        </w:trPr>
        <w:tc>
          <w:tcPr>
            <w:tcW w:w="4395" w:type="pct"/>
            <w:shd w:val="clear" w:color="auto" w:fill="auto"/>
            <w:vAlign w:val="bottom"/>
          </w:tcPr>
          <w:p w14:paraId="4254FF1D" w14:textId="6CFAF422" w:rsidR="000D6A7C" w:rsidRPr="000269BD" w:rsidRDefault="000D6A7C" w:rsidP="000D6A7C">
            <w:r w:rsidRPr="000269BD">
              <w:t>Представители риск-менеджмента обладают правом совещательного голоса на кредитном комитете и (или) правом наложить вето на совершение сделки</w:t>
            </w:r>
            <w:r w:rsidR="000269BD" w:rsidRPr="000269BD">
              <w:t xml:space="preserve"> (выполняется / не выполняется)</w:t>
            </w:r>
          </w:p>
        </w:tc>
        <w:tc>
          <w:tcPr>
            <w:tcW w:w="605" w:type="pct"/>
            <w:shd w:val="clear" w:color="auto" w:fill="auto"/>
            <w:noWrap/>
            <w:vAlign w:val="center"/>
          </w:tcPr>
          <w:p w14:paraId="51CBD586" w14:textId="77777777" w:rsidR="000D6A7C" w:rsidRPr="000269BD" w:rsidRDefault="000D6A7C" w:rsidP="000D6A7C">
            <w:pPr>
              <w:jc w:val="center"/>
            </w:pPr>
            <w:r w:rsidRPr="000269BD">
              <w:t>1</w:t>
            </w:r>
          </w:p>
        </w:tc>
      </w:tr>
      <w:tr w:rsidR="008B1955" w:rsidRPr="000269BD" w14:paraId="53D8D0F6" w14:textId="77777777" w:rsidTr="006F39EA">
        <w:trPr>
          <w:trHeight w:val="20"/>
        </w:trPr>
        <w:tc>
          <w:tcPr>
            <w:tcW w:w="4395" w:type="pct"/>
            <w:shd w:val="clear" w:color="auto" w:fill="auto"/>
            <w:vAlign w:val="center"/>
          </w:tcPr>
          <w:p w14:paraId="7A93C907" w14:textId="4DB4B51C" w:rsidR="008B1955" w:rsidRPr="000269BD" w:rsidRDefault="008B1955" w:rsidP="0039664F">
            <w:r w:rsidRPr="000269BD">
              <w:t xml:space="preserve">В </w:t>
            </w:r>
            <w:r w:rsidR="00E86793" w:rsidRPr="000269BD">
              <w:t>к</w:t>
            </w:r>
            <w:r w:rsidRPr="000269BD">
              <w:t>омпании функционируют комитеты отличные от кредитного</w:t>
            </w:r>
            <w:r w:rsidR="00E86793" w:rsidRPr="000269BD">
              <w:t xml:space="preserve"> </w:t>
            </w:r>
            <w:r w:rsidRPr="000269BD">
              <w:t>/</w:t>
            </w:r>
            <w:r w:rsidR="00E86793" w:rsidRPr="000269BD">
              <w:t xml:space="preserve"> </w:t>
            </w:r>
            <w:r w:rsidRPr="000269BD">
              <w:t>факторингового</w:t>
            </w:r>
            <w:r w:rsidR="000269BD" w:rsidRPr="000269BD">
              <w:t xml:space="preserve"> (выполняется / не выполняется)</w:t>
            </w:r>
          </w:p>
        </w:tc>
        <w:tc>
          <w:tcPr>
            <w:tcW w:w="605" w:type="pct"/>
            <w:shd w:val="clear" w:color="auto" w:fill="auto"/>
            <w:noWrap/>
            <w:vAlign w:val="center"/>
          </w:tcPr>
          <w:p w14:paraId="129406E2" w14:textId="77777777" w:rsidR="008B1955" w:rsidRPr="000269BD" w:rsidRDefault="008B1955" w:rsidP="0039664F">
            <w:pPr>
              <w:jc w:val="center"/>
            </w:pPr>
            <w:r w:rsidRPr="000269BD">
              <w:t>1</w:t>
            </w:r>
          </w:p>
        </w:tc>
      </w:tr>
      <w:tr w:rsidR="008B1955" w:rsidRPr="000269BD" w14:paraId="23394889" w14:textId="77777777" w:rsidTr="006F39EA">
        <w:trPr>
          <w:trHeight w:val="20"/>
        </w:trPr>
        <w:tc>
          <w:tcPr>
            <w:tcW w:w="4395" w:type="pct"/>
            <w:shd w:val="clear" w:color="auto" w:fill="auto"/>
            <w:vAlign w:val="center"/>
          </w:tcPr>
          <w:p w14:paraId="3FD5446F" w14:textId="6FC05B4D" w:rsidR="008B1955" w:rsidRPr="000269BD" w:rsidRDefault="008B1955" w:rsidP="0039664F">
            <w:r w:rsidRPr="000269BD">
              <w:t>Компания проводит мониторинг финансового состояния клиентов / поставщиков не реже 1 раза в 6 месяцев</w:t>
            </w:r>
            <w:r w:rsidR="000269BD" w:rsidRPr="000269BD">
              <w:t xml:space="preserve"> (выполняется / не выполняется)</w:t>
            </w:r>
          </w:p>
        </w:tc>
        <w:tc>
          <w:tcPr>
            <w:tcW w:w="605" w:type="pct"/>
            <w:shd w:val="clear" w:color="auto" w:fill="auto"/>
            <w:noWrap/>
            <w:vAlign w:val="center"/>
          </w:tcPr>
          <w:p w14:paraId="73AF32B5" w14:textId="77777777" w:rsidR="008B1955" w:rsidRPr="000269BD" w:rsidRDefault="008B1955" w:rsidP="0039664F">
            <w:pPr>
              <w:jc w:val="center"/>
            </w:pPr>
            <w:r w:rsidRPr="000269BD">
              <w:t>1</w:t>
            </w:r>
          </w:p>
        </w:tc>
      </w:tr>
      <w:tr w:rsidR="008B1955" w:rsidRPr="000269BD" w14:paraId="7A582188" w14:textId="77777777" w:rsidTr="006F39EA">
        <w:trPr>
          <w:trHeight w:val="20"/>
        </w:trPr>
        <w:tc>
          <w:tcPr>
            <w:tcW w:w="4395" w:type="pct"/>
            <w:shd w:val="clear" w:color="auto" w:fill="D9D9D9" w:themeFill="background1" w:themeFillShade="D9"/>
            <w:vAlign w:val="center"/>
          </w:tcPr>
          <w:p w14:paraId="67A07021" w14:textId="77777777" w:rsidR="008B1955" w:rsidRPr="000269BD" w:rsidRDefault="008B1955" w:rsidP="0039664F">
            <w:pPr>
              <w:rPr>
                <w:bCs/>
              </w:rPr>
            </w:pPr>
            <w:r w:rsidRPr="000269BD">
              <w:rPr>
                <w:bCs/>
              </w:rPr>
              <w:t>Операционные риски</w:t>
            </w:r>
          </w:p>
        </w:tc>
        <w:tc>
          <w:tcPr>
            <w:tcW w:w="605" w:type="pct"/>
            <w:shd w:val="clear" w:color="auto" w:fill="D9D9D9" w:themeFill="background1" w:themeFillShade="D9"/>
            <w:noWrap/>
            <w:vAlign w:val="center"/>
          </w:tcPr>
          <w:p w14:paraId="10FAA351" w14:textId="77777777" w:rsidR="008B1955" w:rsidRPr="000269BD" w:rsidRDefault="008B1955" w:rsidP="0039664F">
            <w:pPr>
              <w:jc w:val="center"/>
            </w:pPr>
          </w:p>
        </w:tc>
      </w:tr>
      <w:tr w:rsidR="009039FC" w:rsidRPr="000269BD" w14:paraId="2E410E3D" w14:textId="77777777" w:rsidTr="006F39EA">
        <w:trPr>
          <w:trHeight w:val="20"/>
        </w:trPr>
        <w:tc>
          <w:tcPr>
            <w:tcW w:w="4395" w:type="pct"/>
            <w:shd w:val="clear" w:color="auto" w:fill="auto"/>
          </w:tcPr>
          <w:p w14:paraId="220B46B5" w14:textId="01E5B72F" w:rsidR="009039FC" w:rsidRPr="002955F4" w:rsidRDefault="009D4A1A" w:rsidP="0039664F">
            <w:r w:rsidRPr="000269BD">
              <w:t xml:space="preserve">Компания </w:t>
            </w:r>
            <w:r w:rsidR="000269BD" w:rsidRPr="000269BD">
              <w:t>обеспечена резервными серверами.</w:t>
            </w:r>
            <w:r w:rsidRPr="000269BD">
              <w:t xml:space="preserve"> </w:t>
            </w:r>
            <w:r w:rsidR="000269BD" w:rsidRPr="000269BD">
              <w:t>М</w:t>
            </w:r>
            <w:r w:rsidRPr="000269BD">
              <w:t xml:space="preserve">есторасположение </w:t>
            </w:r>
            <w:r w:rsidR="000269BD" w:rsidRPr="000269BD">
              <w:t xml:space="preserve">резервных серверов </w:t>
            </w:r>
            <w:r w:rsidRPr="000269BD">
              <w:t>отлично от основного сервера</w:t>
            </w:r>
            <w:r w:rsidR="000269BD" w:rsidRPr="000269BD">
              <w:t xml:space="preserve"> </w:t>
            </w:r>
            <w:r w:rsidR="000269BD" w:rsidRPr="000269BD">
              <w:rPr>
                <w:rFonts w:eastAsia="Calibri"/>
                <w:lang w:eastAsia="en-US"/>
              </w:rPr>
              <w:t>(выполняется / выполняется частично / не выполняется)</w:t>
            </w:r>
          </w:p>
        </w:tc>
        <w:tc>
          <w:tcPr>
            <w:tcW w:w="605" w:type="pct"/>
            <w:shd w:val="clear" w:color="auto" w:fill="auto"/>
            <w:noWrap/>
            <w:vAlign w:val="center"/>
          </w:tcPr>
          <w:p w14:paraId="25A4619A" w14:textId="77777777" w:rsidR="009039FC" w:rsidRPr="000269BD" w:rsidRDefault="009039FC" w:rsidP="0039664F">
            <w:pPr>
              <w:jc w:val="center"/>
            </w:pPr>
            <w:r w:rsidRPr="000269BD">
              <w:t>1</w:t>
            </w:r>
          </w:p>
        </w:tc>
      </w:tr>
      <w:tr w:rsidR="009039FC" w:rsidRPr="000269BD" w14:paraId="6DF7BC45" w14:textId="77777777" w:rsidTr="006F39EA">
        <w:trPr>
          <w:trHeight w:val="20"/>
        </w:trPr>
        <w:tc>
          <w:tcPr>
            <w:tcW w:w="4395" w:type="pct"/>
            <w:shd w:val="clear" w:color="auto" w:fill="auto"/>
          </w:tcPr>
          <w:p w14:paraId="10CC03F8" w14:textId="7DF3E827" w:rsidR="009039FC" w:rsidRPr="000269BD" w:rsidRDefault="009D4A1A" w:rsidP="0039664F">
            <w:r w:rsidRPr="000269BD">
              <w:lastRenderedPageBreak/>
              <w:t>О</w:t>
            </w:r>
            <w:r w:rsidR="009039FC" w:rsidRPr="000269BD">
              <w:t>существляется ежедневное резервное копирование</w:t>
            </w:r>
            <w:r w:rsidR="000269BD" w:rsidRPr="000269BD">
              <w:t xml:space="preserve"> (выполняется / не выполняется)</w:t>
            </w:r>
          </w:p>
        </w:tc>
        <w:tc>
          <w:tcPr>
            <w:tcW w:w="605" w:type="pct"/>
            <w:shd w:val="clear" w:color="auto" w:fill="auto"/>
            <w:noWrap/>
            <w:vAlign w:val="center"/>
          </w:tcPr>
          <w:p w14:paraId="7DC0F158" w14:textId="77777777" w:rsidR="009039FC" w:rsidRPr="000269BD" w:rsidRDefault="009039FC" w:rsidP="0039664F">
            <w:pPr>
              <w:jc w:val="center"/>
            </w:pPr>
            <w:r w:rsidRPr="000269BD">
              <w:t>2</w:t>
            </w:r>
          </w:p>
        </w:tc>
      </w:tr>
      <w:tr w:rsidR="009039FC" w:rsidRPr="000269BD" w14:paraId="49C7D4CA" w14:textId="77777777" w:rsidTr="006F39EA">
        <w:trPr>
          <w:trHeight w:val="20"/>
        </w:trPr>
        <w:tc>
          <w:tcPr>
            <w:tcW w:w="4395" w:type="pct"/>
            <w:shd w:val="clear" w:color="auto" w:fill="auto"/>
          </w:tcPr>
          <w:p w14:paraId="53FE9448" w14:textId="111E18CE" w:rsidR="009039FC" w:rsidRPr="000269BD" w:rsidRDefault="009D4A1A" w:rsidP="0039664F">
            <w:r w:rsidRPr="000269BD">
              <w:t>И</w:t>
            </w:r>
            <w:r w:rsidR="009039FC" w:rsidRPr="000269BD">
              <w:t>спользуется антивирусное ПО</w:t>
            </w:r>
            <w:r w:rsidR="000269BD" w:rsidRPr="000269BD">
              <w:t xml:space="preserve"> (выполняется / не выполняется)</w:t>
            </w:r>
          </w:p>
        </w:tc>
        <w:tc>
          <w:tcPr>
            <w:tcW w:w="605" w:type="pct"/>
            <w:shd w:val="clear" w:color="auto" w:fill="auto"/>
            <w:noWrap/>
            <w:vAlign w:val="center"/>
          </w:tcPr>
          <w:p w14:paraId="688B79AD" w14:textId="77777777" w:rsidR="009039FC" w:rsidRPr="000269BD" w:rsidRDefault="009039FC" w:rsidP="0039664F">
            <w:pPr>
              <w:jc w:val="center"/>
            </w:pPr>
            <w:r w:rsidRPr="000269BD">
              <w:t>3</w:t>
            </w:r>
          </w:p>
        </w:tc>
      </w:tr>
      <w:tr w:rsidR="009039FC" w:rsidRPr="000269BD" w14:paraId="14A259F8" w14:textId="77777777" w:rsidTr="006F39EA">
        <w:trPr>
          <w:trHeight w:val="20"/>
        </w:trPr>
        <w:tc>
          <w:tcPr>
            <w:tcW w:w="4395" w:type="pct"/>
            <w:shd w:val="clear" w:color="auto" w:fill="auto"/>
          </w:tcPr>
          <w:p w14:paraId="123B154A" w14:textId="684EC5BD" w:rsidR="009039FC" w:rsidRPr="000269BD" w:rsidRDefault="009039FC" w:rsidP="0039664F">
            <w:r w:rsidRPr="000269BD">
              <w:t>У компании есть свой почтовый сервер и контактное лицо им пользуется</w:t>
            </w:r>
            <w:r w:rsidR="000269BD" w:rsidRPr="000269BD">
              <w:t xml:space="preserve"> </w:t>
            </w:r>
            <w:r w:rsidR="000269BD" w:rsidRPr="000269BD">
              <w:rPr>
                <w:rFonts w:eastAsia="Calibri"/>
                <w:lang w:eastAsia="en-US"/>
              </w:rPr>
              <w:t>(выполняется / выполняется частично / не выполняется)</w:t>
            </w:r>
          </w:p>
        </w:tc>
        <w:tc>
          <w:tcPr>
            <w:tcW w:w="605" w:type="pct"/>
            <w:shd w:val="clear" w:color="auto" w:fill="auto"/>
            <w:noWrap/>
            <w:vAlign w:val="center"/>
          </w:tcPr>
          <w:p w14:paraId="7FAC6B6E" w14:textId="77777777" w:rsidR="009039FC" w:rsidRPr="002955F4" w:rsidRDefault="009039FC" w:rsidP="0039664F">
            <w:pPr>
              <w:jc w:val="center"/>
            </w:pPr>
            <w:r w:rsidRPr="002955F4">
              <w:t>2</w:t>
            </w:r>
          </w:p>
        </w:tc>
      </w:tr>
      <w:tr w:rsidR="009039FC" w:rsidRPr="000269BD" w14:paraId="69B13A11" w14:textId="77777777" w:rsidTr="006F39EA">
        <w:trPr>
          <w:trHeight w:val="20"/>
        </w:trPr>
        <w:tc>
          <w:tcPr>
            <w:tcW w:w="4395" w:type="pct"/>
            <w:shd w:val="clear" w:color="auto" w:fill="auto"/>
          </w:tcPr>
          <w:p w14:paraId="33622E13" w14:textId="04811341" w:rsidR="009039FC" w:rsidRPr="000269BD" w:rsidRDefault="009039FC" w:rsidP="0039664F">
            <w:r w:rsidRPr="000269BD">
              <w:t>В офис</w:t>
            </w:r>
            <w:r w:rsidR="009D4A1A" w:rsidRPr="000269BD">
              <w:t>ах</w:t>
            </w:r>
            <w:r w:rsidRPr="000269BD">
              <w:t xml:space="preserve"> компании есть видеонаблюдение </w:t>
            </w:r>
            <w:r w:rsidR="002955F4" w:rsidRPr="008B6610">
              <w:t xml:space="preserve">и (или) </w:t>
            </w:r>
            <w:r w:rsidRPr="002955F4">
              <w:t>охрана</w:t>
            </w:r>
            <w:r w:rsidR="000269BD" w:rsidRPr="002955F4">
              <w:t xml:space="preserve"> </w:t>
            </w:r>
            <w:r w:rsidR="000269BD" w:rsidRPr="000269BD">
              <w:rPr>
                <w:rFonts w:eastAsia="Calibri"/>
                <w:lang w:eastAsia="en-US"/>
              </w:rPr>
              <w:t>(выполняется / не выполняется)</w:t>
            </w:r>
          </w:p>
        </w:tc>
        <w:tc>
          <w:tcPr>
            <w:tcW w:w="605" w:type="pct"/>
            <w:shd w:val="clear" w:color="auto" w:fill="auto"/>
            <w:noWrap/>
            <w:vAlign w:val="center"/>
          </w:tcPr>
          <w:p w14:paraId="588E6478" w14:textId="77777777" w:rsidR="009039FC" w:rsidRPr="002955F4" w:rsidRDefault="009039FC" w:rsidP="0039664F">
            <w:pPr>
              <w:jc w:val="center"/>
            </w:pPr>
            <w:r w:rsidRPr="002955F4">
              <w:t>2</w:t>
            </w:r>
          </w:p>
        </w:tc>
      </w:tr>
      <w:tr w:rsidR="009039FC" w:rsidRPr="000269BD" w14:paraId="05AC4FC9" w14:textId="77777777" w:rsidTr="006F39EA">
        <w:trPr>
          <w:trHeight w:val="20"/>
        </w:trPr>
        <w:tc>
          <w:tcPr>
            <w:tcW w:w="4395" w:type="pct"/>
            <w:shd w:val="clear" w:color="auto" w:fill="auto"/>
          </w:tcPr>
          <w:p w14:paraId="4F0D7C49" w14:textId="30712702" w:rsidR="009039FC" w:rsidRPr="000269BD" w:rsidRDefault="009039FC" w:rsidP="0039664F">
            <w:r w:rsidRPr="000269BD">
              <w:t>Компания не испытывает явные трудности с предоставлением финансовой информации, требующей нестандартного формирования</w:t>
            </w:r>
            <w:r w:rsidR="000269BD" w:rsidRPr="000269BD">
              <w:t xml:space="preserve"> </w:t>
            </w:r>
            <w:r w:rsidR="000269BD" w:rsidRPr="000269BD">
              <w:rPr>
                <w:rFonts w:eastAsia="Calibri"/>
                <w:lang w:eastAsia="en-US"/>
              </w:rPr>
              <w:t>(выполняется / выполняется частично / не выполняется)</w:t>
            </w:r>
          </w:p>
        </w:tc>
        <w:tc>
          <w:tcPr>
            <w:tcW w:w="605" w:type="pct"/>
            <w:shd w:val="clear" w:color="auto" w:fill="auto"/>
            <w:noWrap/>
            <w:vAlign w:val="center"/>
          </w:tcPr>
          <w:p w14:paraId="5365DBC1" w14:textId="77777777" w:rsidR="009039FC" w:rsidRPr="002955F4" w:rsidRDefault="009039FC" w:rsidP="0039664F">
            <w:pPr>
              <w:jc w:val="center"/>
            </w:pPr>
            <w:r w:rsidRPr="002955F4">
              <w:t>2</w:t>
            </w:r>
          </w:p>
        </w:tc>
      </w:tr>
      <w:tr w:rsidR="009039FC" w:rsidRPr="000269BD" w14:paraId="2673E660" w14:textId="77777777" w:rsidTr="006F39EA">
        <w:trPr>
          <w:trHeight w:val="20"/>
        </w:trPr>
        <w:tc>
          <w:tcPr>
            <w:tcW w:w="4395" w:type="pct"/>
            <w:shd w:val="clear" w:color="auto" w:fill="auto"/>
          </w:tcPr>
          <w:p w14:paraId="3E7D8F3D" w14:textId="7FF25396" w:rsidR="009039FC" w:rsidRPr="000269BD" w:rsidRDefault="009039FC" w:rsidP="0039664F">
            <w:r w:rsidRPr="000269BD">
              <w:t xml:space="preserve">Ответы на вопросы Агентства присылаются в разумные сроки </w:t>
            </w:r>
            <w:r w:rsidR="000269BD" w:rsidRPr="000269BD">
              <w:rPr>
                <w:rFonts w:eastAsia="Calibri"/>
                <w:lang w:eastAsia="en-US"/>
              </w:rPr>
              <w:t>(выполняется / выполняется частично / не выполняется)</w:t>
            </w:r>
          </w:p>
        </w:tc>
        <w:tc>
          <w:tcPr>
            <w:tcW w:w="605" w:type="pct"/>
            <w:shd w:val="clear" w:color="auto" w:fill="auto"/>
            <w:noWrap/>
            <w:vAlign w:val="center"/>
          </w:tcPr>
          <w:p w14:paraId="71ECD9FE" w14:textId="77777777" w:rsidR="009039FC" w:rsidRPr="002955F4" w:rsidRDefault="009039FC" w:rsidP="0039664F">
            <w:pPr>
              <w:jc w:val="center"/>
            </w:pPr>
            <w:r w:rsidRPr="002955F4">
              <w:t>2</w:t>
            </w:r>
          </w:p>
        </w:tc>
      </w:tr>
      <w:tr w:rsidR="005249FB" w:rsidRPr="000269BD" w14:paraId="1320334F" w14:textId="77777777" w:rsidTr="006F39EA">
        <w:trPr>
          <w:trHeight w:val="20"/>
        </w:trPr>
        <w:tc>
          <w:tcPr>
            <w:tcW w:w="4395" w:type="pct"/>
            <w:tcBorders>
              <w:bottom w:val="single" w:sz="4" w:space="0" w:color="auto"/>
            </w:tcBorders>
            <w:shd w:val="clear" w:color="auto" w:fill="auto"/>
          </w:tcPr>
          <w:p w14:paraId="4759C984" w14:textId="4E15224A" w:rsidR="005249FB" w:rsidRPr="000269BD" w:rsidRDefault="005249FB" w:rsidP="0039664F">
            <w:r w:rsidRPr="000269BD">
              <w:t>Уровень текучести кадров не превышает 40% в годовом выражении</w:t>
            </w:r>
            <w:r w:rsidR="000269BD" w:rsidRPr="000269BD">
              <w:t xml:space="preserve"> (выполняется / не выполняется)</w:t>
            </w:r>
          </w:p>
        </w:tc>
        <w:tc>
          <w:tcPr>
            <w:tcW w:w="605" w:type="pct"/>
            <w:tcBorders>
              <w:bottom w:val="single" w:sz="4" w:space="0" w:color="auto"/>
            </w:tcBorders>
            <w:shd w:val="clear" w:color="auto" w:fill="auto"/>
            <w:noWrap/>
            <w:vAlign w:val="center"/>
          </w:tcPr>
          <w:p w14:paraId="5A94A238" w14:textId="77777777" w:rsidR="005249FB" w:rsidRPr="000269BD" w:rsidRDefault="005249FB" w:rsidP="0039664F">
            <w:pPr>
              <w:jc w:val="center"/>
            </w:pPr>
            <w:r w:rsidRPr="000269BD">
              <w:t>2</w:t>
            </w:r>
          </w:p>
        </w:tc>
      </w:tr>
    </w:tbl>
    <w:p w14:paraId="555D25EE" w14:textId="77777777" w:rsidR="009039FC" w:rsidRPr="000028C3" w:rsidRDefault="009039FC" w:rsidP="0039664F">
      <w:pPr>
        <w:rPr>
          <w:highlight w:val="yellow"/>
        </w:rPr>
      </w:pPr>
    </w:p>
    <w:p w14:paraId="28471C65" w14:textId="08C2F786" w:rsidR="00462181" w:rsidRPr="000028C3" w:rsidRDefault="00462181" w:rsidP="00EE3DEB">
      <w:pPr>
        <w:ind w:firstLine="567"/>
        <w:jc w:val="both"/>
      </w:pPr>
      <w:r w:rsidRPr="000028C3">
        <w:t xml:space="preserve">Итоговый балл представляет собой непрерывную линейную оценку суммы </w:t>
      </w:r>
      <w:r w:rsidR="00EB4C6D">
        <w:t>баллов</w:t>
      </w:r>
      <w:r w:rsidRPr="000028C3">
        <w:t xml:space="preserve"> по чек-листу, умноженных на соответствующие весовые коэффициенты, в соответствии со следующими бенчмарками:</w:t>
      </w:r>
    </w:p>
    <w:p w14:paraId="1558D5EC" w14:textId="77777777" w:rsidR="009174A4" w:rsidRPr="000028C3" w:rsidRDefault="009174A4" w:rsidP="0039664F">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187"/>
        <w:gridCol w:w="3187"/>
      </w:tblGrid>
      <w:tr w:rsidR="009174A4" w:rsidRPr="000028C3" w14:paraId="1C4BD0D5" w14:textId="77777777" w:rsidTr="006F39EA">
        <w:trPr>
          <w:trHeight w:val="20"/>
        </w:trPr>
        <w:tc>
          <w:tcPr>
            <w:tcW w:w="1590" w:type="pct"/>
            <w:shd w:val="clear" w:color="auto" w:fill="auto"/>
            <w:noWrap/>
            <w:vAlign w:val="center"/>
            <w:hideMark/>
          </w:tcPr>
          <w:p w14:paraId="0C1381CC" w14:textId="3D6F7B34" w:rsidR="009174A4" w:rsidRPr="000028C3" w:rsidRDefault="009174A4" w:rsidP="0039664F">
            <w:pPr>
              <w:jc w:val="center"/>
              <w:rPr>
                <w:rFonts w:eastAsia="Arial Unicode MS"/>
              </w:rPr>
            </w:pPr>
          </w:p>
        </w:tc>
        <w:tc>
          <w:tcPr>
            <w:tcW w:w="1705" w:type="pct"/>
            <w:shd w:val="clear" w:color="auto" w:fill="auto"/>
          </w:tcPr>
          <w:p w14:paraId="63673863" w14:textId="77777777" w:rsidR="009174A4" w:rsidRPr="000028C3" w:rsidRDefault="009174A4" w:rsidP="0039664F">
            <w:pPr>
              <w:jc w:val="center"/>
              <w:rPr>
                <w:rFonts w:eastAsia="Arial Unicode MS"/>
              </w:rPr>
            </w:pPr>
            <w:r w:rsidRPr="000028C3">
              <w:rPr>
                <w:rFonts w:eastAsia="Arial Unicode MS"/>
              </w:rPr>
              <w:t>-1</w:t>
            </w:r>
          </w:p>
        </w:tc>
        <w:tc>
          <w:tcPr>
            <w:tcW w:w="1705" w:type="pct"/>
            <w:shd w:val="clear" w:color="auto" w:fill="auto"/>
          </w:tcPr>
          <w:p w14:paraId="09EB2089" w14:textId="77777777" w:rsidR="009174A4" w:rsidRPr="000028C3" w:rsidRDefault="009174A4" w:rsidP="0039664F">
            <w:pPr>
              <w:jc w:val="center"/>
              <w:rPr>
                <w:rFonts w:eastAsia="Arial Unicode MS"/>
              </w:rPr>
            </w:pPr>
            <w:r w:rsidRPr="000028C3">
              <w:rPr>
                <w:rFonts w:eastAsia="Arial Unicode MS"/>
              </w:rPr>
              <w:t>1</w:t>
            </w:r>
          </w:p>
        </w:tc>
      </w:tr>
      <w:tr w:rsidR="009174A4" w:rsidRPr="000028C3" w14:paraId="1583B5EB" w14:textId="77777777" w:rsidTr="006F39EA">
        <w:trPr>
          <w:trHeight w:val="20"/>
        </w:trPr>
        <w:tc>
          <w:tcPr>
            <w:tcW w:w="1590" w:type="pct"/>
            <w:shd w:val="clear" w:color="auto" w:fill="auto"/>
            <w:vAlign w:val="center"/>
            <w:hideMark/>
          </w:tcPr>
          <w:p w14:paraId="23974389" w14:textId="044D17AE" w:rsidR="009174A4" w:rsidRPr="000028C3" w:rsidRDefault="00462181" w:rsidP="0039664F">
            <w:r w:rsidRPr="000028C3">
              <w:t>Сумма набранных баллов по чек-листу</w:t>
            </w:r>
          </w:p>
        </w:tc>
        <w:tc>
          <w:tcPr>
            <w:tcW w:w="1705" w:type="pct"/>
            <w:shd w:val="clear" w:color="auto" w:fill="auto"/>
          </w:tcPr>
          <w:p w14:paraId="7D06B588" w14:textId="783A38F7" w:rsidR="009174A4" w:rsidRPr="000028C3" w:rsidRDefault="009039FC" w:rsidP="0039664F">
            <w:pPr>
              <w:jc w:val="center"/>
              <w:rPr>
                <w:rFonts w:eastAsia="Arial Unicode MS"/>
              </w:rPr>
            </w:pPr>
            <w:r w:rsidRPr="000028C3">
              <w:rPr>
                <w:color w:val="000000"/>
              </w:rPr>
              <w:t>0,3 * сумма весов оцениваемых параметров чек-листа</w:t>
            </w:r>
          </w:p>
        </w:tc>
        <w:tc>
          <w:tcPr>
            <w:tcW w:w="1705" w:type="pct"/>
            <w:shd w:val="clear" w:color="auto" w:fill="auto"/>
          </w:tcPr>
          <w:p w14:paraId="056F2FA6" w14:textId="77777777" w:rsidR="009174A4" w:rsidRPr="000028C3" w:rsidRDefault="009039FC" w:rsidP="0039664F">
            <w:pPr>
              <w:jc w:val="center"/>
              <w:rPr>
                <w:rFonts w:eastAsia="Arial Unicode MS"/>
              </w:rPr>
            </w:pPr>
            <w:r w:rsidRPr="000028C3">
              <w:rPr>
                <w:color w:val="000000"/>
              </w:rPr>
              <w:t>0,9 * сумма весов оцениваемых параметров чек-листа</w:t>
            </w:r>
          </w:p>
        </w:tc>
      </w:tr>
    </w:tbl>
    <w:p w14:paraId="78E6BE33" w14:textId="77777777" w:rsidR="009174A4" w:rsidRPr="000028C3" w:rsidRDefault="009174A4" w:rsidP="0039664F">
      <w:pPr>
        <w:rPr>
          <w:highlight w:val="yellow"/>
        </w:rPr>
      </w:pPr>
    </w:p>
    <w:p w14:paraId="3A9AA419" w14:textId="77777777" w:rsidR="00E2519B" w:rsidRPr="000028C3" w:rsidRDefault="00E2519B" w:rsidP="00E2519B">
      <w:pPr>
        <w:ind w:firstLine="567"/>
      </w:pPr>
      <w:bookmarkStart w:id="94" w:name="_Hlk536712682"/>
      <w:r w:rsidRPr="000028C3">
        <w:t>Возможные корректировки:</w:t>
      </w:r>
    </w:p>
    <w:p w14:paraId="59963456" w14:textId="1B35785E" w:rsidR="00E2519B" w:rsidRPr="000028C3" w:rsidRDefault="00E2519B" w:rsidP="00E2519B">
      <w:pPr>
        <w:pStyle w:val="af7"/>
        <w:numPr>
          <w:ilvl w:val="0"/>
          <w:numId w:val="41"/>
        </w:numPr>
        <w:jc w:val="both"/>
        <w:rPr>
          <w:rFonts w:ascii="Times New Roman" w:hAnsi="Times New Roman" w:cs="Times New Roman"/>
        </w:rPr>
      </w:pPr>
      <w:r w:rsidRPr="000028C3">
        <w:rPr>
          <w:rFonts w:ascii="Times New Roman" w:hAnsi="Times New Roman" w:cs="Times New Roman"/>
        </w:rPr>
        <w:t xml:space="preserve">При выявлении фактов, свидетельствующих о невысокой результативности управления рисками, </w:t>
      </w:r>
      <w:r w:rsidR="00EE3DEB" w:rsidRPr="000028C3">
        <w:rPr>
          <w:rFonts w:ascii="Times New Roman" w:hAnsi="Times New Roman" w:cs="Times New Roman"/>
        </w:rPr>
        <w:t xml:space="preserve">оценка фактора </w:t>
      </w:r>
      <w:r w:rsidRPr="000028C3">
        <w:rPr>
          <w:rFonts w:ascii="Times New Roman" w:hAnsi="Times New Roman" w:cs="Times New Roman"/>
        </w:rPr>
        <w:t xml:space="preserve">понижается на 0,5-1,5. Примерами таких фактов могут выступать: </w:t>
      </w:r>
    </w:p>
    <w:p w14:paraId="7262BE9A" w14:textId="0CAD9620" w:rsidR="00E2519B" w:rsidRPr="000028C3" w:rsidRDefault="009D4A1A" w:rsidP="00E2519B">
      <w:pPr>
        <w:pStyle w:val="af7"/>
        <w:numPr>
          <w:ilvl w:val="1"/>
          <w:numId w:val="42"/>
        </w:numPr>
        <w:jc w:val="both"/>
        <w:rPr>
          <w:rFonts w:ascii="Times New Roman" w:hAnsi="Times New Roman" w:cs="Times New Roman"/>
        </w:rPr>
      </w:pPr>
      <w:r w:rsidRPr="000028C3">
        <w:rPr>
          <w:rFonts w:ascii="Times New Roman" w:hAnsi="Times New Roman" w:cs="Times New Roman"/>
        </w:rPr>
        <w:t>с</w:t>
      </w:r>
      <w:r w:rsidR="00E2519B" w:rsidRPr="000028C3">
        <w:rPr>
          <w:rFonts w:ascii="Times New Roman" w:hAnsi="Times New Roman" w:cs="Times New Roman"/>
        </w:rPr>
        <w:t>лучаи существенного отступления от применяемых методологий и регламентов оценки рисков за последние 12 месяцев;</w:t>
      </w:r>
    </w:p>
    <w:p w14:paraId="51370158" w14:textId="03D38D42" w:rsidR="00E2519B" w:rsidRPr="000028C3" w:rsidRDefault="009D4A1A" w:rsidP="00E2519B">
      <w:pPr>
        <w:pStyle w:val="af7"/>
        <w:numPr>
          <w:ilvl w:val="1"/>
          <w:numId w:val="42"/>
        </w:numPr>
        <w:jc w:val="both"/>
        <w:rPr>
          <w:rFonts w:ascii="Times New Roman" w:hAnsi="Times New Roman" w:cs="Times New Roman"/>
        </w:rPr>
      </w:pPr>
      <w:r w:rsidRPr="000028C3">
        <w:rPr>
          <w:rFonts w:ascii="Times New Roman" w:hAnsi="Times New Roman" w:cs="Times New Roman"/>
        </w:rPr>
        <w:t>с</w:t>
      </w:r>
      <w:r w:rsidR="00E2519B" w:rsidRPr="000028C3">
        <w:rPr>
          <w:rFonts w:ascii="Times New Roman" w:hAnsi="Times New Roman" w:cs="Times New Roman"/>
        </w:rPr>
        <w:t>ущественные потери от реализации операционного риска, связанного с действиями третьих лиц и сотрудников компании за последние 12 месяцев;</w:t>
      </w:r>
    </w:p>
    <w:p w14:paraId="463B8049" w14:textId="2F576AAB" w:rsidR="00E2519B" w:rsidRPr="000028C3" w:rsidRDefault="009D4A1A" w:rsidP="00E2519B">
      <w:pPr>
        <w:pStyle w:val="af7"/>
        <w:numPr>
          <w:ilvl w:val="1"/>
          <w:numId w:val="42"/>
        </w:numPr>
        <w:jc w:val="both"/>
        <w:rPr>
          <w:rFonts w:ascii="Times New Roman" w:hAnsi="Times New Roman" w:cs="Times New Roman"/>
        </w:rPr>
      </w:pPr>
      <w:r w:rsidRPr="000028C3">
        <w:rPr>
          <w:rFonts w:ascii="Times New Roman" w:hAnsi="Times New Roman" w:cs="Times New Roman"/>
        </w:rPr>
        <w:t>с</w:t>
      </w:r>
      <w:r w:rsidR="00E2519B" w:rsidRPr="000028C3">
        <w:rPr>
          <w:rFonts w:ascii="Times New Roman" w:hAnsi="Times New Roman" w:cs="Times New Roman"/>
        </w:rPr>
        <w:t>ущественные ошибки в предоставленной информации (анкета и отчетность), систематические задержки сроков предоставления информации Агентству;</w:t>
      </w:r>
    </w:p>
    <w:p w14:paraId="73B538E6" w14:textId="3A4E92D8" w:rsidR="00E2519B" w:rsidRPr="000028C3" w:rsidRDefault="009D4A1A" w:rsidP="00E2519B">
      <w:pPr>
        <w:pStyle w:val="af7"/>
        <w:numPr>
          <w:ilvl w:val="1"/>
          <w:numId w:val="42"/>
        </w:numPr>
        <w:jc w:val="both"/>
        <w:rPr>
          <w:rFonts w:ascii="Times New Roman" w:hAnsi="Times New Roman" w:cs="Times New Roman"/>
        </w:rPr>
      </w:pPr>
      <w:r w:rsidRPr="000028C3">
        <w:rPr>
          <w:rFonts w:ascii="Times New Roman" w:hAnsi="Times New Roman" w:cs="Times New Roman"/>
        </w:rPr>
        <w:t>С</w:t>
      </w:r>
      <w:r w:rsidR="00E2519B" w:rsidRPr="000028C3">
        <w:rPr>
          <w:rFonts w:ascii="Times New Roman" w:hAnsi="Times New Roman" w:cs="Times New Roman"/>
        </w:rPr>
        <w:t>лучаи утечки информации, составляющей коммерческую тайну или относящейся к разряду конфиденциальной, за последние 12 месяцев;</w:t>
      </w:r>
    </w:p>
    <w:p w14:paraId="0A54BB3B" w14:textId="68F19B20" w:rsidR="00E2519B" w:rsidRPr="000028C3" w:rsidRDefault="009D4A1A" w:rsidP="00E2519B">
      <w:pPr>
        <w:pStyle w:val="af7"/>
        <w:numPr>
          <w:ilvl w:val="1"/>
          <w:numId w:val="42"/>
        </w:numPr>
        <w:jc w:val="both"/>
        <w:rPr>
          <w:rFonts w:ascii="Times New Roman" w:hAnsi="Times New Roman" w:cs="Times New Roman"/>
        </w:rPr>
      </w:pPr>
      <w:r w:rsidRPr="000028C3">
        <w:rPr>
          <w:rFonts w:ascii="Times New Roman" w:hAnsi="Times New Roman" w:cs="Times New Roman"/>
        </w:rPr>
        <w:t>с</w:t>
      </w:r>
      <w:r w:rsidR="00E2519B" w:rsidRPr="000028C3">
        <w:rPr>
          <w:rFonts w:ascii="Times New Roman" w:hAnsi="Times New Roman" w:cs="Times New Roman"/>
        </w:rPr>
        <w:t>ущественные потери от реализации кредитного, рыночного или риска ликвидности, связанные с недостаточной компетенцией сотрудников риск-менеджмента.</w:t>
      </w:r>
    </w:p>
    <w:p w14:paraId="6F9F7AA8" w14:textId="77777777" w:rsidR="00E2519B" w:rsidRPr="000028C3" w:rsidRDefault="00E2519B" w:rsidP="00E2519B">
      <w:pPr>
        <w:pStyle w:val="af7"/>
        <w:numPr>
          <w:ilvl w:val="0"/>
          <w:numId w:val="41"/>
        </w:numPr>
        <w:jc w:val="both"/>
        <w:rPr>
          <w:rFonts w:ascii="Times New Roman" w:hAnsi="Times New Roman" w:cs="Times New Roman"/>
        </w:rPr>
      </w:pPr>
      <w:r w:rsidRPr="000028C3">
        <w:rPr>
          <w:rFonts w:ascii="Times New Roman" w:hAnsi="Times New Roman" w:cs="Times New Roman"/>
        </w:rPr>
        <w:t>Балл может быть понижен максимально на 1 в случае выявления высоких юридических и (или) налоговых рисков (например, высока вероятность судебных или налоговых претензий, которые приведут к с существенным убыткам).</w:t>
      </w:r>
    </w:p>
    <w:p w14:paraId="54317006" w14:textId="77777777" w:rsidR="00E2519B" w:rsidRPr="000028C3" w:rsidRDefault="00E2519B" w:rsidP="00E2519B">
      <w:pPr>
        <w:pStyle w:val="af7"/>
        <w:numPr>
          <w:ilvl w:val="0"/>
          <w:numId w:val="41"/>
        </w:numPr>
        <w:jc w:val="both"/>
        <w:rPr>
          <w:rFonts w:ascii="Times New Roman" w:hAnsi="Times New Roman" w:cs="Times New Roman"/>
        </w:rPr>
      </w:pPr>
      <w:r w:rsidRPr="000028C3">
        <w:rPr>
          <w:rFonts w:ascii="Times New Roman" w:hAnsi="Times New Roman" w:cs="Times New Roman"/>
        </w:rPr>
        <w:t>Балл может быть понижен максимально на 1 за не учтённые технологические риски, критическую зависимость бизнес-процессов компании от внешних информационных систем либо аутсорсинговых структур.</w:t>
      </w:r>
    </w:p>
    <w:bookmarkEnd w:id="94"/>
    <w:p w14:paraId="6ACFD106" w14:textId="77777777" w:rsidR="009B5178" w:rsidRPr="000028C3" w:rsidRDefault="009B5178" w:rsidP="0039664F">
      <w:pPr>
        <w:pStyle w:val="ad"/>
        <w:spacing w:before="0" w:beforeAutospacing="0" w:after="0" w:afterAutospacing="0"/>
        <w:ind w:firstLine="567"/>
        <w:jc w:val="both"/>
      </w:pPr>
    </w:p>
    <w:p w14:paraId="0D1B068B" w14:textId="77777777" w:rsidR="008B1955" w:rsidRPr="000028C3" w:rsidRDefault="008B1955" w:rsidP="0039664F">
      <w:pPr>
        <w:rPr>
          <w:highlight w:val="yellow"/>
        </w:rPr>
      </w:pPr>
    </w:p>
    <w:p w14:paraId="60D6C063" w14:textId="77777777" w:rsidR="008B1955" w:rsidRPr="000028C3" w:rsidRDefault="008B1955" w:rsidP="0039664F">
      <w:pPr>
        <w:pStyle w:val="2"/>
        <w:suppressAutoHyphens/>
        <w:spacing w:before="0" w:after="0"/>
        <w:ind w:hanging="9"/>
        <w:jc w:val="both"/>
        <w:rPr>
          <w:rFonts w:ascii="Times New Roman" w:hAnsi="Times New Roman" w:cs="Times New Roman"/>
          <w:highlight w:val="yellow"/>
        </w:rPr>
      </w:pPr>
      <w:r w:rsidRPr="000028C3">
        <w:rPr>
          <w:rFonts w:ascii="Times New Roman" w:hAnsi="Times New Roman" w:cs="Times New Roman"/>
          <w:highlight w:val="yellow"/>
        </w:rPr>
        <w:br w:type="page"/>
      </w:r>
      <w:bookmarkStart w:id="95" w:name="_Toc447270455"/>
      <w:bookmarkStart w:id="96" w:name="_Toc39667639"/>
      <w:r w:rsidRPr="000028C3">
        <w:rPr>
          <w:rFonts w:ascii="Times New Roman" w:hAnsi="Times New Roman" w:cs="Times New Roman"/>
          <w:i w:val="0"/>
          <w:lang w:eastAsia="ar-SA"/>
        </w:rPr>
        <w:lastRenderedPageBreak/>
        <w:t>РАЗДЕЛ IV. ВНУТРЕННИЕ СТРЕСС-ФАКТОРЫ</w:t>
      </w:r>
      <w:r w:rsidR="000D0A2C" w:rsidRPr="000028C3">
        <w:rPr>
          <w:rFonts w:ascii="Times New Roman" w:hAnsi="Times New Roman" w:cs="Times New Roman"/>
          <w:i w:val="0"/>
          <w:lang w:eastAsia="ar-SA"/>
        </w:rPr>
        <w:t xml:space="preserve"> И ФАКТОР</w:t>
      </w:r>
      <w:r w:rsidR="00FF52B6" w:rsidRPr="000028C3">
        <w:rPr>
          <w:rFonts w:ascii="Times New Roman" w:hAnsi="Times New Roman" w:cs="Times New Roman"/>
          <w:i w:val="0"/>
          <w:lang w:eastAsia="ar-SA"/>
        </w:rPr>
        <w:t>Ы</w:t>
      </w:r>
      <w:r w:rsidR="000D0A2C" w:rsidRPr="000028C3">
        <w:rPr>
          <w:rFonts w:ascii="Times New Roman" w:hAnsi="Times New Roman" w:cs="Times New Roman"/>
          <w:i w:val="0"/>
          <w:lang w:eastAsia="ar-SA"/>
        </w:rPr>
        <w:t xml:space="preserve"> ПОДДЕРЖКИ</w:t>
      </w:r>
      <w:bookmarkEnd w:id="95"/>
      <w:bookmarkEnd w:id="96"/>
    </w:p>
    <w:p w14:paraId="299F7127" w14:textId="77777777" w:rsidR="00C34731" w:rsidRPr="000028C3" w:rsidRDefault="00C34731" w:rsidP="0039664F">
      <w:pPr>
        <w:jc w:val="both"/>
      </w:pPr>
    </w:p>
    <w:p w14:paraId="64C4C12E" w14:textId="77777777" w:rsidR="00C34731" w:rsidRPr="000028C3" w:rsidRDefault="00C34731" w:rsidP="0039664F">
      <w:pPr>
        <w:pStyle w:val="ad"/>
        <w:spacing w:before="0" w:beforeAutospacing="0" w:after="0" w:afterAutospacing="0"/>
        <w:ind w:firstLine="567"/>
        <w:jc w:val="both"/>
      </w:pPr>
      <w:r w:rsidRPr="000028C3">
        <w:t xml:space="preserve">Для учета повышенных рисков либо, наоборот, значительного запаса финансовой прочности или иных существенных аспектов деятельности компании, не учтенных в первичной оценке кредитоспособности, предусмотрено выделение внутренних </w:t>
      </w:r>
      <w:proofErr w:type="gramStart"/>
      <w:r w:rsidRPr="000028C3">
        <w:t>стресс-факторов</w:t>
      </w:r>
      <w:proofErr w:type="gramEnd"/>
      <w:r w:rsidRPr="000028C3">
        <w:t xml:space="preserve"> либо внутренних факторов поддержки, которые корректируют первичную оценку кредитоспособности, полученную в соответствии с приведенным в предыдущих разделах алгоритмом. </w:t>
      </w:r>
      <w:r w:rsidR="003E4F57" w:rsidRPr="000028C3">
        <w:t>Стресс-факторы и факторы поддержки могут быть умеренными (вычет / прибавка к сумме баллов, полученных в предыдущих разделах, составляет 0,1 (0,07 при выделении иных стресс-факторов и факторов поддержки)) и сильными (0,2 (0,14</w:t>
      </w:r>
      <w:r w:rsidR="00FD23BA" w:rsidRPr="000028C3">
        <w:t xml:space="preserve"> соответственно</w:t>
      </w:r>
      <w:r w:rsidR="003E4F57" w:rsidRPr="000028C3">
        <w:t>)).</w:t>
      </w:r>
    </w:p>
    <w:p w14:paraId="6B33DDA5" w14:textId="77777777" w:rsidR="00FC7ABF" w:rsidRPr="000028C3" w:rsidRDefault="00FC7ABF" w:rsidP="0039664F">
      <w:pPr>
        <w:jc w:val="both"/>
        <w:rPr>
          <w:sz w:val="26"/>
          <w:szCs w:val="26"/>
        </w:rPr>
      </w:pPr>
    </w:p>
    <w:p w14:paraId="2E2998E2" w14:textId="77777777" w:rsidR="00A977E4" w:rsidRPr="000028C3" w:rsidRDefault="00A977E4" w:rsidP="00A977E4">
      <w:pPr>
        <w:ind w:firstLine="567"/>
        <w:jc w:val="both"/>
        <w:rPr>
          <w:b/>
          <w:sz w:val="26"/>
          <w:szCs w:val="26"/>
        </w:rPr>
      </w:pPr>
      <w:r w:rsidRPr="000028C3">
        <w:rPr>
          <w:b/>
          <w:sz w:val="26"/>
          <w:szCs w:val="26"/>
        </w:rPr>
        <w:t>4.1. Внутренние стресс-факторы</w:t>
      </w:r>
    </w:p>
    <w:p w14:paraId="69899CAB" w14:textId="77777777" w:rsidR="0056230B" w:rsidRPr="000028C3" w:rsidRDefault="0056230B" w:rsidP="0039664F">
      <w:pPr>
        <w:jc w:val="both"/>
        <w:rPr>
          <w:b/>
          <w:sz w:val="26"/>
          <w:szCs w:val="26"/>
        </w:rPr>
      </w:pPr>
    </w:p>
    <w:p w14:paraId="5F4C32C5" w14:textId="77777777" w:rsidR="00C34731" w:rsidRPr="000028C3" w:rsidRDefault="00771929" w:rsidP="0039664F">
      <w:pPr>
        <w:jc w:val="both"/>
        <w:rPr>
          <w:b/>
          <w:szCs w:val="26"/>
        </w:rPr>
      </w:pPr>
      <w:r w:rsidRPr="000028C3">
        <w:rPr>
          <w:b/>
          <w:szCs w:val="26"/>
        </w:rPr>
        <w:t>С</w:t>
      </w:r>
      <w:r w:rsidR="00C34731" w:rsidRPr="000028C3">
        <w:rPr>
          <w:b/>
          <w:szCs w:val="26"/>
        </w:rPr>
        <w:t>тресс-фактор специализации и кэптивности</w:t>
      </w:r>
    </w:p>
    <w:p w14:paraId="0944A9EE" w14:textId="7A568416" w:rsidR="0056230B" w:rsidRPr="000028C3" w:rsidRDefault="0056230B" w:rsidP="0039664F">
      <w:pPr>
        <w:jc w:val="both"/>
        <w:rPr>
          <w:highlight w:val="yellow"/>
        </w:rPr>
      </w:pPr>
    </w:p>
    <w:p w14:paraId="46643BFF" w14:textId="572D1EF6" w:rsidR="00B434C9" w:rsidRPr="000028C3" w:rsidRDefault="00B434C9" w:rsidP="00B434C9">
      <w:pPr>
        <w:pStyle w:val="ad"/>
        <w:spacing w:before="0" w:beforeAutospacing="0" w:after="0" w:afterAutospacing="0"/>
        <w:ind w:firstLine="567"/>
        <w:jc w:val="both"/>
      </w:pPr>
      <w:r w:rsidRPr="000028C3">
        <w:t>Стресс-фактор определяется по максимальному уровню, согласно критериям, приведенным в таблице ниже.</w:t>
      </w:r>
    </w:p>
    <w:p w14:paraId="64164BBB" w14:textId="77777777" w:rsidR="00B434C9" w:rsidRPr="000028C3" w:rsidRDefault="00B434C9" w:rsidP="0039664F">
      <w:pPr>
        <w:jc w:val="both"/>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2551"/>
        <w:gridCol w:w="2688"/>
      </w:tblGrid>
      <w:tr w:rsidR="00B434C9" w:rsidRPr="000028C3" w14:paraId="6EAD5E4B" w14:textId="77777777" w:rsidTr="00B434C9">
        <w:trPr>
          <w:trHeight w:val="23"/>
        </w:trPr>
        <w:tc>
          <w:tcPr>
            <w:tcW w:w="2197" w:type="pct"/>
            <w:vMerge w:val="restart"/>
            <w:shd w:val="clear" w:color="auto" w:fill="auto"/>
            <w:vAlign w:val="center"/>
          </w:tcPr>
          <w:p w14:paraId="362EB98C" w14:textId="6D420589" w:rsidR="00B434C9" w:rsidRPr="000028C3" w:rsidRDefault="00B434C9" w:rsidP="00B434C9">
            <w:r w:rsidRPr="000028C3">
              <w:t>Параметр</w:t>
            </w:r>
          </w:p>
        </w:tc>
        <w:tc>
          <w:tcPr>
            <w:tcW w:w="2803" w:type="pct"/>
            <w:gridSpan w:val="2"/>
            <w:shd w:val="clear" w:color="auto" w:fill="auto"/>
            <w:vAlign w:val="center"/>
          </w:tcPr>
          <w:p w14:paraId="0898F2F5" w14:textId="3EEEC51F" w:rsidR="00B434C9" w:rsidRPr="000028C3" w:rsidRDefault="00B434C9" w:rsidP="00C91D5F">
            <w:pPr>
              <w:jc w:val="center"/>
              <w:rPr>
                <w:rFonts w:eastAsia="Arial Unicode MS"/>
              </w:rPr>
            </w:pPr>
            <w:r w:rsidRPr="000028C3">
              <w:rPr>
                <w:rFonts w:eastAsia="Arial Unicode MS"/>
              </w:rPr>
              <w:t>Критерии</w:t>
            </w:r>
          </w:p>
        </w:tc>
      </w:tr>
      <w:tr w:rsidR="00B434C9" w:rsidRPr="000028C3" w14:paraId="3B6909EB" w14:textId="77777777" w:rsidTr="009E2F09">
        <w:trPr>
          <w:trHeight w:val="23"/>
        </w:trPr>
        <w:tc>
          <w:tcPr>
            <w:tcW w:w="2197" w:type="pct"/>
            <w:vMerge/>
            <w:shd w:val="clear" w:color="auto" w:fill="auto"/>
          </w:tcPr>
          <w:p w14:paraId="5BFD8AA7" w14:textId="512400DD" w:rsidR="00B434C9" w:rsidRPr="000028C3" w:rsidRDefault="00B434C9" w:rsidP="00797C86">
            <w:pPr>
              <w:rPr>
                <w:rFonts w:eastAsia="Arial Unicode MS"/>
              </w:rPr>
            </w:pPr>
          </w:p>
        </w:tc>
        <w:tc>
          <w:tcPr>
            <w:tcW w:w="1365" w:type="pct"/>
            <w:shd w:val="clear" w:color="auto" w:fill="auto"/>
            <w:vAlign w:val="center"/>
          </w:tcPr>
          <w:p w14:paraId="28BD194A" w14:textId="690D065C" w:rsidR="00B434C9" w:rsidRPr="000028C3" w:rsidRDefault="00B434C9" w:rsidP="00C91D5F">
            <w:pPr>
              <w:jc w:val="center"/>
              <w:rPr>
                <w:rFonts w:eastAsia="Arial Unicode MS"/>
              </w:rPr>
            </w:pPr>
            <w:r w:rsidRPr="000028C3">
              <w:rPr>
                <w:rFonts w:eastAsia="Arial Unicode MS"/>
              </w:rPr>
              <w:t>Умеренный стресс-фактор</w:t>
            </w:r>
          </w:p>
        </w:tc>
        <w:tc>
          <w:tcPr>
            <w:tcW w:w="1438" w:type="pct"/>
            <w:shd w:val="clear" w:color="auto" w:fill="auto"/>
            <w:vAlign w:val="center"/>
          </w:tcPr>
          <w:p w14:paraId="797FEB0B" w14:textId="33B9D7EE" w:rsidR="00B434C9" w:rsidRPr="000028C3" w:rsidRDefault="00B434C9" w:rsidP="00C91D5F">
            <w:pPr>
              <w:jc w:val="center"/>
            </w:pPr>
            <w:r w:rsidRPr="000028C3">
              <w:rPr>
                <w:rFonts w:eastAsia="Arial Unicode MS"/>
              </w:rPr>
              <w:t>Сильный стресс-фактор</w:t>
            </w:r>
          </w:p>
        </w:tc>
      </w:tr>
      <w:tr w:rsidR="009E2F09" w:rsidRPr="000028C3" w14:paraId="0A08355B" w14:textId="77777777" w:rsidTr="00797C86">
        <w:trPr>
          <w:trHeight w:val="470"/>
        </w:trPr>
        <w:tc>
          <w:tcPr>
            <w:tcW w:w="2197" w:type="pct"/>
            <w:vMerge w:val="restart"/>
            <w:shd w:val="clear" w:color="auto" w:fill="auto"/>
            <w:vAlign w:val="center"/>
          </w:tcPr>
          <w:p w14:paraId="58E4D01C" w14:textId="25D55EF7" w:rsidR="009E2F09" w:rsidRPr="000028C3" w:rsidRDefault="009E2F09" w:rsidP="00C91D5F">
            <w:pPr>
              <w:rPr>
                <w:rFonts w:eastAsia="Arial Unicode MS"/>
              </w:rPr>
            </w:pPr>
            <w:r w:rsidRPr="000028C3">
              <w:rPr>
                <w:rFonts w:eastAsia="Arial Unicode MS"/>
              </w:rPr>
              <w:t>Концентрация активов на связанных с компанией сторонах</w:t>
            </w:r>
          </w:p>
        </w:tc>
        <w:tc>
          <w:tcPr>
            <w:tcW w:w="2803" w:type="pct"/>
            <w:gridSpan w:val="2"/>
            <w:shd w:val="clear" w:color="auto" w:fill="auto"/>
            <w:vAlign w:val="center"/>
          </w:tcPr>
          <w:p w14:paraId="64D2E781" w14:textId="3AC527D5" w:rsidR="009E2F09" w:rsidRPr="000028C3" w:rsidRDefault="009E2F09" w:rsidP="009E2F09">
            <w:pPr>
              <w:jc w:val="center"/>
            </w:pPr>
            <w:r w:rsidRPr="000028C3">
              <w:t>Значение коэффициента К1, %</w:t>
            </w:r>
          </w:p>
        </w:tc>
      </w:tr>
      <w:tr w:rsidR="009E2F09" w:rsidRPr="000028C3" w14:paraId="6AD0AC08" w14:textId="77777777" w:rsidTr="009E2F09">
        <w:trPr>
          <w:trHeight w:val="23"/>
        </w:trPr>
        <w:tc>
          <w:tcPr>
            <w:tcW w:w="2197" w:type="pct"/>
            <w:vMerge/>
            <w:shd w:val="clear" w:color="auto" w:fill="auto"/>
            <w:vAlign w:val="center"/>
          </w:tcPr>
          <w:p w14:paraId="7C2AD144" w14:textId="77777777" w:rsidR="009E2F09" w:rsidRPr="000028C3" w:rsidRDefault="009E2F09" w:rsidP="009E2F09"/>
        </w:tc>
        <w:tc>
          <w:tcPr>
            <w:tcW w:w="1365" w:type="pct"/>
            <w:shd w:val="clear" w:color="auto" w:fill="auto"/>
            <w:vAlign w:val="center"/>
          </w:tcPr>
          <w:p w14:paraId="11AB069B" w14:textId="3405487D" w:rsidR="009E2F09" w:rsidRPr="000028C3" w:rsidRDefault="009E2F09" w:rsidP="009E2F09">
            <w:pPr>
              <w:jc w:val="center"/>
              <w:rPr>
                <w:rFonts w:eastAsia="Arial Unicode MS"/>
              </w:rPr>
            </w:pPr>
            <w:r w:rsidRPr="000028C3">
              <w:t>70-120</w:t>
            </w:r>
          </w:p>
        </w:tc>
        <w:tc>
          <w:tcPr>
            <w:tcW w:w="1438" w:type="pct"/>
            <w:shd w:val="clear" w:color="auto" w:fill="auto"/>
            <w:vAlign w:val="center"/>
          </w:tcPr>
          <w:p w14:paraId="6929272C" w14:textId="49BAC44B" w:rsidR="009E2F09" w:rsidRPr="000028C3" w:rsidRDefault="009E2F09" w:rsidP="009E2F09">
            <w:pPr>
              <w:jc w:val="center"/>
            </w:pPr>
            <w:r w:rsidRPr="000028C3">
              <w:rPr>
                <w:lang w:val="en-US"/>
              </w:rPr>
              <w:t>&gt;</w:t>
            </w:r>
            <w:r w:rsidRPr="000028C3">
              <w:t xml:space="preserve"> 120</w:t>
            </w:r>
          </w:p>
        </w:tc>
      </w:tr>
      <w:tr w:rsidR="009E2F09" w:rsidRPr="000028C3" w14:paraId="6DFD8B8F" w14:textId="77777777" w:rsidTr="009E2F09">
        <w:trPr>
          <w:trHeight w:val="23"/>
        </w:trPr>
        <w:tc>
          <w:tcPr>
            <w:tcW w:w="2197" w:type="pct"/>
            <w:vMerge/>
            <w:shd w:val="clear" w:color="auto" w:fill="auto"/>
            <w:vAlign w:val="center"/>
          </w:tcPr>
          <w:p w14:paraId="79A6F6A8" w14:textId="77777777" w:rsidR="009E2F09" w:rsidRPr="000028C3" w:rsidRDefault="009E2F09" w:rsidP="00C91D5F"/>
        </w:tc>
        <w:tc>
          <w:tcPr>
            <w:tcW w:w="2803" w:type="pct"/>
            <w:gridSpan w:val="2"/>
            <w:shd w:val="clear" w:color="auto" w:fill="auto"/>
            <w:vAlign w:val="center"/>
          </w:tcPr>
          <w:p w14:paraId="747CACC9" w14:textId="23CEFDB7" w:rsidR="009E2F09" w:rsidRPr="000028C3" w:rsidRDefault="009E2F09" w:rsidP="00B434C9">
            <w:pPr>
              <w:jc w:val="both"/>
            </w:pPr>
            <w:r w:rsidRPr="000028C3">
              <w:t>Под коэффициентом К1 понимается отношение объема чистой (т.е. за вычетом сформированных в отчетности резервов на возможные потери) задолженности, приходящейся на связанных с компанией физических и юридических лиц, за вычетом объема привлеченных от этих лиц средств (с поправкой на стабильность средств, которая оценивается экспертно на основе ретроспективных данных, а также информации об условиях привлечения данных средств; максимальный поправочный коэффициент – 0,7, минимальный поправочный коэффициент – 0) к размеру капитала компании.</w:t>
            </w:r>
          </w:p>
        </w:tc>
      </w:tr>
      <w:tr w:rsidR="009E2F09" w:rsidRPr="000028C3" w14:paraId="1236B2FD" w14:textId="77777777" w:rsidTr="009E2F09">
        <w:trPr>
          <w:trHeight w:val="23"/>
        </w:trPr>
        <w:tc>
          <w:tcPr>
            <w:tcW w:w="2197" w:type="pct"/>
            <w:vMerge w:val="restart"/>
            <w:shd w:val="clear" w:color="auto" w:fill="auto"/>
            <w:vAlign w:val="center"/>
          </w:tcPr>
          <w:p w14:paraId="47AE5F34" w14:textId="5BCC9592" w:rsidR="009E2F09" w:rsidRPr="000028C3" w:rsidRDefault="009E2F09" w:rsidP="009E2F09">
            <w:pPr>
              <w:rPr>
                <w:rFonts w:eastAsia="Arial Unicode MS"/>
              </w:rPr>
            </w:pPr>
            <w:r w:rsidRPr="000028C3">
              <w:t>Величина бизнеса</w:t>
            </w:r>
          </w:p>
        </w:tc>
        <w:tc>
          <w:tcPr>
            <w:tcW w:w="2803" w:type="pct"/>
            <w:gridSpan w:val="2"/>
            <w:shd w:val="clear" w:color="auto" w:fill="auto"/>
          </w:tcPr>
          <w:p w14:paraId="64A7BE26" w14:textId="376DFEFE" w:rsidR="009E2F09" w:rsidRPr="000028C3" w:rsidRDefault="009E2F09" w:rsidP="009E2F09">
            <w:pPr>
              <w:jc w:val="center"/>
            </w:pPr>
            <w:r w:rsidRPr="000028C3">
              <w:t>Совокупные активы, млн рублей</w:t>
            </w:r>
          </w:p>
        </w:tc>
      </w:tr>
      <w:tr w:rsidR="009E2F09" w:rsidRPr="000028C3" w14:paraId="79174E20" w14:textId="77777777" w:rsidTr="009E2F09">
        <w:trPr>
          <w:trHeight w:val="23"/>
        </w:trPr>
        <w:tc>
          <w:tcPr>
            <w:tcW w:w="2197" w:type="pct"/>
            <w:vMerge/>
            <w:shd w:val="clear" w:color="auto" w:fill="auto"/>
            <w:vAlign w:val="center"/>
          </w:tcPr>
          <w:p w14:paraId="33500AF1" w14:textId="77777777" w:rsidR="009E2F09" w:rsidRPr="000028C3" w:rsidRDefault="009E2F09" w:rsidP="009E2F09">
            <w:pPr>
              <w:rPr>
                <w:rFonts w:eastAsia="Arial Unicode MS"/>
              </w:rPr>
            </w:pPr>
          </w:p>
        </w:tc>
        <w:tc>
          <w:tcPr>
            <w:tcW w:w="1365" w:type="pct"/>
            <w:shd w:val="clear" w:color="auto" w:fill="auto"/>
            <w:vAlign w:val="center"/>
          </w:tcPr>
          <w:p w14:paraId="20C08503" w14:textId="753DE2C9" w:rsidR="009E2F09" w:rsidRPr="000028C3" w:rsidRDefault="009E2F09" w:rsidP="009E2F09">
            <w:pPr>
              <w:jc w:val="center"/>
              <w:rPr>
                <w:rFonts w:eastAsia="Arial Unicode MS"/>
              </w:rPr>
            </w:pPr>
            <w:r w:rsidRPr="000028C3">
              <w:t>50-100</w:t>
            </w:r>
          </w:p>
        </w:tc>
        <w:tc>
          <w:tcPr>
            <w:tcW w:w="1438" w:type="pct"/>
            <w:shd w:val="clear" w:color="auto" w:fill="auto"/>
            <w:vAlign w:val="center"/>
          </w:tcPr>
          <w:p w14:paraId="14BB862E" w14:textId="623227D6" w:rsidR="009E2F09" w:rsidRPr="000028C3" w:rsidRDefault="009E2F09" w:rsidP="009E2F09">
            <w:pPr>
              <w:jc w:val="center"/>
            </w:pPr>
            <w:r w:rsidRPr="000028C3">
              <w:rPr>
                <w:lang w:val="en-US"/>
              </w:rPr>
              <w:t>&lt;</w:t>
            </w:r>
            <w:r w:rsidRPr="000028C3">
              <w:t xml:space="preserve"> 50</w:t>
            </w:r>
          </w:p>
        </w:tc>
      </w:tr>
      <w:tr w:rsidR="00B434C9" w:rsidRPr="000028C3" w14:paraId="09C12400" w14:textId="77777777" w:rsidTr="00B434C9">
        <w:trPr>
          <w:trHeight w:val="23"/>
        </w:trPr>
        <w:tc>
          <w:tcPr>
            <w:tcW w:w="2197" w:type="pct"/>
            <w:vMerge w:val="restart"/>
            <w:shd w:val="clear" w:color="auto" w:fill="auto"/>
            <w:vAlign w:val="center"/>
          </w:tcPr>
          <w:p w14:paraId="577D5F10" w14:textId="7C8B4C74" w:rsidR="00B434C9" w:rsidRPr="000028C3" w:rsidRDefault="00B434C9" w:rsidP="00B434C9">
            <w:pPr>
              <w:rPr>
                <w:rFonts w:eastAsia="Arial Unicode MS"/>
              </w:rPr>
            </w:pPr>
            <w:r w:rsidRPr="000028C3">
              <w:t>Основная специализация</w:t>
            </w:r>
          </w:p>
        </w:tc>
        <w:tc>
          <w:tcPr>
            <w:tcW w:w="2803" w:type="pct"/>
            <w:gridSpan w:val="2"/>
            <w:shd w:val="clear" w:color="auto" w:fill="auto"/>
            <w:vAlign w:val="center"/>
          </w:tcPr>
          <w:p w14:paraId="7830F8AE" w14:textId="310EC163" w:rsidR="00B434C9" w:rsidRPr="000028C3" w:rsidRDefault="00B434C9" w:rsidP="00B434C9">
            <w:pPr>
              <w:jc w:val="center"/>
            </w:pPr>
            <w:r w:rsidRPr="000028C3">
              <w:t>Число объектов кредитного риска</w:t>
            </w:r>
          </w:p>
        </w:tc>
      </w:tr>
      <w:tr w:rsidR="00B434C9" w:rsidRPr="000028C3" w14:paraId="18B7B6D4" w14:textId="77777777" w:rsidTr="009E2F09">
        <w:trPr>
          <w:trHeight w:val="23"/>
        </w:trPr>
        <w:tc>
          <w:tcPr>
            <w:tcW w:w="2197" w:type="pct"/>
            <w:vMerge/>
            <w:shd w:val="clear" w:color="auto" w:fill="auto"/>
            <w:vAlign w:val="center"/>
          </w:tcPr>
          <w:p w14:paraId="313FF8C9" w14:textId="77777777" w:rsidR="00B434C9" w:rsidRPr="000028C3" w:rsidRDefault="00B434C9" w:rsidP="00B434C9">
            <w:pPr>
              <w:rPr>
                <w:rFonts w:eastAsia="Arial Unicode MS"/>
              </w:rPr>
            </w:pPr>
          </w:p>
        </w:tc>
        <w:tc>
          <w:tcPr>
            <w:tcW w:w="1365" w:type="pct"/>
            <w:shd w:val="clear" w:color="auto" w:fill="auto"/>
            <w:vAlign w:val="center"/>
          </w:tcPr>
          <w:p w14:paraId="7E3816ED" w14:textId="1637C1BC" w:rsidR="00B434C9" w:rsidRPr="000028C3" w:rsidRDefault="00B434C9" w:rsidP="00B434C9">
            <w:pPr>
              <w:jc w:val="center"/>
              <w:rPr>
                <w:rFonts w:eastAsia="Arial Unicode MS"/>
              </w:rPr>
            </w:pPr>
            <w:r w:rsidRPr="000028C3">
              <w:t>6-10</w:t>
            </w:r>
          </w:p>
        </w:tc>
        <w:tc>
          <w:tcPr>
            <w:tcW w:w="1438" w:type="pct"/>
            <w:shd w:val="clear" w:color="auto" w:fill="auto"/>
            <w:vAlign w:val="center"/>
          </w:tcPr>
          <w:p w14:paraId="48D46F1E" w14:textId="74100C48" w:rsidR="00B434C9" w:rsidRPr="000028C3" w:rsidRDefault="00B434C9" w:rsidP="00B434C9">
            <w:pPr>
              <w:jc w:val="center"/>
            </w:pPr>
            <w:r w:rsidRPr="000028C3">
              <w:rPr>
                <w:lang w:val="en-US"/>
              </w:rPr>
              <w:t>&lt;</w:t>
            </w:r>
            <w:r w:rsidRPr="000028C3">
              <w:t xml:space="preserve"> 6</w:t>
            </w:r>
          </w:p>
        </w:tc>
      </w:tr>
      <w:tr w:rsidR="00B434C9" w:rsidRPr="000028C3" w14:paraId="2D95FE46" w14:textId="77777777" w:rsidTr="00B434C9">
        <w:trPr>
          <w:trHeight w:val="23"/>
        </w:trPr>
        <w:tc>
          <w:tcPr>
            <w:tcW w:w="2197" w:type="pct"/>
            <w:vMerge/>
            <w:shd w:val="clear" w:color="auto" w:fill="auto"/>
            <w:vAlign w:val="center"/>
          </w:tcPr>
          <w:p w14:paraId="518EBFFB" w14:textId="305ACA26" w:rsidR="00B434C9" w:rsidRPr="000028C3" w:rsidRDefault="00B434C9" w:rsidP="00B434C9">
            <w:pPr>
              <w:rPr>
                <w:rFonts w:eastAsia="Arial Unicode MS"/>
              </w:rPr>
            </w:pPr>
          </w:p>
        </w:tc>
        <w:tc>
          <w:tcPr>
            <w:tcW w:w="2803" w:type="pct"/>
            <w:gridSpan w:val="2"/>
            <w:shd w:val="clear" w:color="auto" w:fill="auto"/>
            <w:vAlign w:val="center"/>
          </w:tcPr>
          <w:p w14:paraId="518D1CC8" w14:textId="07CC30DC" w:rsidR="00B434C9" w:rsidRPr="000028C3" w:rsidRDefault="00B434C9" w:rsidP="00B434C9">
            <w:pPr>
              <w:jc w:val="center"/>
            </w:pPr>
            <w:r w:rsidRPr="000028C3">
              <w:t xml:space="preserve">Концентрация на одном объекте кредитного риска в активах (без учета объектов с условным рейтинговым классом </w:t>
            </w:r>
            <w:r w:rsidRPr="000028C3">
              <w:rPr>
                <w:lang w:val="en-US"/>
              </w:rPr>
              <w:t>ruAA</w:t>
            </w:r>
            <w:r w:rsidRPr="000028C3">
              <w:t xml:space="preserve"> и выше), %</w:t>
            </w:r>
          </w:p>
        </w:tc>
      </w:tr>
      <w:tr w:rsidR="00B434C9" w:rsidRPr="000028C3" w14:paraId="23EB61D1" w14:textId="77777777" w:rsidTr="009E2F09">
        <w:trPr>
          <w:trHeight w:val="23"/>
        </w:trPr>
        <w:tc>
          <w:tcPr>
            <w:tcW w:w="2197" w:type="pct"/>
            <w:vMerge/>
            <w:shd w:val="clear" w:color="auto" w:fill="auto"/>
            <w:vAlign w:val="center"/>
          </w:tcPr>
          <w:p w14:paraId="28CE54B1" w14:textId="77777777" w:rsidR="00B434C9" w:rsidRPr="000028C3" w:rsidRDefault="00B434C9" w:rsidP="00B434C9">
            <w:pPr>
              <w:rPr>
                <w:rFonts w:eastAsia="Arial Unicode MS"/>
              </w:rPr>
            </w:pPr>
          </w:p>
        </w:tc>
        <w:tc>
          <w:tcPr>
            <w:tcW w:w="1365" w:type="pct"/>
            <w:shd w:val="clear" w:color="auto" w:fill="auto"/>
            <w:vAlign w:val="center"/>
          </w:tcPr>
          <w:p w14:paraId="0E93C845" w14:textId="7A0F5EEB" w:rsidR="00B434C9" w:rsidRPr="000028C3" w:rsidRDefault="00B434C9" w:rsidP="00B434C9">
            <w:pPr>
              <w:jc w:val="center"/>
              <w:rPr>
                <w:rFonts w:eastAsia="Arial Unicode MS"/>
              </w:rPr>
            </w:pPr>
            <w:r w:rsidRPr="000028C3">
              <w:t>30-50</w:t>
            </w:r>
          </w:p>
        </w:tc>
        <w:tc>
          <w:tcPr>
            <w:tcW w:w="1438" w:type="pct"/>
            <w:shd w:val="clear" w:color="auto" w:fill="auto"/>
            <w:vAlign w:val="center"/>
          </w:tcPr>
          <w:p w14:paraId="5676BADC" w14:textId="3AB9534F" w:rsidR="00B434C9" w:rsidRPr="000028C3" w:rsidRDefault="00B434C9" w:rsidP="00B434C9">
            <w:pPr>
              <w:jc w:val="center"/>
            </w:pPr>
            <w:r w:rsidRPr="000028C3">
              <w:rPr>
                <w:lang w:val="en-US"/>
              </w:rPr>
              <w:t>&gt;</w:t>
            </w:r>
            <w:r w:rsidRPr="000028C3">
              <w:t xml:space="preserve"> 50</w:t>
            </w:r>
          </w:p>
        </w:tc>
      </w:tr>
    </w:tbl>
    <w:p w14:paraId="0076789B" w14:textId="7B560731" w:rsidR="009878CA" w:rsidRDefault="009878CA" w:rsidP="0039664F">
      <w:pPr>
        <w:jc w:val="both"/>
        <w:rPr>
          <w:highlight w:val="yellow"/>
        </w:rPr>
      </w:pPr>
    </w:p>
    <w:p w14:paraId="2E5EE314" w14:textId="093A4EE9" w:rsidR="00EB4C6D" w:rsidRDefault="00EB4C6D" w:rsidP="0039664F">
      <w:pPr>
        <w:jc w:val="both"/>
        <w:rPr>
          <w:highlight w:val="yellow"/>
        </w:rPr>
      </w:pPr>
    </w:p>
    <w:p w14:paraId="1CF1EF8D" w14:textId="77777777" w:rsidR="00EB4C6D" w:rsidRPr="000028C3" w:rsidRDefault="00EB4C6D" w:rsidP="0039664F">
      <w:pPr>
        <w:jc w:val="both"/>
        <w:rPr>
          <w:highlight w:val="yellow"/>
        </w:rPr>
      </w:pPr>
    </w:p>
    <w:p w14:paraId="09577FAF" w14:textId="77777777" w:rsidR="00274184" w:rsidRPr="000028C3" w:rsidRDefault="00771929" w:rsidP="0039664F">
      <w:pPr>
        <w:jc w:val="both"/>
        <w:rPr>
          <w:b/>
          <w:szCs w:val="26"/>
        </w:rPr>
      </w:pPr>
      <w:r w:rsidRPr="000028C3">
        <w:rPr>
          <w:b/>
          <w:szCs w:val="26"/>
        </w:rPr>
        <w:lastRenderedPageBreak/>
        <w:t>С</w:t>
      </w:r>
      <w:r w:rsidR="00274184" w:rsidRPr="000028C3">
        <w:rPr>
          <w:b/>
          <w:szCs w:val="26"/>
        </w:rPr>
        <w:t>тресс-фактор за географию деятельности</w:t>
      </w:r>
    </w:p>
    <w:p w14:paraId="1CC11A13" w14:textId="77777777" w:rsidR="006F39EA" w:rsidRPr="000028C3" w:rsidRDefault="006F39EA" w:rsidP="0039664F">
      <w:pPr>
        <w:ind w:firstLine="567"/>
        <w:jc w:val="both"/>
      </w:pPr>
      <w:bookmarkStart w:id="97" w:name="_Hlk32838272"/>
    </w:p>
    <w:p w14:paraId="7CCA106C" w14:textId="11079D8E" w:rsidR="00B93905" w:rsidRPr="000028C3" w:rsidRDefault="00F775F5" w:rsidP="0039664F">
      <w:pPr>
        <w:ind w:firstLine="567"/>
        <w:jc w:val="both"/>
      </w:pPr>
      <w:r w:rsidRPr="000028C3">
        <w:t>Высокая концентрация факторингового портфеля на регионах</w:t>
      </w:r>
      <w:bookmarkStart w:id="98" w:name="_Hlk26287935"/>
      <w:r w:rsidRPr="000028C3">
        <w:rPr>
          <w:rFonts w:eastAsia="Arial Unicode MS"/>
        </w:rPr>
        <w:t xml:space="preserve">, характеризующихся </w:t>
      </w:r>
      <w:r w:rsidRPr="000028C3">
        <w:t>очень высокими рисками инвестиционной привлекательности</w:t>
      </w:r>
      <w:r w:rsidRPr="000028C3" w:rsidDel="00701711">
        <w:rPr>
          <w:rFonts w:eastAsia="Arial Unicode MS"/>
        </w:rPr>
        <w:t xml:space="preserve"> </w:t>
      </w:r>
      <w:r w:rsidRPr="000028C3">
        <w:rPr>
          <w:rFonts w:eastAsia="Arial Unicode MS"/>
        </w:rPr>
        <w:t xml:space="preserve">(согласно критериями, приведенным </w:t>
      </w:r>
      <w:bookmarkStart w:id="99" w:name="_Hlk32838315"/>
      <w:r w:rsidRPr="000028C3">
        <w:rPr>
          <w:rFonts w:eastAsia="Arial Unicode MS"/>
        </w:rPr>
        <w:t xml:space="preserve">в пункте 1.2 раздела </w:t>
      </w:r>
      <w:bookmarkEnd w:id="99"/>
      <w:r w:rsidRPr="000028C3">
        <w:rPr>
          <w:rFonts w:eastAsia="Arial Unicode MS"/>
        </w:rPr>
        <w:t>6)</w:t>
      </w:r>
      <w:bookmarkEnd w:id="98"/>
      <w:r w:rsidRPr="000028C3">
        <w:rPr>
          <w:rFonts w:eastAsia="Arial Unicode MS"/>
        </w:rPr>
        <w:t xml:space="preserve">, </w:t>
      </w:r>
      <w:r w:rsidRPr="000028C3">
        <w:t xml:space="preserve">негативно влияет на кредитоспособность компании. </w:t>
      </w:r>
      <w:bookmarkEnd w:id="97"/>
      <w:r w:rsidR="00274184" w:rsidRPr="000028C3">
        <w:t xml:space="preserve">Влияние стресс-фактора может быть только умеренным, сильный стресс-фактор не предусмотрен. Стресс-фактор выделяется, если доля </w:t>
      </w:r>
      <w:r w:rsidR="00AC68FA" w:rsidRPr="000028C3">
        <w:t>факторингового порт</w:t>
      </w:r>
      <w:r w:rsidR="00B000B2" w:rsidRPr="000028C3">
        <w:t>ф</w:t>
      </w:r>
      <w:r w:rsidR="00AC68FA" w:rsidRPr="000028C3">
        <w:t>еля</w:t>
      </w:r>
      <w:r w:rsidR="00274184" w:rsidRPr="000028C3">
        <w:t>, приходящ</w:t>
      </w:r>
      <w:r w:rsidR="00AC68FA" w:rsidRPr="000028C3">
        <w:t>аяся</w:t>
      </w:r>
      <w:r w:rsidR="00274184" w:rsidRPr="000028C3">
        <w:t xml:space="preserve"> на </w:t>
      </w:r>
      <w:r w:rsidR="00AC68FA" w:rsidRPr="000028C3">
        <w:t>указанные</w:t>
      </w:r>
      <w:r w:rsidR="00B000B2" w:rsidRPr="000028C3">
        <w:t xml:space="preserve"> регионы</w:t>
      </w:r>
      <w:r w:rsidR="00F165FC" w:rsidRPr="000028C3">
        <w:t>,</w:t>
      </w:r>
      <w:r w:rsidR="00E93A75" w:rsidRPr="000028C3">
        <w:t xml:space="preserve"> превышает</w:t>
      </w:r>
      <w:r w:rsidR="00274184" w:rsidRPr="000028C3">
        <w:t xml:space="preserve"> 50%. </w:t>
      </w:r>
    </w:p>
    <w:p w14:paraId="6EE4F3BF" w14:textId="77777777" w:rsidR="00274184" w:rsidRPr="000028C3" w:rsidRDefault="00274184" w:rsidP="0039664F">
      <w:pPr>
        <w:jc w:val="both"/>
        <w:rPr>
          <w:highlight w:val="yellow"/>
        </w:rPr>
      </w:pPr>
    </w:p>
    <w:p w14:paraId="6067D19C" w14:textId="77777777" w:rsidR="004315A4" w:rsidRPr="000028C3" w:rsidRDefault="00771929" w:rsidP="0039664F">
      <w:pPr>
        <w:jc w:val="both"/>
        <w:rPr>
          <w:b/>
          <w:szCs w:val="26"/>
        </w:rPr>
      </w:pPr>
      <w:r w:rsidRPr="000028C3">
        <w:rPr>
          <w:b/>
          <w:szCs w:val="26"/>
        </w:rPr>
        <w:t>С</w:t>
      </w:r>
      <w:r w:rsidR="004315A4" w:rsidRPr="000028C3">
        <w:rPr>
          <w:b/>
          <w:szCs w:val="26"/>
        </w:rPr>
        <w:t>тресс-фактор ресурсной базы</w:t>
      </w:r>
    </w:p>
    <w:p w14:paraId="4B6F1D58" w14:textId="77777777" w:rsidR="006F39EA" w:rsidRPr="000028C3" w:rsidRDefault="006F39EA" w:rsidP="0039664F">
      <w:pPr>
        <w:pStyle w:val="ad"/>
        <w:spacing w:before="0" w:beforeAutospacing="0" w:after="0" w:afterAutospacing="0"/>
        <w:ind w:firstLine="567"/>
        <w:jc w:val="both"/>
      </w:pPr>
    </w:p>
    <w:p w14:paraId="09E124D1" w14:textId="6C33FA18" w:rsidR="004315A4" w:rsidRPr="000028C3" w:rsidRDefault="004315A4" w:rsidP="0039664F">
      <w:pPr>
        <w:pStyle w:val="ad"/>
        <w:spacing w:before="0" w:beforeAutospacing="0" w:after="0" w:afterAutospacing="0"/>
        <w:ind w:firstLine="567"/>
        <w:jc w:val="both"/>
      </w:pPr>
      <w:r w:rsidRPr="000028C3">
        <w:t xml:space="preserve">Повышенные риски возникновения дефицита ликвидности при исполнении балансовых </w:t>
      </w:r>
      <w:r w:rsidR="002955F4" w:rsidRPr="008B6610">
        <w:t xml:space="preserve">и (или) </w:t>
      </w:r>
      <w:r w:rsidRPr="000028C3">
        <w:t xml:space="preserve">внебалансовых обязательств негативно влияют на кредитоспособность компании и отражаются в стресс-факторе ресурсной базы. Влияние стресс-фактора на оценку кредитоспособности может быть умеренным и сильным. </w:t>
      </w:r>
    </w:p>
    <w:p w14:paraId="1D4E22EB" w14:textId="77777777" w:rsidR="004315A4" w:rsidRPr="000028C3" w:rsidRDefault="004315A4" w:rsidP="0039664F">
      <w:pPr>
        <w:jc w:val="both"/>
      </w:pPr>
    </w:p>
    <w:p w14:paraId="599E65AA" w14:textId="52DA3C47" w:rsidR="004315A4" w:rsidRPr="000028C3" w:rsidRDefault="004315A4" w:rsidP="0039664F">
      <w:pPr>
        <w:pStyle w:val="ad"/>
        <w:spacing w:before="0" w:beforeAutospacing="0" w:after="0" w:afterAutospacing="0"/>
        <w:ind w:firstLine="567"/>
        <w:jc w:val="both"/>
      </w:pPr>
      <w:r w:rsidRPr="000028C3">
        <w:t>Умеренный стресс-фактор выставляется в случае</w:t>
      </w:r>
      <w:r w:rsidR="00A977E4" w:rsidRPr="000028C3">
        <w:t>,</w:t>
      </w:r>
      <w:r w:rsidRPr="000028C3">
        <w:t xml:space="preserve"> если выполняется хотя бы одно из условий ниже:</w:t>
      </w:r>
    </w:p>
    <w:p w14:paraId="2CAF11DC" w14:textId="3F068A0E" w:rsidR="004315A4" w:rsidRPr="000028C3" w:rsidRDefault="00E93A75" w:rsidP="0098669D">
      <w:pPr>
        <w:numPr>
          <w:ilvl w:val="0"/>
          <w:numId w:val="20"/>
        </w:numPr>
        <w:jc w:val="both"/>
      </w:pPr>
      <w:r w:rsidRPr="000028C3">
        <w:t>б</w:t>
      </w:r>
      <w:r w:rsidR="004315A4" w:rsidRPr="000028C3">
        <w:t xml:space="preserve">олее 70% пассивов компании приходится на </w:t>
      </w:r>
      <w:r w:rsidRPr="000028C3">
        <w:t>одного</w:t>
      </w:r>
      <w:r w:rsidR="004315A4" w:rsidRPr="000028C3">
        <w:t xml:space="preserve"> кредитора, при этом </w:t>
      </w:r>
      <w:r w:rsidRPr="000028C3">
        <w:t>он</w:t>
      </w:r>
      <w:r w:rsidR="004315A4" w:rsidRPr="000028C3">
        <w:t xml:space="preserve"> не является аффи</w:t>
      </w:r>
      <w:r w:rsidRPr="000028C3">
        <w:t>лированн</w:t>
      </w:r>
      <w:r w:rsidR="008158A6" w:rsidRPr="000028C3">
        <w:t>ым</w:t>
      </w:r>
      <w:r w:rsidRPr="000028C3">
        <w:t xml:space="preserve"> с компанией;</w:t>
      </w:r>
    </w:p>
    <w:p w14:paraId="534CFC5D" w14:textId="758B0589" w:rsidR="004315A4" w:rsidRPr="000028C3" w:rsidRDefault="00E93A75" w:rsidP="0098669D">
      <w:pPr>
        <w:numPr>
          <w:ilvl w:val="0"/>
          <w:numId w:val="20"/>
        </w:numPr>
        <w:jc w:val="both"/>
      </w:pPr>
      <w:r w:rsidRPr="000028C3">
        <w:t>с</w:t>
      </w:r>
      <w:r w:rsidR="004315A4" w:rsidRPr="000028C3">
        <w:t xml:space="preserve">уществует умеренно высокая вероятность того, что компания на горизонте в 1 год сможет справиться с крупной (более 2% пассивов) выплатой (например, по иску, поручительству или по кредиту) </w:t>
      </w:r>
      <w:r w:rsidR="00F102D7" w:rsidRPr="000028C3">
        <w:t>только за счет привлечения дополнительной ликвидности</w:t>
      </w:r>
      <w:r w:rsidR="004315A4" w:rsidRPr="000028C3">
        <w:rPr>
          <w:i/>
        </w:rPr>
        <w:t>.</w:t>
      </w:r>
    </w:p>
    <w:p w14:paraId="4B7A54A6" w14:textId="77777777" w:rsidR="004315A4" w:rsidRPr="000028C3" w:rsidRDefault="004315A4" w:rsidP="0039664F">
      <w:pPr>
        <w:jc w:val="both"/>
      </w:pPr>
    </w:p>
    <w:p w14:paraId="2F0E4E7B" w14:textId="194757E9" w:rsidR="004315A4" w:rsidRPr="000028C3" w:rsidRDefault="004315A4" w:rsidP="0039664F">
      <w:pPr>
        <w:pStyle w:val="ad"/>
        <w:spacing w:before="0" w:beforeAutospacing="0" w:after="0" w:afterAutospacing="0"/>
        <w:ind w:firstLine="567"/>
        <w:jc w:val="both"/>
      </w:pPr>
      <w:r w:rsidRPr="000028C3">
        <w:t>Сильный стресс-фактор выставляется в случае</w:t>
      </w:r>
      <w:r w:rsidR="00A977E4" w:rsidRPr="000028C3">
        <w:t>,</w:t>
      </w:r>
      <w:r w:rsidRPr="000028C3">
        <w:t xml:space="preserve"> если выполняется хотя бы одно из условий ниже:</w:t>
      </w:r>
    </w:p>
    <w:p w14:paraId="52E586EB" w14:textId="77777777" w:rsidR="004315A4" w:rsidRPr="000028C3" w:rsidRDefault="004315A4" w:rsidP="0098669D">
      <w:pPr>
        <w:numPr>
          <w:ilvl w:val="0"/>
          <w:numId w:val="20"/>
        </w:numPr>
        <w:jc w:val="both"/>
      </w:pPr>
      <w:r w:rsidRPr="000028C3">
        <w:t xml:space="preserve">Более 90% пассивов компании приходится на </w:t>
      </w:r>
      <w:r w:rsidR="00E93A75" w:rsidRPr="000028C3">
        <w:t>одного</w:t>
      </w:r>
      <w:r w:rsidRPr="000028C3">
        <w:t xml:space="preserve"> кредитора, при этом </w:t>
      </w:r>
      <w:r w:rsidR="00E93A75" w:rsidRPr="000028C3">
        <w:t>он</w:t>
      </w:r>
      <w:r w:rsidRPr="000028C3">
        <w:t xml:space="preserve"> не является аффилированной с компанией стороной.</w:t>
      </w:r>
    </w:p>
    <w:p w14:paraId="4A75D517" w14:textId="170028B1" w:rsidR="00274184" w:rsidRPr="000028C3" w:rsidRDefault="004315A4" w:rsidP="0098669D">
      <w:pPr>
        <w:numPr>
          <w:ilvl w:val="0"/>
          <w:numId w:val="20"/>
        </w:numPr>
        <w:jc w:val="both"/>
      </w:pPr>
      <w:r w:rsidRPr="000028C3">
        <w:t xml:space="preserve">Существует </w:t>
      </w:r>
      <w:r w:rsidR="00FB328D" w:rsidRPr="000028C3">
        <w:t>очень</w:t>
      </w:r>
      <w:r w:rsidRPr="000028C3">
        <w:t xml:space="preserve"> высокая вероятность того, что компания на горизонте в 1 </w:t>
      </w:r>
      <w:proofErr w:type="gramStart"/>
      <w:r w:rsidRPr="000028C3">
        <w:t>год  сможет</w:t>
      </w:r>
      <w:proofErr w:type="gramEnd"/>
      <w:r w:rsidRPr="000028C3">
        <w:t xml:space="preserve"> справиться с крупной (более 2% пассивов) выплатой (например, по иску, поручительству или по кредиту) </w:t>
      </w:r>
      <w:r w:rsidR="00F102D7" w:rsidRPr="000028C3">
        <w:t>только за счет привлечения дополнительной ликвидности</w:t>
      </w:r>
      <w:r w:rsidRPr="000028C3">
        <w:t>.</w:t>
      </w:r>
    </w:p>
    <w:p w14:paraId="257CA687" w14:textId="77777777" w:rsidR="00627D00" w:rsidRPr="000028C3" w:rsidRDefault="00627D00" w:rsidP="0039664F">
      <w:pPr>
        <w:jc w:val="both"/>
      </w:pPr>
    </w:p>
    <w:p w14:paraId="3A0D5459" w14:textId="77777777" w:rsidR="00627D00" w:rsidRPr="000028C3" w:rsidRDefault="00771929" w:rsidP="0039664F">
      <w:pPr>
        <w:jc w:val="both"/>
        <w:rPr>
          <w:b/>
          <w:szCs w:val="26"/>
        </w:rPr>
      </w:pPr>
      <w:r w:rsidRPr="000028C3">
        <w:rPr>
          <w:b/>
          <w:szCs w:val="26"/>
        </w:rPr>
        <w:t>С</w:t>
      </w:r>
      <w:r w:rsidR="00627D00" w:rsidRPr="000028C3">
        <w:rPr>
          <w:b/>
          <w:szCs w:val="26"/>
        </w:rPr>
        <w:t>тресс-фактор активно-пассивных операций</w:t>
      </w:r>
    </w:p>
    <w:p w14:paraId="39302342" w14:textId="77777777" w:rsidR="006F39EA" w:rsidRPr="000028C3" w:rsidRDefault="006F39EA" w:rsidP="0039664F">
      <w:pPr>
        <w:pStyle w:val="ad"/>
        <w:spacing w:before="0" w:beforeAutospacing="0" w:after="0" w:afterAutospacing="0"/>
        <w:ind w:firstLine="567"/>
        <w:jc w:val="both"/>
      </w:pPr>
    </w:p>
    <w:p w14:paraId="2C69A2DD" w14:textId="00C5A3F8" w:rsidR="00627D00" w:rsidRPr="000028C3" w:rsidRDefault="00627D00" w:rsidP="0039664F">
      <w:pPr>
        <w:pStyle w:val="ad"/>
        <w:spacing w:before="0" w:beforeAutospacing="0" w:after="0" w:afterAutospacing="0"/>
        <w:ind w:firstLine="567"/>
        <w:jc w:val="both"/>
      </w:pPr>
      <w:r w:rsidRPr="000028C3">
        <w:t>Повышенная уязвимость капитала компании к убыткам</w:t>
      </w:r>
      <w:r w:rsidR="002D0035" w:rsidRPr="000028C3">
        <w:t xml:space="preserve"> от реализации валютных, процентных, фондовых, правовых, кредитных иных рисков</w:t>
      </w:r>
      <w:r w:rsidRPr="000028C3">
        <w:t xml:space="preserve">, которые могут привести к снижению </w:t>
      </w:r>
      <w:r w:rsidR="0047197E" w:rsidRPr="000028C3">
        <w:t xml:space="preserve">скорректированного </w:t>
      </w:r>
      <w:r w:rsidRPr="000028C3">
        <w:t>коэффициента автономии ниже 0%, крайне негативно влияют на кредитоспособность компании и отражаются в стресс-факторе активно-пассивных операций. Влияние стресс-фактора может быть умеренным или сильным.</w:t>
      </w:r>
    </w:p>
    <w:p w14:paraId="6B99CB87" w14:textId="77777777" w:rsidR="00627D00" w:rsidRPr="000028C3" w:rsidRDefault="002D0035" w:rsidP="0039664F">
      <w:pPr>
        <w:pStyle w:val="ad"/>
        <w:spacing w:before="0" w:beforeAutospacing="0" w:after="0" w:afterAutospacing="0"/>
        <w:ind w:firstLine="567"/>
        <w:jc w:val="both"/>
      </w:pPr>
      <w:r w:rsidRPr="000028C3">
        <w:t>В случае если о</w:t>
      </w:r>
      <w:r w:rsidR="00627D00" w:rsidRPr="000028C3">
        <w:t xml:space="preserve">жидаемые потери (от реализации валютных, процентных, фондовых, правовых, кредитных иных рисков) </w:t>
      </w:r>
      <w:r w:rsidRPr="000028C3">
        <w:t xml:space="preserve">в </w:t>
      </w:r>
      <w:r w:rsidR="00B2167A" w:rsidRPr="000028C3">
        <w:t>течение ближайших 12 месяцев</w:t>
      </w:r>
      <w:r w:rsidRPr="000028C3">
        <w:t xml:space="preserve"> </w:t>
      </w:r>
      <w:r w:rsidR="00627D00" w:rsidRPr="000028C3">
        <w:t xml:space="preserve">приведут к снижению </w:t>
      </w:r>
      <w:r w:rsidR="0047197E" w:rsidRPr="000028C3">
        <w:t xml:space="preserve">скорректированного </w:t>
      </w:r>
      <w:r w:rsidR="00627D00" w:rsidRPr="000028C3">
        <w:t>коэффициента автономии в диап</w:t>
      </w:r>
      <w:r w:rsidRPr="000028C3">
        <w:t>азон от 0% до минус 5%, компании выставляется умеренный стресс-фактор.</w:t>
      </w:r>
    </w:p>
    <w:p w14:paraId="0621F2AE" w14:textId="77777777" w:rsidR="00627D00" w:rsidRPr="000028C3" w:rsidRDefault="002D0035" w:rsidP="0039664F">
      <w:pPr>
        <w:pStyle w:val="ad"/>
        <w:spacing w:before="0" w:beforeAutospacing="0" w:after="0" w:afterAutospacing="0"/>
        <w:ind w:firstLine="567"/>
        <w:jc w:val="both"/>
      </w:pPr>
      <w:r w:rsidRPr="000028C3">
        <w:t xml:space="preserve">В случае если ожидаемые потери (от реализации валютных, процентных, фондовых, правовых, кредитных иных рисков) </w:t>
      </w:r>
      <w:r w:rsidR="00B2167A" w:rsidRPr="000028C3">
        <w:t xml:space="preserve">в течение ближайших 12 месяцев </w:t>
      </w:r>
      <w:r w:rsidRPr="000028C3">
        <w:t>приведут к снижению коэффициента автономии до уровня ниже минус 5%, компании выставляется сильный стресс-фактор.</w:t>
      </w:r>
    </w:p>
    <w:p w14:paraId="5F67C1C5" w14:textId="77777777" w:rsidR="00771929" w:rsidRPr="000028C3" w:rsidRDefault="00771929" w:rsidP="0039664F">
      <w:pPr>
        <w:jc w:val="both"/>
        <w:rPr>
          <w:b/>
          <w:sz w:val="26"/>
          <w:szCs w:val="26"/>
        </w:rPr>
      </w:pPr>
    </w:p>
    <w:p w14:paraId="2A818420" w14:textId="77777777" w:rsidR="002D0035" w:rsidRPr="000028C3" w:rsidRDefault="002D0035" w:rsidP="0039664F">
      <w:pPr>
        <w:jc w:val="both"/>
        <w:rPr>
          <w:b/>
          <w:szCs w:val="26"/>
        </w:rPr>
      </w:pPr>
      <w:r w:rsidRPr="000028C3">
        <w:rPr>
          <w:b/>
          <w:szCs w:val="26"/>
        </w:rPr>
        <w:lastRenderedPageBreak/>
        <w:t xml:space="preserve">Внутренний иной стресс-фактор </w:t>
      </w:r>
    </w:p>
    <w:p w14:paraId="5C9B9B8A" w14:textId="77777777" w:rsidR="006F39EA" w:rsidRPr="000028C3" w:rsidRDefault="006F39EA" w:rsidP="0039664F">
      <w:pPr>
        <w:pStyle w:val="ad"/>
        <w:spacing w:before="0" w:beforeAutospacing="0" w:after="0" w:afterAutospacing="0"/>
        <w:ind w:firstLine="567"/>
        <w:jc w:val="both"/>
      </w:pPr>
    </w:p>
    <w:p w14:paraId="6E887E92" w14:textId="2458D151" w:rsidR="00B434C9" w:rsidRPr="000028C3" w:rsidRDefault="003253A0" w:rsidP="0039664F">
      <w:pPr>
        <w:pStyle w:val="ad"/>
        <w:spacing w:before="0" w:beforeAutospacing="0" w:after="0" w:afterAutospacing="0"/>
        <w:ind w:firstLine="567"/>
        <w:jc w:val="both"/>
        <w:rPr>
          <w:b/>
          <w:shd w:val="clear" w:color="auto" w:fill="C0C0C0"/>
        </w:rPr>
      </w:pPr>
      <w:r w:rsidRPr="000028C3">
        <w:t xml:space="preserve">Внутренние риски, которые не были учтены в рейтинговой модели в связи с особенностями объекта рейтинга либо кратковременными факторами, отражаются во внутреннем ином стресс-факторе. Под кратковременными факторами понимается </w:t>
      </w:r>
      <w:r w:rsidR="00B434C9" w:rsidRPr="000028C3">
        <w:t>увеличение рейтингового числа</w:t>
      </w:r>
      <w:proofErr w:type="gramStart"/>
      <w:r w:rsidR="00B434C9" w:rsidRPr="000028C3">
        <w:t xml:space="preserve">, </w:t>
      </w:r>
      <w:r w:rsidRPr="000028C3">
        <w:t>,</w:t>
      </w:r>
      <w:proofErr w:type="gramEnd"/>
      <w:r w:rsidRPr="000028C3">
        <w:t xml:space="preserve"> которое, по мнению членов рейтингового комитета, носит временный характер и в ближайший квартал рейтинговое число существенно сократится. Таким образом, под кратковременным фактором понимается фактор, действие которого с высокой вероятностью прекратится в течение трех месяцев</w:t>
      </w:r>
      <w:r w:rsidR="00B434C9" w:rsidRPr="000028C3">
        <w:t xml:space="preserve"> на фоне ожидания Агентством негативных изменений в деятельности объекта рейтинга, связанных с внутренними обстоятельствами (например, незначительные признаки недостоверности отчетности, из-за чего некоторые параметры могут оцениваться в рамках стандартных правил оценки недостаточно консервативно, если при этом сохраняется возможность применения настоящей методологии)</w:t>
      </w:r>
      <w:r w:rsidRPr="000028C3">
        <w:t xml:space="preserve">. Влияние внутреннего иного стресс-фактора может быть умеренным или сильным. </w:t>
      </w:r>
    </w:p>
    <w:p w14:paraId="06449D46" w14:textId="77777777" w:rsidR="00FC7ABF" w:rsidRPr="000028C3" w:rsidRDefault="00FC7ABF" w:rsidP="0039664F">
      <w:pPr>
        <w:rPr>
          <w:b/>
          <w:highlight w:val="yellow"/>
        </w:rPr>
      </w:pPr>
    </w:p>
    <w:p w14:paraId="796C534D" w14:textId="77777777" w:rsidR="00A977E4" w:rsidRPr="000028C3" w:rsidRDefault="00A977E4" w:rsidP="00A977E4">
      <w:pPr>
        <w:ind w:firstLine="567"/>
        <w:jc w:val="both"/>
        <w:rPr>
          <w:b/>
          <w:bCs/>
          <w:i/>
          <w:sz w:val="26"/>
          <w:szCs w:val="26"/>
        </w:rPr>
      </w:pPr>
      <w:r w:rsidRPr="000028C3">
        <w:rPr>
          <w:b/>
          <w:sz w:val="26"/>
          <w:szCs w:val="26"/>
        </w:rPr>
        <w:t>4.2. Внутренние факторы поддержки</w:t>
      </w:r>
    </w:p>
    <w:p w14:paraId="18CF5E9D" w14:textId="77777777" w:rsidR="00BE1E7C" w:rsidRPr="000028C3" w:rsidRDefault="00BE1E7C" w:rsidP="0039664F">
      <w:pPr>
        <w:jc w:val="both"/>
        <w:rPr>
          <w:b/>
          <w:bCs/>
          <w:i/>
        </w:rPr>
      </w:pPr>
    </w:p>
    <w:p w14:paraId="666D6CA6" w14:textId="77777777" w:rsidR="00BE1E7C" w:rsidRPr="000028C3" w:rsidRDefault="00BE1E7C" w:rsidP="0039664F">
      <w:pPr>
        <w:jc w:val="both"/>
        <w:rPr>
          <w:b/>
          <w:bCs/>
          <w:szCs w:val="26"/>
        </w:rPr>
      </w:pPr>
      <w:r w:rsidRPr="000028C3">
        <w:rPr>
          <w:b/>
          <w:bCs/>
          <w:szCs w:val="26"/>
        </w:rPr>
        <w:t>Внутренний иной фактор поддержки</w:t>
      </w:r>
    </w:p>
    <w:p w14:paraId="2F56057D" w14:textId="77777777" w:rsidR="006F39EA" w:rsidRPr="000028C3" w:rsidRDefault="006F39EA" w:rsidP="0039664F">
      <w:pPr>
        <w:pStyle w:val="ad"/>
        <w:spacing w:before="0" w:beforeAutospacing="0" w:after="0" w:afterAutospacing="0"/>
        <w:ind w:firstLine="567"/>
        <w:jc w:val="both"/>
      </w:pPr>
      <w:bookmarkStart w:id="100" w:name="_Toc447270456"/>
    </w:p>
    <w:p w14:paraId="0EEDFE50" w14:textId="17ED4505" w:rsidR="003253A0" w:rsidRDefault="003253A0" w:rsidP="0039664F">
      <w:pPr>
        <w:pStyle w:val="ad"/>
        <w:spacing w:before="0" w:beforeAutospacing="0" w:after="0" w:afterAutospacing="0"/>
        <w:ind w:firstLine="567"/>
        <w:jc w:val="both"/>
      </w:pPr>
      <w:r w:rsidRPr="000028C3">
        <w:t xml:space="preserve">Внутренние факторы поддержки, которые не были учтены в рейтинговой модели в связи с особенностями объекта рейтинга либо кратковременными факторами, отражаются во внутреннем ином факторе поддержки. Под кратковременными факторами понимается текущее уменьшение рейтингового числа, которое, по мнению членов рейтингового комитета, носит временный характер и в ближайший квартал рейтинговое число существенно вырастет. Таким образом, под кратковременным фактором понимается тот, действие которого, по мнению рейтинговых </w:t>
      </w:r>
      <w:r w:rsidR="00BE378C" w:rsidRPr="000028C3">
        <w:t>Агентства</w:t>
      </w:r>
      <w:r w:rsidRPr="000028C3">
        <w:t xml:space="preserve">, с высокой вероятностью прекратится в течение трех месяцев ввиду позитивных изменений в деятельности объекта рейтинга. </w:t>
      </w:r>
    </w:p>
    <w:p w14:paraId="047D801A" w14:textId="77777777" w:rsidR="00EB4C6D" w:rsidRPr="000028C3" w:rsidRDefault="00EB4C6D" w:rsidP="0039664F">
      <w:pPr>
        <w:pStyle w:val="ad"/>
        <w:spacing w:before="0" w:beforeAutospacing="0" w:after="0" w:afterAutospacing="0"/>
        <w:ind w:firstLine="567"/>
        <w:jc w:val="both"/>
      </w:pPr>
    </w:p>
    <w:p w14:paraId="5EFAE390" w14:textId="38F05BD7" w:rsidR="00C0796D" w:rsidRPr="000028C3" w:rsidRDefault="003253A0" w:rsidP="00C0796D">
      <w:pPr>
        <w:pStyle w:val="ad"/>
        <w:spacing w:before="0" w:beforeAutospacing="0" w:after="0" w:afterAutospacing="0"/>
        <w:ind w:firstLine="567"/>
        <w:jc w:val="both"/>
      </w:pPr>
      <w:r w:rsidRPr="000028C3">
        <w:t xml:space="preserve">В частности, внутренний иной фактор поддержки применяется, если компания предоставила документы, исходя из которых можно с уверенностью полагать, что какой-либо стресс-фактор в течение трех месяцев будет снят или какой-либо балл будет значительно повышен, при этом такая корректировка балла или стресс-фактора не предусмотрена в соответствующем разделе методологии. </w:t>
      </w:r>
      <w:r w:rsidR="00C0796D" w:rsidRPr="000028C3">
        <w:t>Влияние внутреннего иного фактора поддержки может быть умеренным или сильным.</w:t>
      </w:r>
    </w:p>
    <w:p w14:paraId="6CD3BEED" w14:textId="77777777" w:rsidR="00C0796D" w:rsidRPr="000028C3" w:rsidRDefault="00C0796D" w:rsidP="00C0796D">
      <w:pPr>
        <w:jc w:val="both"/>
      </w:pPr>
    </w:p>
    <w:p w14:paraId="0FFA3703" w14:textId="1E19C0B8" w:rsidR="00A977E4" w:rsidRPr="000028C3" w:rsidRDefault="00A977E4">
      <w:pPr>
        <w:rPr>
          <w:highlight w:val="yellow"/>
        </w:rPr>
      </w:pPr>
      <w:r w:rsidRPr="000028C3">
        <w:rPr>
          <w:highlight w:val="yellow"/>
        </w:rPr>
        <w:br w:type="page"/>
      </w:r>
    </w:p>
    <w:p w14:paraId="0D1D186E" w14:textId="77777777" w:rsidR="008B1955" w:rsidRPr="000028C3" w:rsidRDefault="008B1955" w:rsidP="0039664F">
      <w:pPr>
        <w:pStyle w:val="2"/>
        <w:suppressAutoHyphens/>
        <w:spacing w:before="0" w:after="0"/>
        <w:ind w:hanging="9"/>
        <w:jc w:val="both"/>
        <w:rPr>
          <w:rFonts w:ascii="Times New Roman" w:hAnsi="Times New Roman" w:cs="Times New Roman"/>
          <w:i w:val="0"/>
          <w:lang w:eastAsia="ar-SA"/>
        </w:rPr>
      </w:pPr>
      <w:bookmarkStart w:id="101" w:name="_Toc39667640"/>
      <w:r w:rsidRPr="000028C3">
        <w:rPr>
          <w:rFonts w:ascii="Times New Roman" w:hAnsi="Times New Roman" w:cs="Times New Roman"/>
          <w:i w:val="0"/>
          <w:lang w:eastAsia="ar-SA"/>
        </w:rPr>
        <w:lastRenderedPageBreak/>
        <w:t>РАЗДЕЛ V. ВНЕШНИЕ СТРЕСС-ФАКТОРЫ</w:t>
      </w:r>
      <w:bookmarkEnd w:id="100"/>
      <w:r w:rsidR="00FF52B6" w:rsidRPr="000028C3">
        <w:rPr>
          <w:rFonts w:ascii="Times New Roman" w:hAnsi="Times New Roman" w:cs="Times New Roman"/>
          <w:i w:val="0"/>
          <w:lang w:eastAsia="ar-SA"/>
        </w:rPr>
        <w:t xml:space="preserve"> И ФАКТОРЫ ПОДДЕРЖКИ</w:t>
      </w:r>
      <w:bookmarkEnd w:id="101"/>
    </w:p>
    <w:p w14:paraId="303ED920" w14:textId="77777777" w:rsidR="0056230B" w:rsidRPr="000028C3" w:rsidRDefault="0056230B" w:rsidP="0039664F">
      <w:pPr>
        <w:rPr>
          <w:lang w:eastAsia="ar-SA"/>
        </w:rPr>
      </w:pPr>
    </w:p>
    <w:p w14:paraId="761C7E0F" w14:textId="7E62E577" w:rsidR="00907624" w:rsidRPr="000028C3" w:rsidRDefault="00907624" w:rsidP="0039664F">
      <w:pPr>
        <w:pStyle w:val="ad"/>
        <w:spacing w:before="0" w:beforeAutospacing="0" w:after="0" w:afterAutospacing="0"/>
        <w:ind w:firstLine="567"/>
        <w:jc w:val="both"/>
      </w:pPr>
      <w:r w:rsidRPr="000028C3">
        <w:t xml:space="preserve">Для учета повышенных внешних рисков либо, наоборот, высокой вероятности внешней поддержки компании или иных существенных аспектов деятельности компании, не учтенных в оценке самостоятельной кредитоспособности, предусмотрено выделение внешних </w:t>
      </w:r>
      <w:proofErr w:type="gramStart"/>
      <w:r w:rsidRPr="000028C3">
        <w:t>стресс-факторов</w:t>
      </w:r>
      <w:proofErr w:type="gramEnd"/>
      <w:r w:rsidRPr="000028C3">
        <w:t xml:space="preserve"> либо внешних факторов поддержки.</w:t>
      </w:r>
    </w:p>
    <w:p w14:paraId="3E1CF2B2" w14:textId="77777777" w:rsidR="00907624" w:rsidRPr="000028C3" w:rsidRDefault="00907624" w:rsidP="0039664F">
      <w:pPr>
        <w:jc w:val="both"/>
      </w:pPr>
    </w:p>
    <w:p w14:paraId="5471B5A6" w14:textId="1EBE054F" w:rsidR="00A977E4" w:rsidRPr="000028C3" w:rsidRDefault="00A977E4" w:rsidP="00A977E4">
      <w:pPr>
        <w:ind w:firstLine="567"/>
        <w:jc w:val="both"/>
        <w:rPr>
          <w:b/>
          <w:sz w:val="26"/>
          <w:szCs w:val="26"/>
        </w:rPr>
      </w:pPr>
      <w:r w:rsidRPr="000028C3">
        <w:rPr>
          <w:b/>
          <w:sz w:val="26"/>
          <w:szCs w:val="26"/>
        </w:rPr>
        <w:t>5.1. Внешние стресс-факторы</w:t>
      </w:r>
    </w:p>
    <w:p w14:paraId="06D26167" w14:textId="77777777" w:rsidR="008B1FE3" w:rsidRPr="000028C3" w:rsidRDefault="008B1FE3" w:rsidP="0039664F">
      <w:pPr>
        <w:jc w:val="both"/>
      </w:pPr>
    </w:p>
    <w:p w14:paraId="4FEF607E" w14:textId="77777777" w:rsidR="00C943C4" w:rsidRPr="000028C3" w:rsidRDefault="0060455A" w:rsidP="0039664F">
      <w:pPr>
        <w:jc w:val="both"/>
        <w:rPr>
          <w:b/>
          <w:szCs w:val="26"/>
        </w:rPr>
      </w:pPr>
      <w:r w:rsidRPr="000028C3">
        <w:rPr>
          <w:b/>
          <w:szCs w:val="26"/>
        </w:rPr>
        <w:t>С</w:t>
      </w:r>
      <w:r w:rsidR="00C943C4" w:rsidRPr="000028C3">
        <w:rPr>
          <w:b/>
          <w:szCs w:val="26"/>
        </w:rPr>
        <w:t>тресс-фактор за негативные действия со стороны собственников</w:t>
      </w:r>
    </w:p>
    <w:p w14:paraId="0C19803D" w14:textId="77777777" w:rsidR="006F39EA" w:rsidRPr="000028C3" w:rsidRDefault="006F39EA" w:rsidP="0039664F">
      <w:pPr>
        <w:pStyle w:val="ad"/>
        <w:spacing w:before="0" w:beforeAutospacing="0" w:after="0" w:afterAutospacing="0"/>
        <w:ind w:firstLine="567"/>
        <w:jc w:val="both"/>
      </w:pPr>
    </w:p>
    <w:p w14:paraId="2D55A4D5" w14:textId="4C088C67" w:rsidR="00C943C4" w:rsidRPr="000028C3" w:rsidRDefault="00C943C4" w:rsidP="0039664F">
      <w:pPr>
        <w:pStyle w:val="ad"/>
        <w:spacing w:before="0" w:beforeAutospacing="0" w:after="0" w:afterAutospacing="0"/>
        <w:ind w:firstLine="567"/>
        <w:jc w:val="both"/>
      </w:pPr>
      <w:r w:rsidRPr="000028C3">
        <w:t xml:space="preserve">В случае если </w:t>
      </w:r>
      <w:r w:rsidR="00C472D0" w:rsidRPr="000028C3">
        <w:t>Агентство</w:t>
      </w:r>
      <w:r w:rsidRPr="000028C3">
        <w:t xml:space="preserve"> оценивает </w:t>
      </w:r>
      <w:r w:rsidR="00C472D0" w:rsidRPr="000028C3">
        <w:t xml:space="preserve">как высокую </w:t>
      </w:r>
      <w:r w:rsidRPr="000028C3">
        <w:t>вероятность вывода</w:t>
      </w:r>
      <w:r w:rsidR="00C472D0" w:rsidRPr="000028C3">
        <w:t xml:space="preserve"> </w:t>
      </w:r>
      <w:r w:rsidRPr="000028C3">
        <w:t xml:space="preserve">активов из компании </w:t>
      </w:r>
      <w:r w:rsidR="002955F4" w:rsidRPr="008B6610">
        <w:t xml:space="preserve">и (или) </w:t>
      </w:r>
      <w:r w:rsidR="00C472D0" w:rsidRPr="000028C3">
        <w:t>ухудшения ее</w:t>
      </w:r>
      <w:r w:rsidRPr="000028C3">
        <w:t xml:space="preserve"> финансового состояния / роста регулятивных рисков для компании по причине проблем (финансового либо иного характера) собственников </w:t>
      </w:r>
      <w:r w:rsidR="002955F4" w:rsidRPr="008B6610">
        <w:t xml:space="preserve">и (или) </w:t>
      </w:r>
      <w:r w:rsidRPr="000028C3">
        <w:t>негативной репутации менеджмента</w:t>
      </w:r>
      <w:r w:rsidR="00C472D0" w:rsidRPr="000028C3">
        <w:t xml:space="preserve"> </w:t>
      </w:r>
      <w:r w:rsidRPr="000028C3">
        <w:t>/</w:t>
      </w:r>
      <w:r w:rsidR="00C472D0" w:rsidRPr="000028C3">
        <w:t xml:space="preserve"> </w:t>
      </w:r>
      <w:r w:rsidRPr="000028C3">
        <w:t>собственников либо иных аспектов, связанных с бенефициарами /</w:t>
      </w:r>
      <w:r w:rsidR="00C472D0" w:rsidRPr="000028C3">
        <w:t xml:space="preserve"> </w:t>
      </w:r>
      <w:r w:rsidRPr="000028C3">
        <w:t>их бизнесом, стресс-фактор оказывает умеренное влияние на оценку кредитоспособности.</w:t>
      </w:r>
    </w:p>
    <w:p w14:paraId="49A137CD" w14:textId="77777777" w:rsidR="00C472D0" w:rsidRPr="000028C3" w:rsidRDefault="00C472D0" w:rsidP="0039664F">
      <w:pPr>
        <w:contextualSpacing/>
        <w:jc w:val="both"/>
      </w:pPr>
    </w:p>
    <w:p w14:paraId="48E684B2" w14:textId="7257E62D" w:rsidR="00C943C4" w:rsidRPr="000028C3" w:rsidRDefault="00C943C4" w:rsidP="0039664F">
      <w:pPr>
        <w:pStyle w:val="ad"/>
        <w:spacing w:before="0" w:beforeAutospacing="0" w:after="0" w:afterAutospacing="0"/>
        <w:ind w:firstLine="567"/>
        <w:jc w:val="both"/>
      </w:pPr>
      <w:r w:rsidRPr="000028C3">
        <w:t xml:space="preserve">В случае если </w:t>
      </w:r>
      <w:r w:rsidR="00202970" w:rsidRPr="000028C3">
        <w:t>А</w:t>
      </w:r>
      <w:r w:rsidRPr="000028C3">
        <w:t xml:space="preserve">гентство оценивает </w:t>
      </w:r>
      <w:r w:rsidR="00202970" w:rsidRPr="000028C3">
        <w:t xml:space="preserve">как крайне высокую </w:t>
      </w:r>
      <w:r w:rsidRPr="000028C3">
        <w:t xml:space="preserve">вероятность вывода активов из компании </w:t>
      </w:r>
      <w:r w:rsidR="002955F4" w:rsidRPr="008B6610">
        <w:t xml:space="preserve">и (или) </w:t>
      </w:r>
      <w:r w:rsidRPr="000028C3">
        <w:t>ухудшения е</w:t>
      </w:r>
      <w:r w:rsidR="00202970" w:rsidRPr="000028C3">
        <w:t>е</w:t>
      </w:r>
      <w:r w:rsidRPr="000028C3">
        <w:t xml:space="preserve"> финансового состояния / роста регулятивных рисков для компании по причине проблем (финансового либо иного характера) собственников </w:t>
      </w:r>
      <w:r w:rsidR="002955F4" w:rsidRPr="008B6610">
        <w:t xml:space="preserve">и (или) </w:t>
      </w:r>
      <w:r w:rsidRPr="000028C3">
        <w:t>негативной репутации менеджмента</w:t>
      </w:r>
      <w:r w:rsidR="00202970" w:rsidRPr="000028C3">
        <w:t xml:space="preserve"> </w:t>
      </w:r>
      <w:r w:rsidRPr="000028C3">
        <w:t>/</w:t>
      </w:r>
      <w:r w:rsidR="00202970" w:rsidRPr="000028C3">
        <w:t xml:space="preserve"> </w:t>
      </w:r>
      <w:r w:rsidRPr="000028C3">
        <w:t>собственников либо иных аспектов, связанных с бенефициарами /</w:t>
      </w:r>
      <w:r w:rsidR="00202970" w:rsidRPr="000028C3">
        <w:t xml:space="preserve"> </w:t>
      </w:r>
      <w:r w:rsidRPr="000028C3">
        <w:t>их бизнесом, стресс-фактор оказывает сильное влияние на оценку кредитоспособности.</w:t>
      </w:r>
    </w:p>
    <w:p w14:paraId="4E7D769B" w14:textId="77777777" w:rsidR="00C943C4" w:rsidRPr="000028C3" w:rsidRDefault="00C943C4" w:rsidP="0039664F">
      <w:pPr>
        <w:jc w:val="both"/>
      </w:pPr>
    </w:p>
    <w:p w14:paraId="3E3BFF43" w14:textId="77777777" w:rsidR="00C943C4" w:rsidRPr="000028C3" w:rsidRDefault="0060455A" w:rsidP="0039664F">
      <w:pPr>
        <w:jc w:val="both"/>
        <w:rPr>
          <w:b/>
          <w:szCs w:val="26"/>
        </w:rPr>
      </w:pPr>
      <w:r w:rsidRPr="000028C3">
        <w:rPr>
          <w:b/>
          <w:szCs w:val="26"/>
        </w:rPr>
        <w:t>С</w:t>
      </w:r>
      <w:r w:rsidR="00C943C4" w:rsidRPr="000028C3">
        <w:rPr>
          <w:b/>
          <w:szCs w:val="26"/>
        </w:rPr>
        <w:t>тресс-фактор рисков регулирования и надзора</w:t>
      </w:r>
    </w:p>
    <w:p w14:paraId="01EBAC41" w14:textId="77777777" w:rsidR="006F39EA" w:rsidRPr="000028C3" w:rsidRDefault="006F39EA" w:rsidP="0039664F">
      <w:pPr>
        <w:pStyle w:val="ad"/>
        <w:spacing w:before="0" w:beforeAutospacing="0" w:after="0" w:afterAutospacing="0"/>
        <w:ind w:firstLine="567"/>
        <w:jc w:val="both"/>
      </w:pPr>
    </w:p>
    <w:p w14:paraId="633FA34C" w14:textId="2597EDBE" w:rsidR="00C0796D" w:rsidRPr="000028C3" w:rsidRDefault="00C0796D" w:rsidP="00C0796D">
      <w:pPr>
        <w:pStyle w:val="ad"/>
        <w:spacing w:before="0" w:beforeAutospacing="0" w:after="0" w:afterAutospacing="0"/>
        <w:ind w:firstLine="567"/>
        <w:jc w:val="both"/>
      </w:pPr>
      <w:r w:rsidRPr="000028C3">
        <w:t>Умеренный стресс-фактор выделяется, если, по мнению Агентства, компания окажется не в состоянии соответствовать планируемым изменениям в законодательных актах (положениях, инструкциях и так далее) к моменту вступления требований в силу. При этом возможность и готовность компании привести деятельность в соответствие с новыми требованиями Агентством оценивается как невысокая.</w:t>
      </w:r>
    </w:p>
    <w:p w14:paraId="33786A87" w14:textId="77777777" w:rsidR="00C0796D" w:rsidRPr="000028C3" w:rsidRDefault="00C0796D" w:rsidP="0039664F">
      <w:pPr>
        <w:pStyle w:val="ad"/>
        <w:spacing w:before="0" w:beforeAutospacing="0" w:after="0" w:afterAutospacing="0"/>
        <w:ind w:firstLine="567"/>
        <w:jc w:val="both"/>
      </w:pPr>
    </w:p>
    <w:p w14:paraId="3F281D94" w14:textId="511ADDB6" w:rsidR="00C943C4" w:rsidRPr="000028C3" w:rsidRDefault="00C0796D" w:rsidP="00C0796D">
      <w:pPr>
        <w:pStyle w:val="ad"/>
        <w:spacing w:before="0" w:beforeAutospacing="0" w:after="0" w:afterAutospacing="0"/>
        <w:ind w:firstLine="567"/>
        <w:jc w:val="both"/>
      </w:pPr>
      <w:r w:rsidRPr="000028C3">
        <w:t xml:space="preserve">Сильный стресс-фактор выделяется, если, мнению </w:t>
      </w:r>
      <w:r w:rsidR="008158A6" w:rsidRPr="000028C3">
        <w:t>А</w:t>
      </w:r>
      <w:r w:rsidRPr="000028C3">
        <w:t>гентства, компания окажется не в состоянии соответствовать планируемым изменениям в законодательных актах (положениях, инструкциях и так далее) к моменту вступления требований в силу. При этом возможность и готовность компании привести деятельность в соответствие с новыми требованиями Агентством оценивается как низкая.</w:t>
      </w:r>
    </w:p>
    <w:p w14:paraId="010379D5" w14:textId="77777777" w:rsidR="00811691" w:rsidRPr="000028C3" w:rsidRDefault="00811691" w:rsidP="0039664F">
      <w:pPr>
        <w:jc w:val="both"/>
        <w:rPr>
          <w:b/>
          <w:sz w:val="26"/>
          <w:szCs w:val="26"/>
        </w:rPr>
      </w:pPr>
    </w:p>
    <w:p w14:paraId="7D65834B" w14:textId="77777777" w:rsidR="00C943C4" w:rsidRPr="000028C3" w:rsidRDefault="00C943C4" w:rsidP="0039664F">
      <w:pPr>
        <w:jc w:val="both"/>
        <w:rPr>
          <w:b/>
          <w:szCs w:val="26"/>
        </w:rPr>
      </w:pPr>
      <w:r w:rsidRPr="000028C3">
        <w:rPr>
          <w:b/>
          <w:szCs w:val="26"/>
        </w:rPr>
        <w:t>Внешний иной стресс-фактор</w:t>
      </w:r>
    </w:p>
    <w:p w14:paraId="1C67CCFF" w14:textId="77777777" w:rsidR="006F39EA" w:rsidRPr="000028C3" w:rsidRDefault="006F39EA" w:rsidP="0039664F">
      <w:pPr>
        <w:pStyle w:val="ad"/>
        <w:spacing w:before="0" w:beforeAutospacing="0" w:after="0" w:afterAutospacing="0"/>
        <w:ind w:firstLine="567"/>
        <w:jc w:val="both"/>
      </w:pPr>
      <w:bookmarkStart w:id="102" w:name="_Toc447270457"/>
    </w:p>
    <w:p w14:paraId="77CC3123" w14:textId="1A406C1A" w:rsidR="00C0796D" w:rsidRPr="000028C3" w:rsidRDefault="002A39A9" w:rsidP="00C0796D">
      <w:pPr>
        <w:pStyle w:val="ad"/>
        <w:spacing w:before="0" w:beforeAutospacing="0" w:after="0" w:afterAutospacing="0"/>
        <w:ind w:firstLine="567"/>
        <w:jc w:val="both"/>
        <w:rPr>
          <w:highlight w:val="yellow"/>
        </w:rPr>
      </w:pPr>
      <w:r w:rsidRPr="000028C3">
        <w:t xml:space="preserve">Внешние риски, которые не были учтены в рейтинговой модели в связи с особенностями объекта рейтинга либо кратковременными факторами, отражаются во внешнем ином стресс-факторе. Под кратковременными факторами понимается увеличение рейтингового числа, которое, по мнению членов рейтингового комитета, носит временный характер и в ближайший квартал рейтинговое число существенно сократится. Таким образом, под кратковременным фактором понимается тот, действие которого с высокой вероятностью прекратится в течение трех месяцев на фоне ожидания кредитным рейтинговым агентством «Эксперт РА» негативных изменений в деятельности объекта </w:t>
      </w:r>
      <w:r w:rsidRPr="000028C3">
        <w:lastRenderedPageBreak/>
        <w:t>рейтинга, связанных с внешними обстоятельствами</w:t>
      </w:r>
      <w:r w:rsidR="00C0796D" w:rsidRPr="000028C3">
        <w:t xml:space="preserve"> </w:t>
      </w:r>
      <w:r w:rsidR="00C0796D" w:rsidRPr="000028C3">
        <w:rPr>
          <w:bCs/>
        </w:rPr>
        <w:t>(например, риски, связанные с предполагаемой сменой собственников, включая в том числе отсутствие у Агентства достоверной информации о новых владельцах)</w:t>
      </w:r>
      <w:r w:rsidRPr="000028C3">
        <w:t>. Влияние внешнего иного стресс-фактора может быть умеренным или сильным.</w:t>
      </w:r>
    </w:p>
    <w:p w14:paraId="5CE694AB" w14:textId="77777777" w:rsidR="00A977E4" w:rsidRPr="000028C3" w:rsidRDefault="00A977E4" w:rsidP="0039664F">
      <w:pPr>
        <w:jc w:val="both"/>
        <w:rPr>
          <w:highlight w:val="yellow"/>
        </w:rPr>
      </w:pPr>
    </w:p>
    <w:p w14:paraId="7F424FAB" w14:textId="5BEBD386" w:rsidR="00A977E4" w:rsidRPr="000028C3" w:rsidRDefault="00A977E4" w:rsidP="00A977E4">
      <w:pPr>
        <w:ind w:firstLine="567"/>
        <w:jc w:val="both"/>
        <w:rPr>
          <w:b/>
          <w:sz w:val="26"/>
          <w:szCs w:val="26"/>
        </w:rPr>
      </w:pPr>
      <w:r w:rsidRPr="000028C3">
        <w:rPr>
          <w:b/>
          <w:sz w:val="26"/>
          <w:szCs w:val="26"/>
        </w:rPr>
        <w:t>5.2. Внешние факторы поддержки</w:t>
      </w:r>
    </w:p>
    <w:p w14:paraId="5B6751FF" w14:textId="77777777" w:rsidR="00980F73" w:rsidRPr="000028C3" w:rsidRDefault="00980F73" w:rsidP="0039664F">
      <w:pPr>
        <w:jc w:val="both"/>
        <w:rPr>
          <w:b/>
          <w:i/>
        </w:rPr>
      </w:pPr>
    </w:p>
    <w:p w14:paraId="25C177EF" w14:textId="77777777" w:rsidR="00980F73" w:rsidRPr="000028C3" w:rsidRDefault="00A30D3C" w:rsidP="0039664F">
      <w:pPr>
        <w:jc w:val="both"/>
        <w:rPr>
          <w:b/>
          <w:szCs w:val="26"/>
        </w:rPr>
      </w:pPr>
      <w:r w:rsidRPr="000028C3">
        <w:rPr>
          <w:b/>
          <w:szCs w:val="26"/>
        </w:rPr>
        <w:t>Ф</w:t>
      </w:r>
      <w:r w:rsidR="00980F73" w:rsidRPr="000028C3">
        <w:rPr>
          <w:b/>
          <w:szCs w:val="26"/>
        </w:rPr>
        <w:t>актор поддержки со стороны собственников</w:t>
      </w:r>
    </w:p>
    <w:p w14:paraId="0A22CC91" w14:textId="77777777" w:rsidR="00525547" w:rsidRPr="000028C3" w:rsidRDefault="00525547" w:rsidP="0039664F">
      <w:pPr>
        <w:jc w:val="both"/>
      </w:pPr>
    </w:p>
    <w:p w14:paraId="740E87C0" w14:textId="77777777" w:rsidR="004732CC" w:rsidRPr="000028C3" w:rsidRDefault="004732CC" w:rsidP="0039664F">
      <w:pPr>
        <w:pStyle w:val="ad"/>
        <w:spacing w:before="0" w:beforeAutospacing="0" w:after="0" w:afterAutospacing="0"/>
        <w:ind w:firstLine="567"/>
        <w:jc w:val="both"/>
        <w:rPr>
          <w:bCs/>
        </w:rPr>
      </w:pPr>
      <w:r w:rsidRPr="000028C3">
        <w:rPr>
          <w:bCs/>
        </w:rPr>
        <w:t>Для оценки вероятности поддержки объекта рейтинга со стороны собственников предусмотрено выделение внешнего фактора поддержки. Влияние фактора поддержки может быть умеренным и сильным.</w:t>
      </w:r>
    </w:p>
    <w:p w14:paraId="6C7ACFFA" w14:textId="77777777" w:rsidR="004732CC" w:rsidRPr="000028C3" w:rsidRDefault="004732CC" w:rsidP="0039664F">
      <w:pPr>
        <w:jc w:val="both"/>
        <w:rPr>
          <w:bCs/>
        </w:rPr>
      </w:pPr>
    </w:p>
    <w:p w14:paraId="3E899425" w14:textId="77777777" w:rsidR="004732CC" w:rsidRPr="000028C3" w:rsidRDefault="004732CC" w:rsidP="0039664F">
      <w:pPr>
        <w:ind w:firstLine="360"/>
        <w:jc w:val="both"/>
        <w:rPr>
          <w:bCs/>
        </w:rPr>
      </w:pPr>
      <w:r w:rsidRPr="000028C3">
        <w:rPr>
          <w:bCs/>
        </w:rPr>
        <w:t>При выделении фактора поддержки со стороны собственников учитываются следующие параметры:</w:t>
      </w:r>
    </w:p>
    <w:p w14:paraId="3F051FB1" w14:textId="77777777" w:rsidR="004732CC" w:rsidRPr="000028C3" w:rsidRDefault="004732CC" w:rsidP="0098669D">
      <w:pPr>
        <w:numPr>
          <w:ilvl w:val="0"/>
          <w:numId w:val="33"/>
        </w:numPr>
        <w:contextualSpacing/>
        <w:jc w:val="both"/>
      </w:pPr>
      <w:r w:rsidRPr="000028C3">
        <w:t>Условный рейтинговый класс связанной с объектом рейтинга структуры, которая может оказать поддержку. Фактор поддержки может выделяться, только если условный рейтинговый класс такой структуры выше рейтинга самостоятельной кредитоспособности объекта рейтинга. Для собственников – физических лиц во внимание принимаются документально подтвержденные активы вне объекта рейтинга и их ликвидность.</w:t>
      </w:r>
    </w:p>
    <w:p w14:paraId="429D9162" w14:textId="77777777" w:rsidR="004732CC" w:rsidRPr="000028C3" w:rsidRDefault="004732CC" w:rsidP="0098669D">
      <w:pPr>
        <w:numPr>
          <w:ilvl w:val="0"/>
          <w:numId w:val="33"/>
        </w:numPr>
        <w:contextualSpacing/>
        <w:jc w:val="both"/>
      </w:pPr>
      <w:r w:rsidRPr="000028C3">
        <w:t>Значимость объекта рейтинга как актива для поддерживающей структуры / физического лица. Для оценки такой значимости кредитное рейтинговое агентство учитывает долю поддерживающей структуры / физического лица в капитале объекта рейтинга, предоставление писем о готовности оказать финансовую поддержку, наличие поручительств по обязательствам объекта рейтинга, взаимозависимость бизнесов и иные факторы.</w:t>
      </w:r>
    </w:p>
    <w:p w14:paraId="31DF2C67" w14:textId="77777777" w:rsidR="004732CC" w:rsidRPr="000028C3" w:rsidRDefault="004732CC" w:rsidP="0098669D">
      <w:pPr>
        <w:numPr>
          <w:ilvl w:val="0"/>
          <w:numId w:val="33"/>
        </w:numPr>
        <w:contextualSpacing/>
        <w:jc w:val="both"/>
      </w:pPr>
      <w:r w:rsidRPr="000028C3">
        <w:t>Потенциальная потребность объекта рейтинга в финансовой помощи и наличие необходимых для этого ресурсов у поддерживающей структуры / физического лица. Кредитное рейтинговое агентство выделяет две ситуации:</w:t>
      </w:r>
    </w:p>
    <w:p w14:paraId="59B7300D" w14:textId="77777777" w:rsidR="004732CC" w:rsidRPr="000028C3" w:rsidRDefault="004732CC" w:rsidP="0098669D">
      <w:pPr>
        <w:numPr>
          <w:ilvl w:val="0"/>
          <w:numId w:val="34"/>
        </w:numPr>
        <w:ind w:left="1276" w:hanging="283"/>
        <w:jc w:val="both"/>
      </w:pPr>
      <w:r w:rsidRPr="000028C3">
        <w:t>в данный момент объект рейтинга нуждается в финансовой помощи. В этом случае необходимым условием выделения фактора поддержки является наличие у поддерживающей структуры / физического лица достаточного объема ликвидных активов, которые могут быть своевременно переданы на баланс объекта рейтинга для покрытия текущей потребности, а также способность и готовность поддерживающей структуры / физического лица в дальнейшем оказывать такую поддержку;</w:t>
      </w:r>
    </w:p>
    <w:p w14:paraId="63BB4B3F" w14:textId="77777777" w:rsidR="004732CC" w:rsidRPr="000028C3" w:rsidRDefault="004732CC" w:rsidP="0098669D">
      <w:pPr>
        <w:numPr>
          <w:ilvl w:val="0"/>
          <w:numId w:val="34"/>
        </w:numPr>
        <w:ind w:left="1276" w:hanging="283"/>
        <w:jc w:val="both"/>
      </w:pPr>
      <w:r w:rsidRPr="000028C3">
        <w:t>в настоящее время объект рейтинга не нуждается в финансовой помощи; Агентство оценивает вероятность ее оказания в будущем, в случае реализации негативного сценария. В этом случае во внимание принимается как текущее наличие у поддерживающей структуры / физического лица соответствующих активов, так и способность их генерировать.</w:t>
      </w:r>
    </w:p>
    <w:p w14:paraId="234298A3" w14:textId="77777777" w:rsidR="004732CC" w:rsidRPr="000028C3" w:rsidRDefault="004732CC" w:rsidP="0039664F">
      <w:pPr>
        <w:jc w:val="both"/>
      </w:pPr>
    </w:p>
    <w:p w14:paraId="4CE67C81" w14:textId="55301060" w:rsidR="004732CC" w:rsidRPr="000028C3" w:rsidRDefault="004732CC" w:rsidP="0039664F">
      <w:pPr>
        <w:ind w:firstLine="360"/>
        <w:jc w:val="both"/>
      </w:pPr>
      <w:r w:rsidRPr="000028C3">
        <w:t>Сильный фактор поддержки может выделяться при очень высокой значимости объекта рейтинга для поддерживающей структуры и наличии у нее кредитного рейтинга не ниже уровня ruBBB+ в соответствии со шка</w:t>
      </w:r>
      <w:r w:rsidR="006E7896" w:rsidRPr="000028C3">
        <w:t>лой «Эксперт РА»</w:t>
      </w:r>
      <w:r w:rsidRPr="000028C3">
        <w:t>.</w:t>
      </w:r>
    </w:p>
    <w:p w14:paraId="7BCCCA59" w14:textId="77777777" w:rsidR="0098669D" w:rsidRPr="000028C3" w:rsidRDefault="0098669D" w:rsidP="0039664F">
      <w:pPr>
        <w:ind w:firstLine="360"/>
        <w:jc w:val="both"/>
      </w:pPr>
    </w:p>
    <w:p w14:paraId="41435228" w14:textId="562F9DFD" w:rsidR="004732CC" w:rsidRPr="000028C3" w:rsidRDefault="004732CC" w:rsidP="0039664F">
      <w:pPr>
        <w:ind w:firstLine="360"/>
        <w:jc w:val="both"/>
      </w:pPr>
      <w:r w:rsidRPr="000028C3">
        <w:t>При выставлении фактора поддержки за собственника необходимо учитывать, что рейтинг кредитоспособности объекта рейтинга не может быть выше кредитного рейтинга / условного рейтингового класса поддерживающей структуры.</w:t>
      </w:r>
    </w:p>
    <w:p w14:paraId="4EB39495" w14:textId="77777777" w:rsidR="004732CC" w:rsidRPr="000028C3" w:rsidRDefault="004732CC" w:rsidP="0039664F">
      <w:pPr>
        <w:jc w:val="both"/>
        <w:rPr>
          <w:highlight w:val="yellow"/>
        </w:rPr>
      </w:pPr>
    </w:p>
    <w:p w14:paraId="5A57FFFA" w14:textId="188275A2" w:rsidR="00980F73" w:rsidRPr="000028C3" w:rsidRDefault="00A30D3C" w:rsidP="0039664F">
      <w:pPr>
        <w:jc w:val="both"/>
        <w:rPr>
          <w:b/>
          <w:szCs w:val="26"/>
        </w:rPr>
      </w:pPr>
      <w:r w:rsidRPr="000028C3">
        <w:rPr>
          <w:b/>
          <w:szCs w:val="26"/>
        </w:rPr>
        <w:t>Ф</w:t>
      </w:r>
      <w:r w:rsidR="00980F73" w:rsidRPr="000028C3">
        <w:rPr>
          <w:b/>
          <w:szCs w:val="26"/>
        </w:rPr>
        <w:t>актор поддержки со стороны органов власти</w:t>
      </w:r>
    </w:p>
    <w:p w14:paraId="5FE791BB" w14:textId="77777777" w:rsidR="00EB0E6D" w:rsidRPr="000028C3" w:rsidRDefault="00EB0E6D" w:rsidP="0039664F">
      <w:pPr>
        <w:jc w:val="both"/>
        <w:rPr>
          <w:b/>
          <w:sz w:val="26"/>
          <w:szCs w:val="26"/>
        </w:rPr>
      </w:pPr>
    </w:p>
    <w:p w14:paraId="7D041094" w14:textId="77777777" w:rsidR="00980F73" w:rsidRPr="000028C3" w:rsidRDefault="00980F73" w:rsidP="0039664F">
      <w:pPr>
        <w:pStyle w:val="ad"/>
        <w:spacing w:before="0" w:beforeAutospacing="0" w:after="0" w:afterAutospacing="0"/>
        <w:ind w:firstLine="567"/>
        <w:jc w:val="both"/>
      </w:pPr>
      <w:r w:rsidRPr="000028C3">
        <w:t xml:space="preserve">Для оценки вероятности поддержки </w:t>
      </w:r>
      <w:r w:rsidR="00D80D0B" w:rsidRPr="000028C3">
        <w:t>компании</w:t>
      </w:r>
      <w:r w:rsidRPr="000028C3">
        <w:t xml:space="preserve"> со стороны органов федеральной, региональной или местной (муниципальной) власти предусмотрено выделение внешнего фактора поддержки со стороны органов власти. Влияние фактора поддержки может быть умеренным или сильным.</w:t>
      </w:r>
    </w:p>
    <w:p w14:paraId="1FFCFA26" w14:textId="2A3291C1" w:rsidR="00EB48BE" w:rsidRPr="000028C3" w:rsidRDefault="00EB48BE" w:rsidP="0098669D">
      <w:pPr>
        <w:numPr>
          <w:ilvl w:val="0"/>
          <w:numId w:val="21"/>
        </w:numPr>
        <w:suppressAutoHyphens/>
        <w:jc w:val="both"/>
      </w:pPr>
      <w:r w:rsidRPr="000028C3">
        <w:t xml:space="preserve">В случае если компания имеет хорошие связи с органами власти / регуляторами, которые оказывают умеренное положительное влияние на деятельность компании и перспективы развития, </w:t>
      </w:r>
      <w:r w:rsidR="002955F4" w:rsidRPr="008B6610">
        <w:t xml:space="preserve">и (или) </w:t>
      </w:r>
      <w:r w:rsidRPr="000028C3">
        <w:t>компания может рассчитывать на административную поддержку федеральных / региональных органов власти, выставляется умеренный фактор поддержки.</w:t>
      </w:r>
    </w:p>
    <w:p w14:paraId="47154B5C" w14:textId="37EACCF4" w:rsidR="00EB48BE" w:rsidRPr="000028C3" w:rsidRDefault="00EB48BE" w:rsidP="0098669D">
      <w:pPr>
        <w:numPr>
          <w:ilvl w:val="0"/>
          <w:numId w:val="21"/>
        </w:numPr>
        <w:suppressAutoHyphens/>
        <w:jc w:val="both"/>
      </w:pPr>
      <w:r w:rsidRPr="000028C3">
        <w:t xml:space="preserve">В случае если компания имеет хорошие связи с органами власти / регуляторами, которые оказывают сильное положительное влияние на деятельность компании и перспективы развития, </w:t>
      </w:r>
      <w:r w:rsidR="002955F4" w:rsidRPr="008B6610">
        <w:t xml:space="preserve">и (или) </w:t>
      </w:r>
      <w:r w:rsidRPr="000028C3">
        <w:t>компания может рассчитывать на административную и финансовую поддержку федеральных / региональных органов власти, выставляется сильный фактор поддержки.</w:t>
      </w:r>
    </w:p>
    <w:p w14:paraId="16F8F42C" w14:textId="77777777" w:rsidR="00D80D0B" w:rsidRPr="000028C3" w:rsidRDefault="00D80D0B" w:rsidP="0039664F">
      <w:pPr>
        <w:jc w:val="both"/>
        <w:rPr>
          <w:highlight w:val="yellow"/>
        </w:rPr>
      </w:pPr>
    </w:p>
    <w:p w14:paraId="67BBF71A" w14:textId="77777777" w:rsidR="00980F73" w:rsidRPr="000028C3" w:rsidRDefault="00980F73" w:rsidP="0039664F">
      <w:pPr>
        <w:pStyle w:val="ad"/>
        <w:spacing w:before="0" w:beforeAutospacing="0" w:after="0" w:afterAutospacing="0"/>
        <w:ind w:firstLine="567"/>
        <w:jc w:val="both"/>
      </w:pPr>
      <w:r w:rsidRPr="000028C3">
        <w:t>При оценке влияния фактора поддержки со стороны органов власти может быть принято во внимания следующее:</w:t>
      </w:r>
    </w:p>
    <w:p w14:paraId="31038659" w14:textId="77777777" w:rsidR="00980F73" w:rsidRPr="000028C3" w:rsidRDefault="00980F73" w:rsidP="0098669D">
      <w:pPr>
        <w:numPr>
          <w:ilvl w:val="0"/>
          <w:numId w:val="7"/>
        </w:numPr>
        <w:jc w:val="both"/>
      </w:pPr>
      <w:r w:rsidRPr="000028C3">
        <w:t xml:space="preserve">Имелись прецеденты оказания помощи </w:t>
      </w:r>
      <w:r w:rsidR="00D80D0B" w:rsidRPr="000028C3">
        <w:t>компании</w:t>
      </w:r>
      <w:r w:rsidRPr="000028C3">
        <w:t xml:space="preserve"> со стороны федеральных</w:t>
      </w:r>
      <w:r w:rsidR="006B31A8" w:rsidRPr="000028C3">
        <w:t xml:space="preserve"> </w:t>
      </w:r>
      <w:r w:rsidRPr="000028C3">
        <w:t>/</w:t>
      </w:r>
      <w:r w:rsidR="006B31A8" w:rsidRPr="000028C3">
        <w:t xml:space="preserve"> региональных органов власти.</w:t>
      </w:r>
    </w:p>
    <w:p w14:paraId="6F45DF5E" w14:textId="77777777" w:rsidR="00980F73" w:rsidRPr="000028C3" w:rsidRDefault="006B31A8" w:rsidP="0098669D">
      <w:pPr>
        <w:numPr>
          <w:ilvl w:val="0"/>
          <w:numId w:val="7"/>
        </w:numPr>
        <w:suppressAutoHyphens/>
        <w:jc w:val="both"/>
      </w:pPr>
      <w:r w:rsidRPr="000028C3">
        <w:t xml:space="preserve">Участие в капитале компании государственных структур и структур, обладающих значимым политическим влиянием. </w:t>
      </w:r>
    </w:p>
    <w:p w14:paraId="66970D96" w14:textId="77777777" w:rsidR="006B31A8" w:rsidRPr="000028C3" w:rsidRDefault="006B31A8" w:rsidP="0039664F">
      <w:pPr>
        <w:jc w:val="both"/>
        <w:rPr>
          <w:b/>
          <w:i/>
          <w:highlight w:val="yellow"/>
        </w:rPr>
      </w:pPr>
    </w:p>
    <w:p w14:paraId="4BF117D2" w14:textId="77777777" w:rsidR="00980F73" w:rsidRPr="000028C3" w:rsidRDefault="00980F73" w:rsidP="0039664F">
      <w:pPr>
        <w:jc w:val="both"/>
        <w:rPr>
          <w:b/>
          <w:szCs w:val="26"/>
        </w:rPr>
      </w:pPr>
      <w:r w:rsidRPr="000028C3">
        <w:rPr>
          <w:b/>
          <w:szCs w:val="26"/>
        </w:rPr>
        <w:t>Внешний иной фактор поддержки</w:t>
      </w:r>
    </w:p>
    <w:p w14:paraId="773DD345" w14:textId="77777777" w:rsidR="0098669D" w:rsidRPr="000028C3" w:rsidRDefault="0098669D" w:rsidP="0039664F">
      <w:pPr>
        <w:pStyle w:val="ad"/>
        <w:spacing w:before="0" w:beforeAutospacing="0" w:after="0" w:afterAutospacing="0"/>
        <w:ind w:firstLine="567"/>
        <w:jc w:val="both"/>
      </w:pPr>
    </w:p>
    <w:p w14:paraId="0CD09FE6" w14:textId="77777777" w:rsidR="0098669D" w:rsidRPr="000028C3" w:rsidRDefault="0098669D" w:rsidP="0098669D">
      <w:pPr>
        <w:pStyle w:val="ad"/>
        <w:spacing w:before="0" w:beforeAutospacing="0" w:after="0" w:afterAutospacing="0"/>
        <w:ind w:firstLine="567"/>
        <w:jc w:val="both"/>
      </w:pPr>
      <w:r w:rsidRPr="000028C3">
        <w:t xml:space="preserve">Дополнительные внешние факторы поддержки, которые не были учтены в рейтинговой модели в связи с особенностями объекта рейтинга либо кратковременными факторами, отражаются во внешнем ином факторе поддержки. Влияние внешнего иного фактора поддержки может быть умеренным или сильным. </w:t>
      </w:r>
    </w:p>
    <w:p w14:paraId="3EED6A3A" w14:textId="08F37C86" w:rsidR="0098669D" w:rsidRPr="000028C3" w:rsidRDefault="003253A0" w:rsidP="0098669D">
      <w:pPr>
        <w:pStyle w:val="ad"/>
        <w:spacing w:before="0" w:beforeAutospacing="0" w:after="0" w:afterAutospacing="0"/>
        <w:ind w:firstLine="567"/>
        <w:jc w:val="both"/>
        <w:rPr>
          <w:highlight w:val="yellow"/>
        </w:rPr>
      </w:pPr>
      <w:r w:rsidRPr="000028C3">
        <w:t>Под кратковременными факторами понимается текущее уменьшение рейтингового числа, которое, по мнению членов рейтингового комитета, носит временный характер и в ближайший квартал рейтинговое число существенно вырастет. Таким образом, под кратковременным фактором понимается тот, действие которого, по мнению Агентства, с высокой вероятностью прекратится в течение трех месяцев ввиду позитивных изменений в деятельности объекта рейтинга, связанных с внешними по отношению к нему факторами. В частности, иной фактор поддержки применяется, если объект рейтинга предоставил информацию, исходя из которой можно с уверенностью полагать, что какой-либо стресс-фактор в течение трех месяцев будет снят или какой-либо балл будет значительно повышен; при этом такая корректировка балла или стресс-фактора сейчас не может быть проведена в рамках соответствующего раздела методологии, поскольку не предусмотрена им.</w:t>
      </w:r>
    </w:p>
    <w:p w14:paraId="6B17C2B8" w14:textId="77777777" w:rsidR="00B65F15" w:rsidRPr="000028C3" w:rsidRDefault="00D80D0B" w:rsidP="0039664F">
      <w:pPr>
        <w:pStyle w:val="2"/>
        <w:spacing w:before="0" w:after="0"/>
        <w:jc w:val="both"/>
        <w:rPr>
          <w:rFonts w:ascii="Times New Roman" w:hAnsi="Times New Roman" w:cs="Times New Roman"/>
          <w:highlight w:val="yellow"/>
        </w:rPr>
      </w:pPr>
      <w:r w:rsidRPr="000028C3">
        <w:rPr>
          <w:rFonts w:ascii="Times New Roman" w:hAnsi="Times New Roman" w:cs="Times New Roman"/>
          <w:highlight w:val="yellow"/>
        </w:rPr>
        <w:br w:type="page"/>
      </w:r>
    </w:p>
    <w:p w14:paraId="09960BA0" w14:textId="77777777" w:rsidR="00B65F15" w:rsidRPr="000028C3" w:rsidRDefault="00B65F15" w:rsidP="0098669D">
      <w:pPr>
        <w:pStyle w:val="1"/>
        <w:numPr>
          <w:ilvl w:val="0"/>
          <w:numId w:val="27"/>
        </w:numPr>
        <w:tabs>
          <w:tab w:val="clear" w:pos="0"/>
        </w:tabs>
        <w:suppressAutoHyphens/>
        <w:spacing w:before="0" w:after="0"/>
        <w:ind w:left="426" w:hanging="425"/>
        <w:rPr>
          <w:rFonts w:ascii="Times New Roman" w:hAnsi="Times New Roman" w:cs="Times New Roman"/>
          <w:sz w:val="28"/>
          <w:szCs w:val="28"/>
        </w:rPr>
      </w:pPr>
      <w:bookmarkStart w:id="103" w:name="_Toc470863403"/>
      <w:bookmarkStart w:id="104" w:name="_Toc39667641"/>
      <w:r w:rsidRPr="000028C3">
        <w:rPr>
          <w:rFonts w:ascii="Times New Roman" w:hAnsi="Times New Roman" w:cs="Times New Roman"/>
          <w:sz w:val="28"/>
          <w:szCs w:val="28"/>
        </w:rPr>
        <w:lastRenderedPageBreak/>
        <w:t>Определение прогноза по рейтингу кредитоспособности</w:t>
      </w:r>
      <w:bookmarkEnd w:id="103"/>
      <w:bookmarkEnd w:id="104"/>
    </w:p>
    <w:p w14:paraId="5C48B97D" w14:textId="77777777" w:rsidR="00B65F15" w:rsidRPr="000028C3" w:rsidRDefault="00B65F15" w:rsidP="0039664F">
      <w:pPr>
        <w:pStyle w:val="ad"/>
        <w:spacing w:before="0" w:beforeAutospacing="0" w:after="0" w:afterAutospacing="0"/>
        <w:ind w:firstLine="567"/>
        <w:jc w:val="both"/>
        <w:rPr>
          <w:highlight w:val="yellow"/>
        </w:rPr>
      </w:pPr>
    </w:p>
    <w:p w14:paraId="6D00CB5F" w14:textId="77777777" w:rsidR="00B65F15" w:rsidRPr="000028C3" w:rsidRDefault="00B65F15" w:rsidP="0039664F">
      <w:pPr>
        <w:pStyle w:val="ad"/>
        <w:spacing w:before="0" w:beforeAutospacing="0" w:after="0" w:afterAutospacing="0"/>
        <w:ind w:firstLine="567"/>
        <w:jc w:val="both"/>
      </w:pPr>
      <w:r w:rsidRPr="000028C3">
        <w:t>Опираясь на методологию, «Эксперт РА» устанавливает прогноз по кредитному рейтингу, который означает мнение кредитного рейтингового агентства относительно возможного изменения уровня кредитного рейтинга в перспективе одного года (если не указано иное). Объекту рейтинга может быть присвоен один из четырех видов прогноза по кредитному рейтингу:</w:t>
      </w:r>
    </w:p>
    <w:p w14:paraId="5286E8FB" w14:textId="77777777" w:rsidR="00B65F15" w:rsidRPr="000028C3" w:rsidRDefault="00B65F15" w:rsidP="0098669D">
      <w:pPr>
        <w:numPr>
          <w:ilvl w:val="0"/>
          <w:numId w:val="22"/>
        </w:numPr>
        <w:tabs>
          <w:tab w:val="clear" w:pos="720"/>
        </w:tabs>
        <w:suppressAutoHyphens/>
        <w:ind w:left="1418"/>
        <w:jc w:val="both"/>
      </w:pPr>
      <w:r w:rsidRPr="000028C3">
        <w:t>позитивный (высока вероятность повышения кредитного рейтинга на горизонте 12 месяцев);</w:t>
      </w:r>
    </w:p>
    <w:p w14:paraId="1CA4CD90" w14:textId="77777777" w:rsidR="00B65F15" w:rsidRPr="000028C3" w:rsidRDefault="00B65F15" w:rsidP="0098669D">
      <w:pPr>
        <w:numPr>
          <w:ilvl w:val="0"/>
          <w:numId w:val="22"/>
        </w:numPr>
        <w:tabs>
          <w:tab w:val="clear" w:pos="720"/>
        </w:tabs>
        <w:suppressAutoHyphens/>
        <w:ind w:left="1418"/>
        <w:jc w:val="both"/>
      </w:pPr>
      <w:r w:rsidRPr="000028C3">
        <w:t>негативный (высока вероятность снижения кредитного рейтинга на горизонте 12 месяцев);</w:t>
      </w:r>
    </w:p>
    <w:p w14:paraId="796EC1C2" w14:textId="77777777" w:rsidR="00B65F15" w:rsidRPr="000028C3" w:rsidRDefault="00B65F15" w:rsidP="0098669D">
      <w:pPr>
        <w:numPr>
          <w:ilvl w:val="0"/>
          <w:numId w:val="22"/>
        </w:numPr>
        <w:tabs>
          <w:tab w:val="clear" w:pos="720"/>
        </w:tabs>
        <w:suppressAutoHyphens/>
        <w:ind w:left="1418"/>
        <w:jc w:val="both"/>
      </w:pPr>
      <w:r w:rsidRPr="000028C3">
        <w:t>стабильный (высока вероятность сохранения кредитного рейтинга на прежнем уровне на горизонте 12 месяцев);</w:t>
      </w:r>
    </w:p>
    <w:p w14:paraId="290C3560" w14:textId="77777777" w:rsidR="00B65F15" w:rsidRPr="000028C3" w:rsidRDefault="00B65F15" w:rsidP="0098669D">
      <w:pPr>
        <w:numPr>
          <w:ilvl w:val="0"/>
          <w:numId w:val="22"/>
        </w:numPr>
        <w:tabs>
          <w:tab w:val="clear" w:pos="720"/>
        </w:tabs>
        <w:suppressAutoHyphens/>
        <w:ind w:left="1418"/>
        <w:jc w:val="both"/>
      </w:pPr>
      <w:r w:rsidRPr="000028C3">
        <w:t>развивающийся (на горизонте трех месяцев равновероятны два или более вариант</w:t>
      </w:r>
      <w:r w:rsidR="005E54B0" w:rsidRPr="000028C3">
        <w:t>а</w:t>
      </w:r>
      <w:r w:rsidRPr="000028C3">
        <w:t xml:space="preserve"> рейтинговых действий (сохранение, повышение или снижение кредитного рейтинга).</w:t>
      </w:r>
    </w:p>
    <w:p w14:paraId="54686E21" w14:textId="77777777" w:rsidR="00B65F15" w:rsidRPr="000028C3" w:rsidRDefault="00B65F15" w:rsidP="0039664F">
      <w:pPr>
        <w:pStyle w:val="ad"/>
        <w:spacing w:before="0" w:beforeAutospacing="0" w:after="0" w:afterAutospacing="0"/>
        <w:jc w:val="both"/>
        <w:rPr>
          <w:highlight w:val="yellow"/>
        </w:rPr>
      </w:pPr>
    </w:p>
    <w:p w14:paraId="4555C20D" w14:textId="77777777" w:rsidR="00B65F15" w:rsidRPr="000028C3" w:rsidRDefault="00B65F15" w:rsidP="0039664F">
      <w:pPr>
        <w:pStyle w:val="ad"/>
        <w:spacing w:before="0" w:beforeAutospacing="0" w:after="0" w:afterAutospacing="0"/>
        <w:ind w:firstLine="567"/>
        <w:jc w:val="both"/>
      </w:pPr>
      <w:r w:rsidRPr="000028C3">
        <w:t>Прогноз по кредитному рейтингу определяется на основании ожиданий кредитного рейтингового агентства по динамике показателей, перечисленных в настоящей методологии, то есть на прогноз по кредитному рейтингу влияют те же факторы, что и на присвоенный кредитный рейтинг, в том числе факторы поддержки и стресс-факторы. Прогноз присваивается только по отношению к итоговому кредитному рейтингу (не к рейтингу самостоятельной кредитоспособности).</w:t>
      </w:r>
    </w:p>
    <w:p w14:paraId="0602534E" w14:textId="77777777" w:rsidR="00B65F15" w:rsidRPr="000028C3" w:rsidRDefault="00B65F15" w:rsidP="0039664F">
      <w:pPr>
        <w:pStyle w:val="ad"/>
        <w:spacing w:before="0" w:beforeAutospacing="0" w:after="0" w:afterAutospacing="0"/>
        <w:ind w:firstLine="567"/>
        <w:jc w:val="both"/>
      </w:pPr>
      <w:r w:rsidRPr="000028C3">
        <w:t>При определении прогноза «Эксперт РА» ориентируется на исторические данные, данные стратегии объекта рейтинга, собственный макроэкономический прогноз.</w:t>
      </w:r>
    </w:p>
    <w:p w14:paraId="22427E00" w14:textId="77777777" w:rsidR="00B65F15" w:rsidRPr="000028C3" w:rsidRDefault="00B65F15" w:rsidP="0039664F">
      <w:pPr>
        <w:pStyle w:val="ad"/>
        <w:spacing w:before="0" w:beforeAutospacing="0" w:after="0" w:afterAutospacing="0"/>
        <w:ind w:firstLine="567"/>
        <w:jc w:val="both"/>
      </w:pPr>
      <w:r w:rsidRPr="000028C3">
        <w:t>При оценке перспектив компании «Эксперт РА» использует ключевые рейтинговые предпосылки о возможных сценариях развития объекта рейтинга и вероятности того или иного сценария, которые являются субъективным мнением участников рейтингового комитета. Данные сценарии могут быть основаны на официальной стратегии объекта рейтинга и внутренних расчетах «Эксперт РА». Прогноз по рейтингу чувствителен к выбору наиболее вероятного, по мнению рейтингового комитета, сценария развития компании. Также при определении прогноза учитываются плановые изменения законодательства (например, опубликованные проекты нормативных актов), если они способны оказать существенное влияние на рейтинг.</w:t>
      </w:r>
    </w:p>
    <w:p w14:paraId="6BE89559" w14:textId="77777777" w:rsidR="00916419" w:rsidRPr="000028C3" w:rsidRDefault="00B65F15" w:rsidP="0039664F">
      <w:pPr>
        <w:pStyle w:val="ad"/>
        <w:spacing w:before="0" w:beforeAutospacing="0" w:after="0" w:afterAutospacing="0"/>
        <w:ind w:firstLine="567"/>
        <w:jc w:val="both"/>
        <w:rPr>
          <w:b/>
          <w:bCs/>
        </w:rPr>
      </w:pPr>
      <w:r w:rsidRPr="000028C3">
        <w:t>Рейтинговый комитет может определить критерии, выполнение или невыполнение которых с высокой вероятностью приведет к изменению рейтинга (рейтинговых условий). Обычно установление пороговых значений показателей сопровождается установлением позитивного или негативного прогноза.</w:t>
      </w:r>
      <w:bookmarkEnd w:id="102"/>
    </w:p>
    <w:sectPr w:rsidR="00916419" w:rsidRPr="000028C3" w:rsidSect="008C5980">
      <w:headerReference w:type="default" r:id="rId16"/>
      <w:footerReference w:type="even" r:id="rId17"/>
      <w:footerReference w:type="default" r:id="rId18"/>
      <w:headerReference w:type="first" r:id="rId19"/>
      <w:type w:val="continuous"/>
      <w:pgSz w:w="11906" w:h="16838" w:code="9"/>
      <w:pgMar w:top="1134" w:right="850" w:bottom="1134" w:left="1701" w:header="709" w:footer="397"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C001" w14:textId="77777777" w:rsidR="00E3095C" w:rsidRDefault="00E3095C">
      <w:r>
        <w:separator/>
      </w:r>
    </w:p>
  </w:endnote>
  <w:endnote w:type="continuationSeparator" w:id="0">
    <w:p w14:paraId="4BE8382E" w14:textId="77777777" w:rsidR="00E3095C" w:rsidRDefault="00E3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4C5FF" w14:textId="77777777" w:rsidR="00E3095C" w:rsidRDefault="00E3095C" w:rsidP="001744C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F3CA260" w14:textId="77777777" w:rsidR="00E3095C" w:rsidRDefault="00E3095C" w:rsidP="00DD36A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5E59" w14:textId="77777777" w:rsidR="00E3095C" w:rsidRDefault="00E3095C" w:rsidP="001744C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21</w:t>
    </w:r>
    <w:r>
      <w:rPr>
        <w:rStyle w:val="aa"/>
      </w:rPr>
      <w:fldChar w:fldCharType="end"/>
    </w:r>
  </w:p>
  <w:p w14:paraId="07A5756B" w14:textId="77777777" w:rsidR="00E3095C" w:rsidRDefault="00E3095C" w:rsidP="0079661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9429" w14:textId="77777777" w:rsidR="00E3095C" w:rsidRDefault="00E3095C">
      <w:r>
        <w:separator/>
      </w:r>
    </w:p>
  </w:footnote>
  <w:footnote w:type="continuationSeparator" w:id="0">
    <w:p w14:paraId="63827F44" w14:textId="77777777" w:rsidR="00E3095C" w:rsidRDefault="00E3095C">
      <w:r>
        <w:continuationSeparator/>
      </w:r>
    </w:p>
  </w:footnote>
  <w:footnote w:id="1">
    <w:p w14:paraId="7F287C07" w14:textId="77777777" w:rsidR="00E3095C" w:rsidRDefault="00E3095C" w:rsidP="005A2B1C">
      <w:pPr>
        <w:pStyle w:val="a4"/>
        <w:jc w:val="both"/>
      </w:pPr>
      <w:r>
        <w:rPr>
          <w:rStyle w:val="a6"/>
        </w:rPr>
        <w:footnoteRef/>
      </w:r>
      <w:r>
        <w:t xml:space="preserve"> Рейтинговая категория и соответствующий уровень рейтинга не применяются к факторинговым компаниям</w:t>
      </w:r>
    </w:p>
  </w:footnote>
  <w:footnote w:id="2">
    <w:p w14:paraId="44865BF1" w14:textId="77777777" w:rsidR="00E3095C" w:rsidRDefault="00E3095C" w:rsidP="0079661C">
      <w:pPr>
        <w:pStyle w:val="a4"/>
        <w:jc w:val="both"/>
      </w:pPr>
      <w:r w:rsidRPr="0058128C">
        <w:rPr>
          <w:rStyle w:val="af8"/>
        </w:rPr>
        <w:footnoteRef/>
      </w:r>
      <w:r w:rsidRPr="0058128C">
        <w:t xml:space="preserve"> В случае если компания не исполняет вторую часть сделки прямого РЕПО (возврат привлеченных денежных средств), Агентство считает, что создается ситуация вынужденной реструктуризации долга: вместо исполнения денежного обязательства в качестве обслуживания долга кредитору передается портфель ценных бумаг. Для определения, является ли это событие дефолтом, Агентство проверяет, ухудшается ли положение кредитора в результате передачи ему портфеля ценных бумаг вместо денежной выплаты. Для этого выясняется рыночная стоимость портфеля ценных бумаг, находящаяся в залоге в рамках сделки РЕПО. В случае если стоимость портфеля превышает объем неисполненного обязательства, Агентство не считает такую реструктуризацию ухудшающей условия для кредитора, а факт неисполнения второй части сделки дефолтом. Если стоимость портфеля меньше объема неисполненного обязательства, Агентство считает, что в результате вынужденной реструктуризации условия для кредитора ухудшились, а факт неисполнения второй части сделки РЕПО считает дефолтом.</w:t>
      </w:r>
    </w:p>
  </w:footnote>
  <w:footnote w:id="3">
    <w:p w14:paraId="60EE7337" w14:textId="3EFBEC3D" w:rsidR="00E3095C" w:rsidRPr="000D6E41" w:rsidRDefault="00E3095C" w:rsidP="00370679">
      <w:pPr>
        <w:pStyle w:val="a4"/>
        <w:jc w:val="both"/>
        <w:rPr>
          <w:sz w:val="22"/>
        </w:rPr>
      </w:pPr>
      <w:r w:rsidRPr="000D6E41">
        <w:rPr>
          <w:rStyle w:val="a6"/>
          <w:sz w:val="22"/>
        </w:rPr>
        <w:footnoteRef/>
      </w:r>
      <w:r w:rsidRPr="000D6E41">
        <w:rPr>
          <w:sz w:val="22"/>
        </w:rPr>
        <w:t xml:space="preserve"> </w:t>
      </w:r>
      <w:bookmarkStart w:id="16" w:name="_Hlk34121327"/>
      <w:r w:rsidRPr="000D6E41">
        <w:rPr>
          <w:szCs w:val="18"/>
        </w:rPr>
        <w:t>Оговорка «при наличии» по отношению к отчетности по РСБУ / МСФО применяется к компаниям, не подготавливающим один из указанных видов отчетности; в рамках настоящей методологии в рейтинговом анализе обязательно используется по крайней мере один из видов отчетности, заверенной аудитором. При одновременном предоставлении отчетности по РСБУ и МСФО приоритет в рейтинговом анализе у той отчетности, которая наиболее полно и актуально отражает риски объекта рейтинга.</w:t>
      </w:r>
      <w:bookmarkEnd w:id="16"/>
    </w:p>
  </w:footnote>
  <w:footnote w:id="4">
    <w:p w14:paraId="197E2EC8" w14:textId="675AFAE9" w:rsidR="00E3095C" w:rsidRDefault="00E3095C" w:rsidP="00AC51DF">
      <w:pPr>
        <w:pStyle w:val="a4"/>
        <w:jc w:val="both"/>
      </w:pPr>
      <w:r>
        <w:rPr>
          <w:rStyle w:val="a6"/>
        </w:rPr>
        <w:footnoteRef/>
      </w:r>
      <w:r>
        <w:t xml:space="preserve"> Рентабельность по РСБУ оценивается за 12 месяцев, рентабельность по МСФО – за последние 2 завершившихся года, с</w:t>
      </w:r>
      <w:r w:rsidRPr="00AC51DF">
        <w:t>корректированная рентабельность по РСБУ</w:t>
      </w:r>
      <w:r>
        <w:t xml:space="preserve"> – за последние 24 месяца.</w:t>
      </w:r>
    </w:p>
  </w:footnote>
  <w:footnote w:id="5">
    <w:p w14:paraId="71820E8E" w14:textId="77777777" w:rsidR="00E3095C" w:rsidRPr="00C12194" w:rsidRDefault="00E3095C" w:rsidP="002877B3">
      <w:pPr>
        <w:pStyle w:val="a4"/>
        <w:jc w:val="both"/>
      </w:pPr>
      <w:r w:rsidRPr="00C12194">
        <w:rPr>
          <w:rStyle w:val="a6"/>
        </w:rPr>
        <w:footnoteRef/>
      </w:r>
      <w:r w:rsidRPr="00C12194">
        <w:t xml:space="preserve"> </w:t>
      </w:r>
      <w:r>
        <w:t>У</w:t>
      </w:r>
      <w:r w:rsidRPr="00C12194">
        <w:t>читывается также репутация топ-менеджеров, освобожденных от должности после начала процедур уголовного преследования</w:t>
      </w:r>
      <w:r>
        <w:t>.</w:t>
      </w:r>
    </w:p>
  </w:footnote>
  <w:footnote w:id="6">
    <w:p w14:paraId="25754DE8" w14:textId="77ECC6FB" w:rsidR="00E3095C" w:rsidRPr="00F806A9" w:rsidRDefault="00E3095C" w:rsidP="002877B3">
      <w:pPr>
        <w:pStyle w:val="a4"/>
        <w:jc w:val="both"/>
        <w:rPr>
          <w:rFonts w:asciiTheme="minorHAnsi" w:hAnsiTheme="minorHAnsi"/>
        </w:rPr>
      </w:pPr>
      <w:r>
        <w:rPr>
          <w:rStyle w:val="a6"/>
        </w:rPr>
        <w:footnoteRef/>
      </w:r>
      <w:r>
        <w:t xml:space="preserve"> Репутация аудитора оценивается исходя из </w:t>
      </w:r>
      <w:r w:rsidRPr="00FA13B5">
        <w:t xml:space="preserve">количества и размера клиентов </w:t>
      </w:r>
      <w:r>
        <w:t>финансового</w:t>
      </w:r>
      <w:r w:rsidRPr="00FA13B5">
        <w:t xml:space="preserve"> сектора, а также фактов </w:t>
      </w:r>
      <w:r>
        <w:t xml:space="preserve">заверения отчетности организаций, которые </w:t>
      </w:r>
      <w:r w:rsidRPr="00FA13B5">
        <w:t>впос</w:t>
      </w:r>
      <w:r>
        <w:t>ледствии лишились</w:t>
      </w:r>
      <w:r w:rsidRPr="00FA13B5">
        <w:t xml:space="preserve"> лицензии</w:t>
      </w:r>
      <w:r w:rsidRPr="00DE39A0">
        <w:t>/</w:t>
      </w:r>
      <w:r>
        <w:t>признанных банкротами</w:t>
      </w:r>
      <w:r w:rsidRPr="00FA13B5">
        <w:t xml:space="preserve"> (при наличии оснований полагать,</w:t>
      </w:r>
      <w:r>
        <w:t xml:space="preserve"> что заверенная отчетность компаний</w:t>
      </w:r>
      <w:r w:rsidRPr="00FA13B5">
        <w:t xml:space="preserve"> была недостоверна, а аудитор</w:t>
      </w:r>
      <w:r>
        <w:t>ское заключение при этом было не</w:t>
      </w:r>
      <w:r w:rsidRPr="00FA13B5">
        <w:t>модифицированным)</w:t>
      </w:r>
    </w:p>
  </w:footnote>
  <w:footnote w:id="7">
    <w:p w14:paraId="7AE9D7E6" w14:textId="2C48247E" w:rsidR="00E3095C" w:rsidRDefault="00E3095C" w:rsidP="00645F45">
      <w:pPr>
        <w:pStyle w:val="a4"/>
        <w:jc w:val="both"/>
      </w:pPr>
      <w:r>
        <w:rPr>
          <w:rStyle w:val="a6"/>
        </w:rPr>
        <w:footnoteRef/>
      </w:r>
      <w:r>
        <w:t xml:space="preserve"> </w:t>
      </w:r>
      <w:r w:rsidRPr="008831AF">
        <w:t>В качестве основного региона рассматривается тот, на который приходится наибольшая доля в структуре факторингового портфеля на последнюю отчетную дату</w:t>
      </w:r>
      <w:r>
        <w:t>.</w:t>
      </w:r>
    </w:p>
  </w:footnote>
  <w:footnote w:id="8">
    <w:p w14:paraId="74D867E5" w14:textId="77777777" w:rsidR="00E3095C" w:rsidRDefault="00E3095C" w:rsidP="00645F45">
      <w:pPr>
        <w:pStyle w:val="a4"/>
        <w:jc w:val="both"/>
      </w:pPr>
      <w:r>
        <w:rPr>
          <w:rStyle w:val="a6"/>
        </w:rPr>
        <w:footnoteRef/>
      </w:r>
      <w:r>
        <w:t xml:space="preserve"> Обособленным подразделением не считается п</w:t>
      </w:r>
      <w:r w:rsidRPr="0091304C">
        <w:t>редставительств</w:t>
      </w:r>
      <w:r>
        <w:t>о компании.</w:t>
      </w:r>
    </w:p>
  </w:footnote>
  <w:footnote w:id="9">
    <w:p w14:paraId="140E929E" w14:textId="2858BAAD" w:rsidR="00E3095C" w:rsidRPr="000A7D80" w:rsidRDefault="00E3095C" w:rsidP="005055B0">
      <w:pPr>
        <w:pStyle w:val="a4"/>
        <w:jc w:val="both"/>
      </w:pPr>
      <w:r>
        <w:rPr>
          <w:rStyle w:val="a6"/>
        </w:rPr>
        <w:footnoteRef/>
      </w:r>
      <w:r>
        <w:t xml:space="preserve"> </w:t>
      </w:r>
      <w:bookmarkStart w:id="36" w:name="_Hlk506202169"/>
      <w:r w:rsidRPr="000F68FD">
        <w:t xml:space="preserve">Здесь и далее связанность лиц между собой и (или) с объектом рейтинга определяется экспертным суждением </w:t>
      </w:r>
      <w:r>
        <w:t>А</w:t>
      </w:r>
      <w:r w:rsidRPr="000F68FD">
        <w:t xml:space="preserve">гентства на основе совокупности признаков взаимозависимости лиц, в качестве которых могут рассматриваться существенные пересечения по </w:t>
      </w:r>
      <w:r>
        <w:t xml:space="preserve">учредителям (акционерам) и (или) </w:t>
      </w:r>
      <w:r w:rsidRPr="000F68FD">
        <w:t>конечным бенефициарам (даже если их нет в структуре собственности, но у рейтингового агентства есть основания считать их таковыми) и органам управления (в том числе исторические и с учетом третьих лиц по отношению к лицам, возможная связанность которых оценивается), значительна</w:t>
      </w:r>
      <w:r>
        <w:t>я финансовая взаимозависимость</w:t>
      </w:r>
      <w:r w:rsidRPr="000F68FD">
        <w:t>.</w:t>
      </w:r>
      <w:r>
        <w:t xml:space="preserve"> </w:t>
      </w:r>
      <w:bookmarkStart w:id="37" w:name="_Hlk506202383"/>
      <w:r>
        <w:t xml:space="preserve">В расчете используется размер чистых активов (за вычетом сформированных резервов), который </w:t>
      </w:r>
      <w:r w:rsidRPr="005C7BD0">
        <w:t xml:space="preserve">может быть экспертно уменьшен на требования, имеющие условный рейтинговый класс не ниже ruAA- или имеющие обеспечение такого </w:t>
      </w:r>
      <w:r>
        <w:t xml:space="preserve">кредитного </w:t>
      </w:r>
      <w:r w:rsidRPr="005C7BD0">
        <w:t>качества</w:t>
      </w:r>
      <w:bookmarkEnd w:id="36"/>
      <w:bookmarkEnd w:id="37"/>
      <w:r>
        <w:t xml:space="preserve">, а также на </w:t>
      </w:r>
      <w:r w:rsidRPr="009A1FAE">
        <w:t>требовани</w:t>
      </w:r>
      <w:r>
        <w:t>я</w:t>
      </w:r>
      <w:r w:rsidRPr="009A1FAE">
        <w:t>, возникши</w:t>
      </w:r>
      <w:r>
        <w:t>е</w:t>
      </w:r>
      <w:r w:rsidRPr="009A1FAE">
        <w:t xml:space="preserve"> в рамках внутригруппового фондирования рыночных операций входящих в одну группу лиц с компанией, если у Агентства нет сомнений, что конечные получатели средств (клиенты, деби</w:t>
      </w:r>
      <w:r>
        <w:t>торы) не являются связанными с объектом рейтинга.</w:t>
      </w:r>
    </w:p>
  </w:footnote>
  <w:footnote w:id="10">
    <w:p w14:paraId="3B4FDF73" w14:textId="31A5D99A" w:rsidR="00E3095C" w:rsidRDefault="00E3095C" w:rsidP="00FA73E5">
      <w:pPr>
        <w:pStyle w:val="a4"/>
        <w:jc w:val="both"/>
      </w:pPr>
      <w:r>
        <w:rPr>
          <w:rStyle w:val="a6"/>
        </w:rPr>
        <w:footnoteRef/>
      </w:r>
      <w:r>
        <w:t xml:space="preserve"> Источник данных для данной информации – прогнозный </w:t>
      </w:r>
      <w:r>
        <w:rPr>
          <w:lang w:val="en-US"/>
        </w:rPr>
        <w:t>cash</w:t>
      </w:r>
      <w:r>
        <w:t xml:space="preserve"> </w:t>
      </w:r>
      <w:r>
        <w:rPr>
          <w:lang w:val="en-US"/>
        </w:rPr>
        <w:t>flow</w:t>
      </w:r>
      <w:r>
        <w:t xml:space="preserve"> </w:t>
      </w:r>
      <w:r w:rsidRPr="00355651">
        <w:t>/</w:t>
      </w:r>
      <w:r>
        <w:t xml:space="preserve"> финансовая модель </w:t>
      </w:r>
      <w:r>
        <w:t>компании и данные предыдущих периодов из отчета о движении денежных средств.</w:t>
      </w:r>
      <w:r>
        <w:t xml:space="preserve"> Прогнозные данные </w:t>
      </w:r>
      <w:r>
        <w:rPr>
          <w:iCs/>
        </w:rPr>
        <w:t>могут быть скорректированы</w:t>
      </w:r>
      <w:r w:rsidRPr="00844B9C">
        <w:rPr>
          <w:iCs/>
        </w:rPr>
        <w:t xml:space="preserve"> с учетом ожиданий Агентства на основе макроэкономической информации</w:t>
      </w:r>
      <w:r>
        <w:rPr>
          <w:iCs/>
        </w:rPr>
        <w:t xml:space="preserve"> и</w:t>
      </w:r>
      <w:r w:rsidRPr="00844B9C">
        <w:rPr>
          <w:iCs/>
        </w:rPr>
        <w:t xml:space="preserve"> потенциала объекта рейтинга.</w:t>
      </w:r>
    </w:p>
  </w:footnote>
  <w:footnote w:id="11">
    <w:p w14:paraId="140F96AC" w14:textId="77777777" w:rsidR="00E3095C" w:rsidRDefault="00E3095C" w:rsidP="00E2519B">
      <w:pPr>
        <w:pStyle w:val="a4"/>
        <w:jc w:val="both"/>
      </w:pPr>
      <w:r>
        <w:rPr>
          <w:rStyle w:val="a6"/>
        </w:rPr>
        <w:footnoteRef/>
      </w:r>
      <w:r>
        <w:t xml:space="preserve"> Здесь и далее эти органы управления считаются равнозначными и к ним применяются равные требования.</w:t>
      </w:r>
    </w:p>
  </w:footnote>
  <w:footnote w:id="12">
    <w:p w14:paraId="3513F377" w14:textId="77777777" w:rsidR="00E3095C" w:rsidRPr="009C70A4" w:rsidRDefault="00E3095C" w:rsidP="00E2519B">
      <w:pPr>
        <w:pStyle w:val="a4"/>
        <w:jc w:val="both"/>
      </w:pPr>
      <w:r w:rsidRPr="009C70A4">
        <w:rPr>
          <w:rStyle w:val="a6"/>
        </w:rPr>
        <w:footnoteRef/>
      </w:r>
      <w:r w:rsidRPr="009C70A4">
        <w:t xml:space="preserve"> Независимый член СД не может являться основным собственником или представлять ключевых собственников, не может (ранее или на текущий момент) занимать должность в </w:t>
      </w:r>
      <w:r>
        <w:t>исполнительном руководстве</w:t>
      </w:r>
      <w:r w:rsidRPr="009C70A4">
        <w:t>, являться сотрудником фирмы, оказывавшей объекту рейтинга аудиторские, юридические или консультационные услуги.</w:t>
      </w:r>
    </w:p>
  </w:footnote>
  <w:footnote w:id="13">
    <w:p w14:paraId="596FF1CC" w14:textId="77777777" w:rsidR="00E3095C" w:rsidRPr="00EF7D8F" w:rsidRDefault="00E3095C" w:rsidP="00E2519B">
      <w:pPr>
        <w:pStyle w:val="a4"/>
        <w:rPr>
          <w:color w:val="000000"/>
        </w:rPr>
      </w:pPr>
      <w:r w:rsidRPr="009C70A4">
        <w:rPr>
          <w:rStyle w:val="a6"/>
        </w:rPr>
        <w:footnoteRef/>
      </w:r>
      <w:r w:rsidRPr="009C70A4">
        <w:t xml:space="preserve"> </w:t>
      </w:r>
      <w:r w:rsidRPr="009C70A4">
        <w:rPr>
          <w:color w:val="000000"/>
        </w:rPr>
        <w:t xml:space="preserve">Комитет по </w:t>
      </w:r>
      <w:r w:rsidRPr="009C70A4">
        <w:t>в</w:t>
      </w:r>
      <w:r w:rsidRPr="009C70A4">
        <w:rPr>
          <w:color w:val="000000"/>
        </w:rPr>
        <w:t>ознаграждениям либо</w:t>
      </w:r>
      <w:r w:rsidRPr="009C70A4">
        <w:rPr>
          <w:rStyle w:val="afb"/>
          <w:b/>
          <w:bCs/>
          <w:color w:val="6A6A6A"/>
          <w:shd w:val="clear" w:color="auto" w:fill="FFFFFF"/>
        </w:rPr>
        <w:t xml:space="preserve"> </w:t>
      </w:r>
      <w:r w:rsidRPr="009C70A4">
        <w:rPr>
          <w:color w:val="000000"/>
        </w:rPr>
        <w:t>Комитет по кадрам и вознаграждениям, либо Комитет по назначениям и вознаграждениям, либо Комитета по вознаграждениям, корпоративному управлению и назначениям, либо иной комитет схожего функционала при СД.</w:t>
      </w:r>
    </w:p>
  </w:footnote>
  <w:footnote w:id="14">
    <w:p w14:paraId="023C1CAB" w14:textId="77777777" w:rsidR="00E3095C" w:rsidRPr="00837BFF" w:rsidRDefault="00E3095C" w:rsidP="00FA73E5">
      <w:pPr>
        <w:pStyle w:val="a4"/>
        <w:jc w:val="both"/>
      </w:pPr>
      <w:r>
        <w:rPr>
          <w:rStyle w:val="a6"/>
        </w:rPr>
        <w:footnoteRef/>
      </w:r>
      <w:r>
        <w:t xml:space="preserve"> </w:t>
      </w:r>
      <w:r>
        <w:rPr>
          <w:lang w:val="en-US"/>
        </w:rPr>
        <w:t>SMART</w:t>
      </w:r>
      <w:r w:rsidRPr="00485F3D">
        <w:t xml:space="preserve"> – </w:t>
      </w:r>
      <w:r>
        <w:t>аббревиатура, включающая в себя 5 основных характеристик эффективной цели. Цель должна быть четкой (</w:t>
      </w:r>
      <w:r>
        <w:rPr>
          <w:lang w:val="en-US"/>
        </w:rPr>
        <w:t>Specific</w:t>
      </w:r>
      <w:r>
        <w:t>), измеримой с помощью каких-либо показателей (</w:t>
      </w:r>
      <w:r>
        <w:rPr>
          <w:lang w:val="en-US"/>
        </w:rPr>
        <w:t>Measurable</w:t>
      </w:r>
      <w:r w:rsidRPr="00485F3D">
        <w:t>)</w:t>
      </w:r>
      <w:r>
        <w:t>, реальной в исполнении (</w:t>
      </w:r>
      <w:r>
        <w:rPr>
          <w:lang w:val="en-US"/>
        </w:rPr>
        <w:t>Attainable</w:t>
      </w:r>
      <w:r>
        <w:t>)</w:t>
      </w:r>
      <w:r w:rsidRPr="006B3FE7">
        <w:t xml:space="preserve">, </w:t>
      </w:r>
      <w:r>
        <w:t>ориентированной на результат (</w:t>
      </w:r>
      <w:r>
        <w:rPr>
          <w:lang w:val="en-US"/>
        </w:rPr>
        <w:t>Result</w:t>
      </w:r>
      <w:r w:rsidRPr="006B3FE7">
        <w:t>-</w:t>
      </w:r>
      <w:r>
        <w:rPr>
          <w:lang w:val="en-US"/>
        </w:rPr>
        <w:t>oriented</w:t>
      </w:r>
      <w:r w:rsidRPr="006B3FE7">
        <w:t xml:space="preserve">) </w:t>
      </w:r>
      <w:r>
        <w:t>и привязанной к конкретным срокам (</w:t>
      </w:r>
      <w:r>
        <w:rPr>
          <w:lang w:val="en-US"/>
        </w:rPr>
        <w:t>Time</w:t>
      </w:r>
      <w:r w:rsidRPr="006B3FE7">
        <w:t>-</w:t>
      </w:r>
      <w:r>
        <w:rPr>
          <w:lang w:val="en-US"/>
        </w:rPr>
        <w:t>bounded</w:t>
      </w:r>
      <w:r w:rsidRPr="006B3FE7">
        <w:t>).</w:t>
      </w:r>
      <w:r>
        <w:t xml:space="preserve"> Кроме того, есть трактовка </w:t>
      </w:r>
      <w:r>
        <w:rPr>
          <w:lang w:val="en-US"/>
        </w:rPr>
        <w:t>Accepted</w:t>
      </w:r>
      <w:r w:rsidRPr="00837BFF">
        <w:t xml:space="preserve"> (</w:t>
      </w:r>
      <w:r>
        <w:t>принята всеми</w:t>
      </w:r>
      <w:r w:rsidRPr="00837BFF">
        <w:t>)</w:t>
      </w:r>
      <w:r>
        <w:t xml:space="preserve"> и </w:t>
      </w:r>
      <w:r w:rsidRPr="00A17E62">
        <w:rPr>
          <w:lang w:val="en-GB"/>
        </w:rPr>
        <w:t>Realistic</w:t>
      </w:r>
      <w:r>
        <w:t xml:space="preserve"> (реальная в исполнении).</w:t>
      </w:r>
    </w:p>
  </w:footnote>
  <w:footnote w:id="15">
    <w:p w14:paraId="57247016" w14:textId="77777777" w:rsidR="00E3095C" w:rsidRDefault="00E3095C" w:rsidP="00EC5509">
      <w:pPr>
        <w:pStyle w:val="a4"/>
      </w:pPr>
      <w:r>
        <w:rPr>
          <w:rStyle w:val="a6"/>
        </w:rPr>
        <w:footnoteRef/>
      </w:r>
      <w:r>
        <w:t xml:space="preserve"> </w:t>
      </w:r>
      <w:r w:rsidRPr="007504F9">
        <w:t>Под конечными собственниками понимаются физические лица, государственные организации, юридические лица с прозрачной структурой собственности</w:t>
      </w:r>
    </w:p>
  </w:footnote>
  <w:footnote w:id="16">
    <w:p w14:paraId="2BECDD07" w14:textId="77777777" w:rsidR="00E3095C" w:rsidRPr="00C656FA" w:rsidRDefault="00E3095C" w:rsidP="00C656FA">
      <w:pPr>
        <w:pStyle w:val="ad"/>
        <w:spacing w:before="0" w:beforeAutospacing="0" w:after="0" w:afterAutospacing="0"/>
        <w:jc w:val="both"/>
        <w:rPr>
          <w:sz w:val="20"/>
          <w:szCs w:val="20"/>
        </w:rPr>
      </w:pPr>
      <w:r w:rsidRPr="00C656FA">
        <w:rPr>
          <w:rStyle w:val="a6"/>
        </w:rPr>
        <w:footnoteRef/>
      </w:r>
      <w:r w:rsidRPr="00C656FA">
        <w:t xml:space="preserve"> </w:t>
      </w:r>
      <w:proofErr w:type="spellStart"/>
      <w:r w:rsidRPr="00C656FA">
        <w:rPr>
          <w:iCs/>
          <w:sz w:val="20"/>
          <w:szCs w:val="20"/>
        </w:rPr>
        <w:t>Free</w:t>
      </w:r>
      <w:proofErr w:type="spellEnd"/>
      <w:r w:rsidRPr="00C656FA">
        <w:rPr>
          <w:iCs/>
          <w:sz w:val="20"/>
          <w:szCs w:val="20"/>
        </w:rPr>
        <w:t xml:space="preserve"> </w:t>
      </w:r>
      <w:proofErr w:type="spellStart"/>
      <w:r w:rsidRPr="00C656FA">
        <w:rPr>
          <w:iCs/>
          <w:sz w:val="20"/>
          <w:szCs w:val="20"/>
        </w:rPr>
        <w:t>float</w:t>
      </w:r>
      <w:proofErr w:type="spellEnd"/>
      <w:r w:rsidRPr="00C656FA">
        <w:rPr>
          <w:sz w:val="20"/>
          <w:szCs w:val="20"/>
        </w:rPr>
        <w:t xml:space="preserve"> или </w:t>
      </w:r>
      <w:proofErr w:type="spellStart"/>
      <w:r w:rsidRPr="00C656FA">
        <w:rPr>
          <w:iCs/>
          <w:sz w:val="20"/>
          <w:szCs w:val="20"/>
        </w:rPr>
        <w:t>public</w:t>
      </w:r>
      <w:proofErr w:type="spellEnd"/>
      <w:r w:rsidRPr="00C656FA">
        <w:rPr>
          <w:iCs/>
          <w:sz w:val="20"/>
          <w:szCs w:val="20"/>
        </w:rPr>
        <w:t xml:space="preserve"> </w:t>
      </w:r>
      <w:proofErr w:type="spellStart"/>
      <w:r w:rsidRPr="00C656FA">
        <w:rPr>
          <w:iCs/>
          <w:sz w:val="20"/>
          <w:szCs w:val="20"/>
        </w:rPr>
        <w:t>float</w:t>
      </w:r>
      <w:proofErr w:type="spellEnd"/>
      <w:r w:rsidRPr="00C656FA">
        <w:rPr>
          <w:sz w:val="20"/>
          <w:szCs w:val="20"/>
        </w:rPr>
        <w:t xml:space="preserve"> определяется как доля акций, которые держат инвесторы, за исключением:</w:t>
      </w:r>
    </w:p>
    <w:p w14:paraId="38E828A4" w14:textId="77777777" w:rsidR="00E3095C" w:rsidRPr="00C656FA" w:rsidRDefault="00E3095C" w:rsidP="0098669D">
      <w:pPr>
        <w:numPr>
          <w:ilvl w:val="0"/>
          <w:numId w:val="19"/>
        </w:numPr>
        <w:ind w:left="993"/>
        <w:jc w:val="both"/>
        <w:rPr>
          <w:sz w:val="20"/>
          <w:szCs w:val="20"/>
        </w:rPr>
      </w:pPr>
      <w:r w:rsidRPr="00C656FA">
        <w:rPr>
          <w:sz w:val="20"/>
          <w:szCs w:val="20"/>
        </w:rPr>
        <w:t>доли во владении инвесторов, держащих более 5% всех акций компании (это могут быть основатели, высшее руководство, инсайдеры, стратегические держатели акций и т. д.);</w:t>
      </w:r>
    </w:p>
    <w:p w14:paraId="3D6BDFEA" w14:textId="77777777" w:rsidR="00E3095C" w:rsidRPr="00C656FA" w:rsidRDefault="00E3095C" w:rsidP="0098669D">
      <w:pPr>
        <w:numPr>
          <w:ilvl w:val="0"/>
          <w:numId w:val="19"/>
        </w:numPr>
        <w:ind w:left="993"/>
        <w:jc w:val="both"/>
        <w:rPr>
          <w:sz w:val="20"/>
          <w:szCs w:val="20"/>
        </w:rPr>
      </w:pPr>
      <w:r w:rsidRPr="00C656FA">
        <w:rPr>
          <w:sz w:val="20"/>
          <w:szCs w:val="20"/>
        </w:rPr>
        <w:t>акций, имеющих ограниченное хождение (например, выданные сотрудникам);</w:t>
      </w:r>
    </w:p>
    <w:p w14:paraId="6E79E0A8" w14:textId="77777777" w:rsidR="00E3095C" w:rsidRDefault="00E3095C" w:rsidP="0098669D">
      <w:pPr>
        <w:pStyle w:val="a4"/>
        <w:numPr>
          <w:ilvl w:val="0"/>
          <w:numId w:val="19"/>
        </w:numPr>
        <w:ind w:left="993"/>
        <w:jc w:val="both"/>
      </w:pPr>
      <w:r w:rsidRPr="00C656FA">
        <w:t>акций, принадлежащим инсайдерам (считается, что инсайдеры будут держать активы долгое время).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DD7C0" w14:textId="77777777" w:rsidR="00E3095C" w:rsidRDefault="00E3095C" w:rsidP="009E7457">
    <w:pPr>
      <w:pStyle w:val="ab"/>
      <w:jc w:val="center"/>
    </w:pPr>
    <w:r>
      <w:rPr>
        <w:noProof/>
      </w:rPr>
      <w:drawing>
        <wp:inline distT="0" distB="0" distL="0" distR="0" wp14:anchorId="70FFA823" wp14:editId="1AE23ADC">
          <wp:extent cx="1797050" cy="4216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1640"/>
                  </a:xfrm>
                  <a:prstGeom prst="rect">
                    <a:avLst/>
                  </a:prstGeom>
                  <a:noFill/>
                  <a:ln>
                    <a:noFill/>
                  </a:ln>
                </pic:spPr>
              </pic:pic>
            </a:graphicData>
          </a:graphic>
        </wp:inline>
      </w:drawing>
    </w:r>
  </w:p>
  <w:p w14:paraId="6A5ADBC8" w14:textId="77777777" w:rsidR="00E3095C" w:rsidRPr="00BA4338" w:rsidRDefault="00E3095C" w:rsidP="009E745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2DD4" w14:textId="77777777" w:rsidR="00E3095C" w:rsidRDefault="00E3095C" w:rsidP="009E7457">
    <w:pPr>
      <w:pStyle w:val="ab"/>
      <w:jc w:val="center"/>
    </w:pPr>
    <w:r>
      <w:rPr>
        <w:noProof/>
      </w:rPr>
      <w:drawing>
        <wp:inline distT="0" distB="0" distL="0" distR="0" wp14:anchorId="73F8B767" wp14:editId="27A0CE13">
          <wp:extent cx="1797050" cy="4216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1640"/>
                  </a:xfrm>
                  <a:prstGeom prst="rect">
                    <a:avLst/>
                  </a:prstGeom>
                  <a:noFill/>
                  <a:ln>
                    <a:noFill/>
                  </a:ln>
                </pic:spPr>
              </pic:pic>
            </a:graphicData>
          </a:graphic>
        </wp:inline>
      </w:drawing>
    </w:r>
  </w:p>
  <w:p w14:paraId="1D4CEF2A" w14:textId="77777777" w:rsidR="00E3095C" w:rsidRPr="00BA4338" w:rsidRDefault="00E3095C" w:rsidP="009E745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5"/>
    <w:multiLevelType w:val="singleLevel"/>
    <w:tmpl w:val="00000005"/>
    <w:name w:val="WW8Num14"/>
    <w:lvl w:ilvl="0">
      <w:start w:val="1"/>
      <w:numFmt w:val="decimal"/>
      <w:lvlText w:val="%1."/>
      <w:lvlJc w:val="left"/>
      <w:pPr>
        <w:tabs>
          <w:tab w:val="num" w:pos="0"/>
        </w:tabs>
        <w:ind w:left="720" w:hanging="360"/>
      </w:pPr>
      <w:rPr>
        <w:rFonts w:hint="default"/>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lvl>
  </w:abstractNum>
  <w:abstractNum w:abstractNumId="4" w15:restartNumberingAfterBreak="0">
    <w:nsid w:val="00000007"/>
    <w:multiLevelType w:val="multilevel"/>
    <w:tmpl w:val="00000007"/>
    <w:name w:val="WW8Num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00000009"/>
    <w:multiLevelType w:val="singleLevel"/>
    <w:tmpl w:val="00000009"/>
    <w:name w:val="WW8Num23"/>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B"/>
    <w:multiLevelType w:val="multilevel"/>
    <w:tmpl w:val="9D74DB2E"/>
    <w:name w:val="WW8Num25"/>
    <w:lvl w:ilvl="0">
      <w:start w:val="1"/>
      <w:numFmt w:val="decimal"/>
      <w:lvlText w:val="%1."/>
      <w:lvlJc w:val="left"/>
      <w:pPr>
        <w:tabs>
          <w:tab w:val="num" w:pos="0"/>
        </w:tabs>
        <w:ind w:left="960" w:hanging="360"/>
      </w:p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400" w:hanging="1800"/>
      </w:pPr>
      <w:rPr>
        <w:rFonts w:hint="default"/>
      </w:rPr>
    </w:lvl>
  </w:abstractNum>
  <w:abstractNum w:abstractNumId="7" w15:restartNumberingAfterBreak="0">
    <w:nsid w:val="0000000D"/>
    <w:multiLevelType w:val="singleLevel"/>
    <w:tmpl w:val="0000000D"/>
    <w:name w:val="WW8Num29"/>
    <w:lvl w:ilvl="0">
      <w:start w:val="1"/>
      <w:numFmt w:val="bullet"/>
      <w:lvlText w:val=""/>
      <w:lvlJc w:val="left"/>
      <w:pPr>
        <w:tabs>
          <w:tab w:val="num" w:pos="0"/>
        </w:tabs>
        <w:ind w:left="720" w:hanging="360"/>
      </w:pPr>
      <w:rPr>
        <w:rFonts w:ascii="Wingdings" w:hAnsi="Wingdings" w:cs="Wingdings" w:hint="default"/>
        <w:szCs w:val="24"/>
      </w:rPr>
    </w:lvl>
  </w:abstractNum>
  <w:abstractNum w:abstractNumId="8" w15:restartNumberingAfterBreak="0">
    <w:nsid w:val="0000000E"/>
    <w:multiLevelType w:val="multilevel"/>
    <w:tmpl w:val="90C69FA0"/>
    <w:name w:val="WW8Num32"/>
    <w:lvl w:ilvl="0">
      <w:start w:val="1"/>
      <w:numFmt w:val="decimal"/>
      <w:lvlText w:val="%1."/>
      <w:lvlJc w:val="left"/>
      <w:pPr>
        <w:tabs>
          <w:tab w:val="num" w:pos="0"/>
        </w:tabs>
        <w:ind w:left="1080" w:hanging="720"/>
      </w:pPr>
      <w:rPr>
        <w:rFonts w:ascii="Times New Roman" w:hAnsi="Times New Roman" w:cs="Times New Roman" w:hint="default"/>
        <w:kern w:val="1"/>
        <w:sz w:val="28"/>
        <w:szCs w:val="28"/>
      </w:rPr>
    </w:lvl>
    <w:lvl w:ilvl="1">
      <w:start w:val="1"/>
      <w:numFmt w:val="decimal"/>
      <w:lvlText w:val="%1.%2."/>
      <w:lvlJc w:val="left"/>
      <w:pPr>
        <w:tabs>
          <w:tab w:val="num" w:pos="0"/>
        </w:tabs>
        <w:ind w:left="1800" w:hanging="720"/>
      </w:pPr>
      <w:rPr>
        <w:rFonts w:hint="default"/>
      </w:rPr>
    </w:lvl>
    <w:lvl w:ilvl="2">
      <w:start w:val="1"/>
      <w:numFmt w:val="decimal"/>
      <w:lvlText w:val="%1.%2.%3."/>
      <w:lvlJc w:val="left"/>
      <w:pPr>
        <w:tabs>
          <w:tab w:val="num" w:pos="0"/>
        </w:tabs>
        <w:ind w:left="2520" w:hanging="720"/>
      </w:pPr>
      <w:rPr>
        <w:rFonts w:hint="default"/>
      </w:rPr>
    </w:lvl>
    <w:lvl w:ilvl="3">
      <w:start w:val="1"/>
      <w:numFmt w:val="decimal"/>
      <w:lvlText w:val="%1.%2.%3.%4."/>
      <w:lvlJc w:val="left"/>
      <w:pPr>
        <w:tabs>
          <w:tab w:val="num" w:pos="0"/>
        </w:tabs>
        <w:ind w:left="3600" w:hanging="1080"/>
      </w:pPr>
      <w:rPr>
        <w:rFonts w:hint="default"/>
      </w:rPr>
    </w:lvl>
    <w:lvl w:ilvl="4">
      <w:start w:val="1"/>
      <w:numFmt w:val="decimal"/>
      <w:lvlText w:val="%1.%2.%3.%4.%5."/>
      <w:lvlJc w:val="left"/>
      <w:pPr>
        <w:tabs>
          <w:tab w:val="num" w:pos="0"/>
        </w:tabs>
        <w:ind w:left="4680" w:hanging="1440"/>
      </w:pPr>
      <w:rPr>
        <w:rFonts w:hint="default"/>
      </w:rPr>
    </w:lvl>
    <w:lvl w:ilvl="5">
      <w:start w:val="1"/>
      <w:numFmt w:val="decimal"/>
      <w:lvlText w:val="%1.%2.%3.%4.%5.%6."/>
      <w:lvlJc w:val="left"/>
      <w:pPr>
        <w:tabs>
          <w:tab w:val="num" w:pos="0"/>
        </w:tabs>
        <w:ind w:left="5400" w:hanging="1440"/>
      </w:pPr>
      <w:rPr>
        <w:rFonts w:hint="default"/>
      </w:rPr>
    </w:lvl>
    <w:lvl w:ilvl="6">
      <w:start w:val="1"/>
      <w:numFmt w:val="decimal"/>
      <w:lvlText w:val="%1.%2.%3.%4.%5.%6.%7."/>
      <w:lvlJc w:val="left"/>
      <w:pPr>
        <w:tabs>
          <w:tab w:val="num" w:pos="0"/>
        </w:tabs>
        <w:ind w:left="6480" w:hanging="1800"/>
      </w:pPr>
      <w:rPr>
        <w:rFonts w:hint="default"/>
      </w:rPr>
    </w:lvl>
    <w:lvl w:ilvl="7">
      <w:start w:val="1"/>
      <w:numFmt w:val="decimal"/>
      <w:lvlText w:val="%1.%2.%3.%4.%5.%6.%7.%8."/>
      <w:lvlJc w:val="left"/>
      <w:pPr>
        <w:tabs>
          <w:tab w:val="num" w:pos="0"/>
        </w:tabs>
        <w:ind w:left="7200" w:hanging="1800"/>
      </w:pPr>
      <w:rPr>
        <w:rFonts w:hint="default"/>
      </w:rPr>
    </w:lvl>
    <w:lvl w:ilvl="8">
      <w:start w:val="1"/>
      <w:numFmt w:val="decimal"/>
      <w:lvlText w:val="%1.%2.%3.%4.%5.%6.%7.%8.%9."/>
      <w:lvlJc w:val="left"/>
      <w:pPr>
        <w:tabs>
          <w:tab w:val="num" w:pos="0"/>
        </w:tabs>
        <w:ind w:left="8280" w:hanging="2160"/>
      </w:pPr>
      <w:rPr>
        <w:rFonts w:hint="default"/>
      </w:rPr>
    </w:lvl>
  </w:abstractNum>
  <w:abstractNum w:abstractNumId="9" w15:restartNumberingAfterBreak="0">
    <w:nsid w:val="0000000F"/>
    <w:multiLevelType w:val="singleLevel"/>
    <w:tmpl w:val="0000000F"/>
    <w:name w:val="WW8Num34"/>
    <w:lvl w:ilvl="0">
      <w:start w:val="1"/>
      <w:numFmt w:val="bullet"/>
      <w:lvlText w:val=""/>
      <w:lvlJc w:val="left"/>
      <w:pPr>
        <w:tabs>
          <w:tab w:val="num" w:pos="0"/>
        </w:tabs>
        <w:ind w:left="1440" w:hanging="360"/>
      </w:pPr>
      <w:rPr>
        <w:rFonts w:ascii="Wingdings" w:hAnsi="Wingdings" w:cs="Wingdings" w:hint="default"/>
        <w:szCs w:val="24"/>
      </w:rPr>
    </w:lvl>
  </w:abstractNum>
  <w:abstractNum w:abstractNumId="10" w15:restartNumberingAfterBreak="0">
    <w:nsid w:val="00000011"/>
    <w:multiLevelType w:val="singleLevel"/>
    <w:tmpl w:val="00000011"/>
    <w:name w:val="WW8Num38"/>
    <w:lvl w:ilvl="0">
      <w:start w:val="1"/>
      <w:numFmt w:val="decimal"/>
      <w:lvlText w:val="%1."/>
      <w:lvlJc w:val="left"/>
      <w:pPr>
        <w:tabs>
          <w:tab w:val="num" w:pos="0"/>
        </w:tabs>
        <w:ind w:left="720" w:hanging="360"/>
      </w:pPr>
      <w:rPr>
        <w:rFonts w:hint="default"/>
      </w:rPr>
    </w:lvl>
  </w:abstractNum>
  <w:abstractNum w:abstractNumId="11" w15:restartNumberingAfterBreak="0">
    <w:nsid w:val="00000013"/>
    <w:multiLevelType w:val="multilevel"/>
    <w:tmpl w:val="00000013"/>
    <w:name w:val="WW8Num48"/>
    <w:lvl w:ilvl="0">
      <w:start w:val="1"/>
      <w:numFmt w:val="decimal"/>
      <w:lvlText w:val="%1."/>
      <w:lvlJc w:val="left"/>
      <w:pPr>
        <w:tabs>
          <w:tab w:val="num" w:pos="0"/>
        </w:tabs>
        <w:ind w:left="465" w:hanging="465"/>
      </w:pPr>
      <w:rPr>
        <w:rFonts w:hint="default"/>
      </w:rPr>
    </w:lvl>
    <w:lvl w:ilvl="1">
      <w:start w:val="1"/>
      <w:numFmt w:val="decimal"/>
      <w:lvlText w:val="%1.%2"/>
      <w:lvlJc w:val="left"/>
      <w:pPr>
        <w:tabs>
          <w:tab w:val="num" w:pos="0"/>
        </w:tabs>
        <w:ind w:left="1170" w:hanging="465"/>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2835" w:hanging="72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605" w:hanging="1080"/>
      </w:pPr>
      <w:rPr>
        <w:rFonts w:hint="default"/>
      </w:rPr>
    </w:lvl>
    <w:lvl w:ilvl="6">
      <w:start w:val="1"/>
      <w:numFmt w:val="decimal"/>
      <w:lvlText w:val="%1.%2.%3.%4.%5.%6.%7"/>
      <w:lvlJc w:val="left"/>
      <w:pPr>
        <w:tabs>
          <w:tab w:val="num" w:pos="0"/>
        </w:tabs>
        <w:ind w:left="5670" w:hanging="1440"/>
      </w:pPr>
      <w:rPr>
        <w:rFonts w:hint="default"/>
      </w:rPr>
    </w:lvl>
    <w:lvl w:ilvl="7">
      <w:start w:val="1"/>
      <w:numFmt w:val="decimal"/>
      <w:lvlText w:val="%1.%2.%3.%4.%5.%6.%7.%8"/>
      <w:lvlJc w:val="left"/>
      <w:pPr>
        <w:tabs>
          <w:tab w:val="num" w:pos="0"/>
        </w:tabs>
        <w:ind w:left="6375" w:hanging="1440"/>
      </w:pPr>
      <w:rPr>
        <w:rFonts w:hint="default"/>
      </w:rPr>
    </w:lvl>
    <w:lvl w:ilvl="8">
      <w:start w:val="1"/>
      <w:numFmt w:val="decimal"/>
      <w:lvlText w:val="%1.%2.%3.%4.%5.%6.%7.%8.%9"/>
      <w:lvlJc w:val="left"/>
      <w:pPr>
        <w:tabs>
          <w:tab w:val="num" w:pos="0"/>
        </w:tabs>
        <w:ind w:left="7440" w:hanging="1800"/>
      </w:pPr>
      <w:rPr>
        <w:rFonts w:hint="default"/>
      </w:rPr>
    </w:lvl>
  </w:abstractNum>
  <w:abstractNum w:abstractNumId="12" w15:restartNumberingAfterBreak="0">
    <w:nsid w:val="0373109A"/>
    <w:multiLevelType w:val="hybridMultilevel"/>
    <w:tmpl w:val="4C1404D6"/>
    <w:lvl w:ilvl="0" w:tplc="04190005">
      <w:start w:val="1"/>
      <w:numFmt w:val="bullet"/>
      <w:lvlText w:val=""/>
      <w:lvlJc w:val="left"/>
      <w:pPr>
        <w:ind w:left="783" w:hanging="360"/>
      </w:pPr>
      <w:rPr>
        <w:rFonts w:ascii="Wingdings" w:hAnsi="Wingdings"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3" w15:restartNumberingAfterBreak="0">
    <w:nsid w:val="05720AED"/>
    <w:multiLevelType w:val="hybridMultilevel"/>
    <w:tmpl w:val="9820729A"/>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052DE8"/>
    <w:multiLevelType w:val="hybridMultilevel"/>
    <w:tmpl w:val="B31CC4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3453F9"/>
    <w:multiLevelType w:val="hybridMultilevel"/>
    <w:tmpl w:val="A2BCA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EE3543"/>
    <w:multiLevelType w:val="hybridMultilevel"/>
    <w:tmpl w:val="2602A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B66476"/>
    <w:multiLevelType w:val="multilevel"/>
    <w:tmpl w:val="CF547214"/>
    <w:styleLink w:val="a"/>
    <w:lvl w:ilvl="0">
      <w:start w:val="1"/>
      <w:numFmt w:val="decimal"/>
      <w:lvlText w:val="%1."/>
      <w:lvlJc w:val="left"/>
      <w:pPr>
        <w:tabs>
          <w:tab w:val="num" w:pos="1080"/>
        </w:tabs>
        <w:ind w:left="1080" w:hanging="360"/>
      </w:pPr>
    </w:lvl>
    <w:lvl w:ilvl="1">
      <w:start w:val="1"/>
      <w:numFmt w:val="lowerLetter"/>
      <w:lvlText w:val="%2."/>
      <w:lvlJc w:val="left"/>
      <w:pPr>
        <w:tabs>
          <w:tab w:val="num" w:pos="1620"/>
        </w:tabs>
        <w:ind w:left="1620" w:hanging="360"/>
      </w:pPr>
      <w:rPr>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13414AE3"/>
    <w:multiLevelType w:val="hybridMultilevel"/>
    <w:tmpl w:val="8F901E5E"/>
    <w:lvl w:ilvl="0" w:tplc="C1DE1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805ABA"/>
    <w:multiLevelType w:val="multilevel"/>
    <w:tmpl w:val="A892593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77537F"/>
    <w:multiLevelType w:val="hybridMultilevel"/>
    <w:tmpl w:val="DB2CC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B74177"/>
    <w:multiLevelType w:val="hybridMultilevel"/>
    <w:tmpl w:val="6A861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CA5AE6"/>
    <w:multiLevelType w:val="hybridMultilevel"/>
    <w:tmpl w:val="C9C29E6A"/>
    <w:lvl w:ilvl="0" w:tplc="04190005">
      <w:start w:val="1"/>
      <w:numFmt w:val="bullet"/>
      <w:lvlText w:val=""/>
      <w:lvlJc w:val="left"/>
      <w:pPr>
        <w:tabs>
          <w:tab w:val="num" w:pos="935"/>
        </w:tabs>
        <w:ind w:left="935" w:hanging="360"/>
      </w:pPr>
      <w:rPr>
        <w:rFonts w:ascii="Wingdings" w:hAnsi="Wingdings" w:hint="default"/>
      </w:rPr>
    </w:lvl>
    <w:lvl w:ilvl="1" w:tplc="0419000F">
      <w:start w:val="1"/>
      <w:numFmt w:val="decimal"/>
      <w:lvlText w:val="%2."/>
      <w:lvlJc w:val="left"/>
      <w:pPr>
        <w:tabs>
          <w:tab w:val="num" w:pos="1655"/>
        </w:tabs>
        <w:ind w:left="1655" w:hanging="360"/>
      </w:pPr>
      <w:rPr>
        <w:rFonts w:hint="default"/>
      </w:rPr>
    </w:lvl>
    <w:lvl w:ilvl="2" w:tplc="04190005">
      <w:start w:val="1"/>
      <w:numFmt w:val="bullet"/>
      <w:lvlText w:val=""/>
      <w:lvlJc w:val="left"/>
      <w:pPr>
        <w:tabs>
          <w:tab w:val="num" w:pos="2375"/>
        </w:tabs>
        <w:ind w:left="2375" w:hanging="360"/>
      </w:pPr>
      <w:rPr>
        <w:rFonts w:ascii="Wingdings" w:hAnsi="Wingdings" w:hint="default"/>
      </w:rPr>
    </w:lvl>
    <w:lvl w:ilvl="3" w:tplc="04190001" w:tentative="1">
      <w:start w:val="1"/>
      <w:numFmt w:val="bullet"/>
      <w:lvlText w:val=""/>
      <w:lvlJc w:val="left"/>
      <w:pPr>
        <w:tabs>
          <w:tab w:val="num" w:pos="3095"/>
        </w:tabs>
        <w:ind w:left="3095" w:hanging="360"/>
      </w:pPr>
      <w:rPr>
        <w:rFonts w:ascii="Symbol" w:hAnsi="Symbol" w:hint="default"/>
      </w:rPr>
    </w:lvl>
    <w:lvl w:ilvl="4" w:tplc="04190003" w:tentative="1">
      <w:start w:val="1"/>
      <w:numFmt w:val="bullet"/>
      <w:lvlText w:val="o"/>
      <w:lvlJc w:val="left"/>
      <w:pPr>
        <w:tabs>
          <w:tab w:val="num" w:pos="3815"/>
        </w:tabs>
        <w:ind w:left="3815" w:hanging="360"/>
      </w:pPr>
      <w:rPr>
        <w:rFonts w:ascii="Courier New" w:hAnsi="Courier New" w:cs="Courier New" w:hint="default"/>
      </w:rPr>
    </w:lvl>
    <w:lvl w:ilvl="5" w:tplc="04190005" w:tentative="1">
      <w:start w:val="1"/>
      <w:numFmt w:val="bullet"/>
      <w:lvlText w:val=""/>
      <w:lvlJc w:val="left"/>
      <w:pPr>
        <w:tabs>
          <w:tab w:val="num" w:pos="4535"/>
        </w:tabs>
        <w:ind w:left="4535" w:hanging="360"/>
      </w:pPr>
      <w:rPr>
        <w:rFonts w:ascii="Wingdings" w:hAnsi="Wingdings" w:hint="default"/>
      </w:rPr>
    </w:lvl>
    <w:lvl w:ilvl="6" w:tplc="04190001" w:tentative="1">
      <w:start w:val="1"/>
      <w:numFmt w:val="bullet"/>
      <w:lvlText w:val=""/>
      <w:lvlJc w:val="left"/>
      <w:pPr>
        <w:tabs>
          <w:tab w:val="num" w:pos="5255"/>
        </w:tabs>
        <w:ind w:left="5255" w:hanging="360"/>
      </w:pPr>
      <w:rPr>
        <w:rFonts w:ascii="Symbol" w:hAnsi="Symbol" w:hint="default"/>
      </w:rPr>
    </w:lvl>
    <w:lvl w:ilvl="7" w:tplc="04190003" w:tentative="1">
      <w:start w:val="1"/>
      <w:numFmt w:val="bullet"/>
      <w:lvlText w:val="o"/>
      <w:lvlJc w:val="left"/>
      <w:pPr>
        <w:tabs>
          <w:tab w:val="num" w:pos="5975"/>
        </w:tabs>
        <w:ind w:left="5975" w:hanging="360"/>
      </w:pPr>
      <w:rPr>
        <w:rFonts w:ascii="Courier New" w:hAnsi="Courier New" w:cs="Courier New" w:hint="default"/>
      </w:rPr>
    </w:lvl>
    <w:lvl w:ilvl="8" w:tplc="04190005" w:tentative="1">
      <w:start w:val="1"/>
      <w:numFmt w:val="bullet"/>
      <w:lvlText w:val=""/>
      <w:lvlJc w:val="left"/>
      <w:pPr>
        <w:tabs>
          <w:tab w:val="num" w:pos="6695"/>
        </w:tabs>
        <w:ind w:left="6695" w:hanging="360"/>
      </w:pPr>
      <w:rPr>
        <w:rFonts w:ascii="Wingdings" w:hAnsi="Wingdings" w:hint="default"/>
      </w:rPr>
    </w:lvl>
  </w:abstractNum>
  <w:abstractNum w:abstractNumId="23" w15:restartNumberingAfterBreak="0">
    <w:nsid w:val="2D4A3AF9"/>
    <w:multiLevelType w:val="multilevel"/>
    <w:tmpl w:val="5E50A5E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6"/>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B61362"/>
    <w:multiLevelType w:val="hybridMultilevel"/>
    <w:tmpl w:val="ACDA991E"/>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C86EA0"/>
    <w:multiLevelType w:val="hybridMultilevel"/>
    <w:tmpl w:val="751AE6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339D3E23"/>
    <w:multiLevelType w:val="multilevel"/>
    <w:tmpl w:val="18EEAA0E"/>
    <w:name w:val="WW8Num322"/>
    <w:lvl w:ilvl="0">
      <w:start w:val="5"/>
      <w:numFmt w:val="decimal"/>
      <w:lvlText w:val="%1."/>
      <w:lvlJc w:val="left"/>
      <w:pPr>
        <w:tabs>
          <w:tab w:val="num" w:pos="0"/>
        </w:tabs>
        <w:ind w:left="1080" w:hanging="720"/>
      </w:pPr>
      <w:rPr>
        <w:rFonts w:ascii="Times New Roman" w:hAnsi="Times New Roman" w:cs="Times New Roman" w:hint="default"/>
        <w:kern w:val="1"/>
        <w:sz w:val="28"/>
        <w:szCs w:val="28"/>
      </w:rPr>
    </w:lvl>
    <w:lvl w:ilvl="1">
      <w:start w:val="1"/>
      <w:numFmt w:val="decimal"/>
      <w:lvlText w:val="%1.%2."/>
      <w:lvlJc w:val="left"/>
      <w:pPr>
        <w:tabs>
          <w:tab w:val="num" w:pos="0"/>
        </w:tabs>
        <w:ind w:left="1800" w:hanging="720"/>
      </w:pPr>
      <w:rPr>
        <w:rFonts w:hint="default"/>
      </w:rPr>
    </w:lvl>
    <w:lvl w:ilvl="2">
      <w:start w:val="1"/>
      <w:numFmt w:val="decimal"/>
      <w:lvlText w:val="%1.%2.%3."/>
      <w:lvlJc w:val="left"/>
      <w:pPr>
        <w:tabs>
          <w:tab w:val="num" w:pos="0"/>
        </w:tabs>
        <w:ind w:left="2520" w:hanging="720"/>
      </w:pPr>
      <w:rPr>
        <w:rFonts w:hint="default"/>
      </w:rPr>
    </w:lvl>
    <w:lvl w:ilvl="3">
      <w:start w:val="1"/>
      <w:numFmt w:val="decimal"/>
      <w:lvlText w:val="%1.%2.%3.%4."/>
      <w:lvlJc w:val="left"/>
      <w:pPr>
        <w:tabs>
          <w:tab w:val="num" w:pos="0"/>
        </w:tabs>
        <w:ind w:left="3600" w:hanging="1080"/>
      </w:pPr>
      <w:rPr>
        <w:rFonts w:hint="default"/>
      </w:rPr>
    </w:lvl>
    <w:lvl w:ilvl="4">
      <w:start w:val="1"/>
      <w:numFmt w:val="decimal"/>
      <w:lvlText w:val="%1.%2.%3.%4.%5."/>
      <w:lvlJc w:val="left"/>
      <w:pPr>
        <w:tabs>
          <w:tab w:val="num" w:pos="0"/>
        </w:tabs>
        <w:ind w:left="4680" w:hanging="1440"/>
      </w:pPr>
      <w:rPr>
        <w:rFonts w:hint="default"/>
      </w:rPr>
    </w:lvl>
    <w:lvl w:ilvl="5">
      <w:start w:val="1"/>
      <w:numFmt w:val="decimal"/>
      <w:lvlText w:val="%1.%2.%3.%4.%5.%6."/>
      <w:lvlJc w:val="left"/>
      <w:pPr>
        <w:tabs>
          <w:tab w:val="num" w:pos="0"/>
        </w:tabs>
        <w:ind w:left="5400" w:hanging="1440"/>
      </w:pPr>
      <w:rPr>
        <w:rFonts w:hint="default"/>
      </w:rPr>
    </w:lvl>
    <w:lvl w:ilvl="6">
      <w:start w:val="1"/>
      <w:numFmt w:val="decimal"/>
      <w:lvlText w:val="%1.%2.%3.%4.%5.%6.%7."/>
      <w:lvlJc w:val="left"/>
      <w:pPr>
        <w:tabs>
          <w:tab w:val="num" w:pos="0"/>
        </w:tabs>
        <w:ind w:left="6480" w:hanging="1800"/>
      </w:pPr>
      <w:rPr>
        <w:rFonts w:hint="default"/>
      </w:rPr>
    </w:lvl>
    <w:lvl w:ilvl="7">
      <w:start w:val="1"/>
      <w:numFmt w:val="decimal"/>
      <w:lvlText w:val="%1.%2.%3.%4.%5.%6.%7.%8."/>
      <w:lvlJc w:val="left"/>
      <w:pPr>
        <w:tabs>
          <w:tab w:val="num" w:pos="0"/>
        </w:tabs>
        <w:ind w:left="7200" w:hanging="1800"/>
      </w:pPr>
      <w:rPr>
        <w:rFonts w:hint="default"/>
      </w:rPr>
    </w:lvl>
    <w:lvl w:ilvl="8">
      <w:start w:val="1"/>
      <w:numFmt w:val="decimal"/>
      <w:lvlText w:val="%1.%2.%3.%4.%5.%6.%7.%8.%9."/>
      <w:lvlJc w:val="left"/>
      <w:pPr>
        <w:tabs>
          <w:tab w:val="num" w:pos="0"/>
        </w:tabs>
        <w:ind w:left="8280" w:hanging="2160"/>
      </w:pPr>
      <w:rPr>
        <w:rFonts w:hint="default"/>
      </w:rPr>
    </w:lvl>
  </w:abstractNum>
  <w:abstractNum w:abstractNumId="27" w15:restartNumberingAfterBreak="0">
    <w:nsid w:val="35AA065A"/>
    <w:multiLevelType w:val="hybridMultilevel"/>
    <w:tmpl w:val="CF323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7F5F4D"/>
    <w:multiLevelType w:val="hybridMultilevel"/>
    <w:tmpl w:val="D0D28C7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9483CDD"/>
    <w:multiLevelType w:val="hybridMultilevel"/>
    <w:tmpl w:val="7158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94F4B7F"/>
    <w:multiLevelType w:val="hybridMultilevel"/>
    <w:tmpl w:val="02D4DD00"/>
    <w:lvl w:ilvl="0" w:tplc="8A74F420">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115FAA"/>
    <w:multiLevelType w:val="multilevel"/>
    <w:tmpl w:val="230A87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EC833A4"/>
    <w:multiLevelType w:val="multilevel"/>
    <w:tmpl w:val="CE147E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1B7274"/>
    <w:multiLevelType w:val="hybridMultilevel"/>
    <w:tmpl w:val="4158206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4186B2F"/>
    <w:multiLevelType w:val="hybridMultilevel"/>
    <w:tmpl w:val="4B52099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437152F"/>
    <w:multiLevelType w:val="hybridMultilevel"/>
    <w:tmpl w:val="CD6E6ED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A676811"/>
    <w:multiLevelType w:val="hybridMultilevel"/>
    <w:tmpl w:val="61380E1A"/>
    <w:lvl w:ilvl="0" w:tplc="04190001">
      <w:start w:val="1"/>
      <w:numFmt w:val="bullet"/>
      <w:lvlText w:val=""/>
      <w:lvlJc w:val="left"/>
      <w:pPr>
        <w:ind w:left="783" w:hanging="360"/>
      </w:pPr>
      <w:rPr>
        <w:rFonts w:ascii="Symbol" w:hAnsi="Symbol"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37" w15:restartNumberingAfterBreak="0">
    <w:nsid w:val="5E134184"/>
    <w:multiLevelType w:val="multilevel"/>
    <w:tmpl w:val="4208AF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8" w15:restartNumberingAfterBreak="0">
    <w:nsid w:val="5FBB65EB"/>
    <w:multiLevelType w:val="hybridMultilevel"/>
    <w:tmpl w:val="73FC1D4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1B92FA8"/>
    <w:multiLevelType w:val="hybridMultilevel"/>
    <w:tmpl w:val="EEA024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865A41"/>
    <w:multiLevelType w:val="hybridMultilevel"/>
    <w:tmpl w:val="6B7832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762681"/>
    <w:multiLevelType w:val="hybridMultilevel"/>
    <w:tmpl w:val="979EF1F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2481537"/>
    <w:multiLevelType w:val="hybridMultilevel"/>
    <w:tmpl w:val="CEBC77CA"/>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626679"/>
    <w:multiLevelType w:val="hybridMultilevel"/>
    <w:tmpl w:val="F3AC9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350F1C"/>
    <w:multiLevelType w:val="hybridMultilevel"/>
    <w:tmpl w:val="A53A0B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912773D"/>
    <w:multiLevelType w:val="hybridMultilevel"/>
    <w:tmpl w:val="72EC28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4F6FA7"/>
    <w:multiLevelType w:val="hybridMultilevel"/>
    <w:tmpl w:val="35C067D6"/>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7" w15:restartNumberingAfterBreak="0">
    <w:nsid w:val="7A8515C0"/>
    <w:multiLevelType w:val="hybridMultilevel"/>
    <w:tmpl w:val="2CF05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910222"/>
    <w:multiLevelType w:val="hybridMultilevel"/>
    <w:tmpl w:val="FB6269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15:restartNumberingAfterBreak="0">
    <w:nsid w:val="7FE70C17"/>
    <w:multiLevelType w:val="hybridMultilevel"/>
    <w:tmpl w:val="C69E4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17"/>
  </w:num>
  <w:num w:numId="4">
    <w:abstractNumId w:val="48"/>
  </w:num>
  <w:num w:numId="5">
    <w:abstractNumId w:val="41"/>
  </w:num>
  <w:num w:numId="6">
    <w:abstractNumId w:val="31"/>
  </w:num>
  <w:num w:numId="7">
    <w:abstractNumId w:val="21"/>
  </w:num>
  <w:num w:numId="8">
    <w:abstractNumId w:val="8"/>
  </w:num>
  <w:num w:numId="9">
    <w:abstractNumId w:val="5"/>
  </w:num>
  <w:num w:numId="10">
    <w:abstractNumId w:val="6"/>
  </w:num>
  <w:num w:numId="11">
    <w:abstractNumId w:val="11"/>
  </w:num>
  <w:num w:numId="12">
    <w:abstractNumId w:val="35"/>
  </w:num>
  <w:num w:numId="13">
    <w:abstractNumId w:val="33"/>
  </w:num>
  <w:num w:numId="14">
    <w:abstractNumId w:val="38"/>
  </w:num>
  <w:num w:numId="15">
    <w:abstractNumId w:val="19"/>
  </w:num>
  <w:num w:numId="16">
    <w:abstractNumId w:val="45"/>
  </w:num>
  <w:num w:numId="17">
    <w:abstractNumId w:val="23"/>
  </w:num>
  <w:num w:numId="18">
    <w:abstractNumId w:val="39"/>
  </w:num>
  <w:num w:numId="19">
    <w:abstractNumId w:val="40"/>
  </w:num>
  <w:num w:numId="20">
    <w:abstractNumId w:val="24"/>
  </w:num>
  <w:num w:numId="21">
    <w:abstractNumId w:val="10"/>
  </w:num>
  <w:num w:numId="22">
    <w:abstractNumId w:val="37"/>
  </w:num>
  <w:num w:numId="23">
    <w:abstractNumId w:val="1"/>
  </w:num>
  <w:num w:numId="24">
    <w:abstractNumId w:val="32"/>
  </w:num>
  <w:num w:numId="25">
    <w:abstractNumId w:val="46"/>
  </w:num>
  <w:num w:numId="26">
    <w:abstractNumId w:val="15"/>
  </w:num>
  <w:num w:numId="27">
    <w:abstractNumId w:val="26"/>
  </w:num>
  <w:num w:numId="28">
    <w:abstractNumId w:val="7"/>
  </w:num>
  <w:num w:numId="29">
    <w:abstractNumId w:val="9"/>
  </w:num>
  <w:num w:numId="30">
    <w:abstractNumId w:val="12"/>
  </w:num>
  <w:num w:numId="31">
    <w:abstractNumId w:val="49"/>
  </w:num>
  <w:num w:numId="32">
    <w:abstractNumId w:val="14"/>
  </w:num>
  <w:num w:numId="33">
    <w:abstractNumId w:val="18"/>
  </w:num>
  <w:num w:numId="34">
    <w:abstractNumId w:val="28"/>
  </w:num>
  <w:num w:numId="35">
    <w:abstractNumId w:val="42"/>
  </w:num>
  <w:num w:numId="36">
    <w:abstractNumId w:val="20"/>
  </w:num>
  <w:num w:numId="37">
    <w:abstractNumId w:val="27"/>
  </w:num>
  <w:num w:numId="38">
    <w:abstractNumId w:val="43"/>
  </w:num>
  <w:num w:numId="39">
    <w:abstractNumId w:val="34"/>
  </w:num>
  <w:num w:numId="40">
    <w:abstractNumId w:val="25"/>
  </w:num>
  <w:num w:numId="41">
    <w:abstractNumId w:val="47"/>
  </w:num>
  <w:num w:numId="42">
    <w:abstractNumId w:val="16"/>
  </w:num>
  <w:num w:numId="43">
    <w:abstractNumId w:val="29"/>
  </w:num>
  <w:num w:numId="44">
    <w:abstractNumId w:val="30"/>
  </w:num>
  <w:num w:numId="45">
    <w:abstractNumId w:val="44"/>
  </w:num>
  <w:num w:numId="46">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EB"/>
    <w:rsid w:val="0000005A"/>
    <w:rsid w:val="0000231B"/>
    <w:rsid w:val="000028C3"/>
    <w:rsid w:val="00003D29"/>
    <w:rsid w:val="00005756"/>
    <w:rsid w:val="00006B52"/>
    <w:rsid w:val="00007ABB"/>
    <w:rsid w:val="00007EE5"/>
    <w:rsid w:val="00010022"/>
    <w:rsid w:val="0001087A"/>
    <w:rsid w:val="00015633"/>
    <w:rsid w:val="000158A2"/>
    <w:rsid w:val="000216AD"/>
    <w:rsid w:val="000219CC"/>
    <w:rsid w:val="00024D6F"/>
    <w:rsid w:val="00025D75"/>
    <w:rsid w:val="000269BD"/>
    <w:rsid w:val="00030282"/>
    <w:rsid w:val="000304B2"/>
    <w:rsid w:val="00031467"/>
    <w:rsid w:val="00033426"/>
    <w:rsid w:val="00035AEA"/>
    <w:rsid w:val="00037371"/>
    <w:rsid w:val="00037428"/>
    <w:rsid w:val="000405D2"/>
    <w:rsid w:val="000414AB"/>
    <w:rsid w:val="00041588"/>
    <w:rsid w:val="00041F64"/>
    <w:rsid w:val="00044318"/>
    <w:rsid w:val="00044A69"/>
    <w:rsid w:val="000464B5"/>
    <w:rsid w:val="000469CA"/>
    <w:rsid w:val="00046E24"/>
    <w:rsid w:val="00047778"/>
    <w:rsid w:val="00050679"/>
    <w:rsid w:val="00051046"/>
    <w:rsid w:val="0005153A"/>
    <w:rsid w:val="00051B2D"/>
    <w:rsid w:val="00051B9C"/>
    <w:rsid w:val="0005288D"/>
    <w:rsid w:val="00052939"/>
    <w:rsid w:val="00052FCE"/>
    <w:rsid w:val="000541F9"/>
    <w:rsid w:val="00054B5F"/>
    <w:rsid w:val="000560C5"/>
    <w:rsid w:val="00056CC0"/>
    <w:rsid w:val="0006185A"/>
    <w:rsid w:val="00061B1F"/>
    <w:rsid w:val="000635DD"/>
    <w:rsid w:val="0006415C"/>
    <w:rsid w:val="0006429A"/>
    <w:rsid w:val="00070588"/>
    <w:rsid w:val="000708AB"/>
    <w:rsid w:val="00070EEB"/>
    <w:rsid w:val="00072BB4"/>
    <w:rsid w:val="00073633"/>
    <w:rsid w:val="000758D7"/>
    <w:rsid w:val="00076F17"/>
    <w:rsid w:val="00077FDF"/>
    <w:rsid w:val="00081202"/>
    <w:rsid w:val="0008270C"/>
    <w:rsid w:val="000834A9"/>
    <w:rsid w:val="00085452"/>
    <w:rsid w:val="0008631B"/>
    <w:rsid w:val="00087C0B"/>
    <w:rsid w:val="00087DA3"/>
    <w:rsid w:val="000929D3"/>
    <w:rsid w:val="0009621A"/>
    <w:rsid w:val="00096AF3"/>
    <w:rsid w:val="000978B3"/>
    <w:rsid w:val="000A00A5"/>
    <w:rsid w:val="000A1A17"/>
    <w:rsid w:val="000A235A"/>
    <w:rsid w:val="000A2E87"/>
    <w:rsid w:val="000A37AD"/>
    <w:rsid w:val="000A49B1"/>
    <w:rsid w:val="000A4D80"/>
    <w:rsid w:val="000A6F9E"/>
    <w:rsid w:val="000A77E6"/>
    <w:rsid w:val="000B0287"/>
    <w:rsid w:val="000B0D90"/>
    <w:rsid w:val="000B0DF9"/>
    <w:rsid w:val="000B2A7B"/>
    <w:rsid w:val="000B3B3D"/>
    <w:rsid w:val="000B4D1E"/>
    <w:rsid w:val="000B4EA8"/>
    <w:rsid w:val="000B5207"/>
    <w:rsid w:val="000B6B09"/>
    <w:rsid w:val="000C10AE"/>
    <w:rsid w:val="000C2591"/>
    <w:rsid w:val="000C3241"/>
    <w:rsid w:val="000C33C6"/>
    <w:rsid w:val="000C4021"/>
    <w:rsid w:val="000C4B31"/>
    <w:rsid w:val="000C52CF"/>
    <w:rsid w:val="000C5E7E"/>
    <w:rsid w:val="000C779D"/>
    <w:rsid w:val="000D018F"/>
    <w:rsid w:val="000D061F"/>
    <w:rsid w:val="000D0A2C"/>
    <w:rsid w:val="000D0CAD"/>
    <w:rsid w:val="000D1C7A"/>
    <w:rsid w:val="000D2D86"/>
    <w:rsid w:val="000D31EC"/>
    <w:rsid w:val="000D6A7C"/>
    <w:rsid w:val="000D7E75"/>
    <w:rsid w:val="000E01B8"/>
    <w:rsid w:val="000E0AD2"/>
    <w:rsid w:val="000E4D82"/>
    <w:rsid w:val="000E5801"/>
    <w:rsid w:val="000E6522"/>
    <w:rsid w:val="000E66D7"/>
    <w:rsid w:val="000F00B2"/>
    <w:rsid w:val="000F2177"/>
    <w:rsid w:val="000F2B62"/>
    <w:rsid w:val="000F5B19"/>
    <w:rsid w:val="000F6AF1"/>
    <w:rsid w:val="000F6F99"/>
    <w:rsid w:val="000F7E7D"/>
    <w:rsid w:val="00100096"/>
    <w:rsid w:val="00102908"/>
    <w:rsid w:val="00102A17"/>
    <w:rsid w:val="001034D6"/>
    <w:rsid w:val="001048A5"/>
    <w:rsid w:val="0011336A"/>
    <w:rsid w:val="001133F0"/>
    <w:rsid w:val="00115228"/>
    <w:rsid w:val="00115FF8"/>
    <w:rsid w:val="0011608B"/>
    <w:rsid w:val="00116907"/>
    <w:rsid w:val="001171D4"/>
    <w:rsid w:val="00117319"/>
    <w:rsid w:val="001225C6"/>
    <w:rsid w:val="00123E14"/>
    <w:rsid w:val="00124CB6"/>
    <w:rsid w:val="00126AE9"/>
    <w:rsid w:val="00126B69"/>
    <w:rsid w:val="00127CB7"/>
    <w:rsid w:val="0013270D"/>
    <w:rsid w:val="00135237"/>
    <w:rsid w:val="00135695"/>
    <w:rsid w:val="00135B78"/>
    <w:rsid w:val="00135EA9"/>
    <w:rsid w:val="00141208"/>
    <w:rsid w:val="00141792"/>
    <w:rsid w:val="001425E7"/>
    <w:rsid w:val="001429DB"/>
    <w:rsid w:val="001435CA"/>
    <w:rsid w:val="001438CC"/>
    <w:rsid w:val="001439B0"/>
    <w:rsid w:val="001451B0"/>
    <w:rsid w:val="00146B29"/>
    <w:rsid w:val="00147922"/>
    <w:rsid w:val="00150353"/>
    <w:rsid w:val="00150939"/>
    <w:rsid w:val="00151275"/>
    <w:rsid w:val="001521DF"/>
    <w:rsid w:val="0015287B"/>
    <w:rsid w:val="00156951"/>
    <w:rsid w:val="00160E7C"/>
    <w:rsid w:val="00161DDE"/>
    <w:rsid w:val="001635F5"/>
    <w:rsid w:val="0016477E"/>
    <w:rsid w:val="00165E57"/>
    <w:rsid w:val="001663CE"/>
    <w:rsid w:val="00166DE7"/>
    <w:rsid w:val="00170486"/>
    <w:rsid w:val="00172438"/>
    <w:rsid w:val="0017271C"/>
    <w:rsid w:val="001744C4"/>
    <w:rsid w:val="001768A7"/>
    <w:rsid w:val="0017792D"/>
    <w:rsid w:val="0018015F"/>
    <w:rsid w:val="00180643"/>
    <w:rsid w:val="00181391"/>
    <w:rsid w:val="00182D46"/>
    <w:rsid w:val="001858B3"/>
    <w:rsid w:val="00185DE0"/>
    <w:rsid w:val="00186FEC"/>
    <w:rsid w:val="0019088D"/>
    <w:rsid w:val="00190B7A"/>
    <w:rsid w:val="00192119"/>
    <w:rsid w:val="001922B1"/>
    <w:rsid w:val="00192C34"/>
    <w:rsid w:val="00194D4B"/>
    <w:rsid w:val="00195738"/>
    <w:rsid w:val="001965A5"/>
    <w:rsid w:val="0019772E"/>
    <w:rsid w:val="001977F3"/>
    <w:rsid w:val="001A0381"/>
    <w:rsid w:val="001A12DF"/>
    <w:rsid w:val="001A1765"/>
    <w:rsid w:val="001A2BDF"/>
    <w:rsid w:val="001B048C"/>
    <w:rsid w:val="001B4224"/>
    <w:rsid w:val="001B4E71"/>
    <w:rsid w:val="001B554B"/>
    <w:rsid w:val="001B556F"/>
    <w:rsid w:val="001B6568"/>
    <w:rsid w:val="001B6B51"/>
    <w:rsid w:val="001C0022"/>
    <w:rsid w:val="001C00F0"/>
    <w:rsid w:val="001C02E3"/>
    <w:rsid w:val="001C2FE3"/>
    <w:rsid w:val="001C4451"/>
    <w:rsid w:val="001C5937"/>
    <w:rsid w:val="001C5D47"/>
    <w:rsid w:val="001C676D"/>
    <w:rsid w:val="001D399C"/>
    <w:rsid w:val="001D3ABF"/>
    <w:rsid w:val="001D5E2F"/>
    <w:rsid w:val="001D663B"/>
    <w:rsid w:val="001D71AE"/>
    <w:rsid w:val="001E01E6"/>
    <w:rsid w:val="001E1FE1"/>
    <w:rsid w:val="001E2096"/>
    <w:rsid w:val="001E3BAA"/>
    <w:rsid w:val="001E3D41"/>
    <w:rsid w:val="001E48BF"/>
    <w:rsid w:val="001E6C2C"/>
    <w:rsid w:val="001F07AC"/>
    <w:rsid w:val="001F3873"/>
    <w:rsid w:val="001F50F3"/>
    <w:rsid w:val="001F518C"/>
    <w:rsid w:val="001F536D"/>
    <w:rsid w:val="001F607F"/>
    <w:rsid w:val="00200F89"/>
    <w:rsid w:val="002018E3"/>
    <w:rsid w:val="0020206F"/>
    <w:rsid w:val="00202970"/>
    <w:rsid w:val="00203313"/>
    <w:rsid w:val="00203DDE"/>
    <w:rsid w:val="00204902"/>
    <w:rsid w:val="00205D4A"/>
    <w:rsid w:val="00207B69"/>
    <w:rsid w:val="002100AA"/>
    <w:rsid w:val="00210235"/>
    <w:rsid w:val="002103AE"/>
    <w:rsid w:val="00215505"/>
    <w:rsid w:val="00215FCC"/>
    <w:rsid w:val="00220302"/>
    <w:rsid w:val="0022072C"/>
    <w:rsid w:val="00222618"/>
    <w:rsid w:val="0022518E"/>
    <w:rsid w:val="0023074C"/>
    <w:rsid w:val="00232565"/>
    <w:rsid w:val="0023266B"/>
    <w:rsid w:val="00232A43"/>
    <w:rsid w:val="002336AC"/>
    <w:rsid w:val="0023370C"/>
    <w:rsid w:val="00233855"/>
    <w:rsid w:val="00237B06"/>
    <w:rsid w:val="002445E3"/>
    <w:rsid w:val="00244705"/>
    <w:rsid w:val="00245FBF"/>
    <w:rsid w:val="00247322"/>
    <w:rsid w:val="0025056E"/>
    <w:rsid w:val="0025074B"/>
    <w:rsid w:val="0025143B"/>
    <w:rsid w:val="0025578C"/>
    <w:rsid w:val="00255980"/>
    <w:rsid w:val="00256454"/>
    <w:rsid w:val="00257E02"/>
    <w:rsid w:val="00260598"/>
    <w:rsid w:val="002622DE"/>
    <w:rsid w:val="002625BD"/>
    <w:rsid w:val="002629C1"/>
    <w:rsid w:val="00263028"/>
    <w:rsid w:val="0026412E"/>
    <w:rsid w:val="00264818"/>
    <w:rsid w:val="00266D46"/>
    <w:rsid w:val="00270EA3"/>
    <w:rsid w:val="002734B7"/>
    <w:rsid w:val="00273838"/>
    <w:rsid w:val="00274184"/>
    <w:rsid w:val="00275F99"/>
    <w:rsid w:val="00277D38"/>
    <w:rsid w:val="002823E9"/>
    <w:rsid w:val="00284A18"/>
    <w:rsid w:val="002877B3"/>
    <w:rsid w:val="002904BC"/>
    <w:rsid w:val="00290733"/>
    <w:rsid w:val="00294C63"/>
    <w:rsid w:val="00295170"/>
    <w:rsid w:val="002955F4"/>
    <w:rsid w:val="00295664"/>
    <w:rsid w:val="00296BF9"/>
    <w:rsid w:val="0029780D"/>
    <w:rsid w:val="002979C6"/>
    <w:rsid w:val="00297FCC"/>
    <w:rsid w:val="002A07E2"/>
    <w:rsid w:val="002A07EA"/>
    <w:rsid w:val="002A1410"/>
    <w:rsid w:val="002A34FA"/>
    <w:rsid w:val="002A39A9"/>
    <w:rsid w:val="002A5341"/>
    <w:rsid w:val="002A54C0"/>
    <w:rsid w:val="002A5EF8"/>
    <w:rsid w:val="002A6434"/>
    <w:rsid w:val="002A7C56"/>
    <w:rsid w:val="002B0910"/>
    <w:rsid w:val="002B0AC5"/>
    <w:rsid w:val="002B0C71"/>
    <w:rsid w:val="002B1441"/>
    <w:rsid w:val="002B35A3"/>
    <w:rsid w:val="002B400D"/>
    <w:rsid w:val="002B49F7"/>
    <w:rsid w:val="002B6EB0"/>
    <w:rsid w:val="002C00FA"/>
    <w:rsid w:val="002C01E5"/>
    <w:rsid w:val="002C0706"/>
    <w:rsid w:val="002C0BE1"/>
    <w:rsid w:val="002C1241"/>
    <w:rsid w:val="002C2236"/>
    <w:rsid w:val="002C3911"/>
    <w:rsid w:val="002C4488"/>
    <w:rsid w:val="002C6561"/>
    <w:rsid w:val="002C7B18"/>
    <w:rsid w:val="002D0035"/>
    <w:rsid w:val="002D0AAF"/>
    <w:rsid w:val="002D12A2"/>
    <w:rsid w:val="002D3A27"/>
    <w:rsid w:val="002D3C0A"/>
    <w:rsid w:val="002D541C"/>
    <w:rsid w:val="002D5574"/>
    <w:rsid w:val="002D565E"/>
    <w:rsid w:val="002D5CF8"/>
    <w:rsid w:val="002D625C"/>
    <w:rsid w:val="002D797F"/>
    <w:rsid w:val="002D7E9B"/>
    <w:rsid w:val="002E07DC"/>
    <w:rsid w:val="002E1831"/>
    <w:rsid w:val="002E19FD"/>
    <w:rsid w:val="002E2872"/>
    <w:rsid w:val="002E36D4"/>
    <w:rsid w:val="002E47E6"/>
    <w:rsid w:val="002E4804"/>
    <w:rsid w:val="002E5502"/>
    <w:rsid w:val="002E5974"/>
    <w:rsid w:val="002E5B0D"/>
    <w:rsid w:val="002E614F"/>
    <w:rsid w:val="002F04CC"/>
    <w:rsid w:val="002F0688"/>
    <w:rsid w:val="002F1404"/>
    <w:rsid w:val="002F16B5"/>
    <w:rsid w:val="002F2C9A"/>
    <w:rsid w:val="002F3146"/>
    <w:rsid w:val="002F331C"/>
    <w:rsid w:val="002F4D32"/>
    <w:rsid w:val="00302851"/>
    <w:rsid w:val="00304287"/>
    <w:rsid w:val="00304A5A"/>
    <w:rsid w:val="0031126F"/>
    <w:rsid w:val="003128CC"/>
    <w:rsid w:val="00313BE2"/>
    <w:rsid w:val="003150DF"/>
    <w:rsid w:val="003156CB"/>
    <w:rsid w:val="00315EC6"/>
    <w:rsid w:val="00316E6F"/>
    <w:rsid w:val="00320F0E"/>
    <w:rsid w:val="00322D7D"/>
    <w:rsid w:val="00322F74"/>
    <w:rsid w:val="00323D0C"/>
    <w:rsid w:val="003253A0"/>
    <w:rsid w:val="0032711D"/>
    <w:rsid w:val="00327B8B"/>
    <w:rsid w:val="00331187"/>
    <w:rsid w:val="003329FE"/>
    <w:rsid w:val="0033303F"/>
    <w:rsid w:val="0033559F"/>
    <w:rsid w:val="0033612C"/>
    <w:rsid w:val="0033630C"/>
    <w:rsid w:val="003367FE"/>
    <w:rsid w:val="00336A38"/>
    <w:rsid w:val="003378EA"/>
    <w:rsid w:val="003400A7"/>
    <w:rsid w:val="003403E2"/>
    <w:rsid w:val="0034196D"/>
    <w:rsid w:val="00342E42"/>
    <w:rsid w:val="003437F9"/>
    <w:rsid w:val="00343876"/>
    <w:rsid w:val="00345399"/>
    <w:rsid w:val="0034659D"/>
    <w:rsid w:val="00350596"/>
    <w:rsid w:val="0035126C"/>
    <w:rsid w:val="00351F1E"/>
    <w:rsid w:val="003526E6"/>
    <w:rsid w:val="00353DD8"/>
    <w:rsid w:val="003550B9"/>
    <w:rsid w:val="00355407"/>
    <w:rsid w:val="00355651"/>
    <w:rsid w:val="00356948"/>
    <w:rsid w:val="00357CFA"/>
    <w:rsid w:val="00357FB5"/>
    <w:rsid w:val="003611C0"/>
    <w:rsid w:val="0036150A"/>
    <w:rsid w:val="00363662"/>
    <w:rsid w:val="00365D8F"/>
    <w:rsid w:val="00370679"/>
    <w:rsid w:val="00371380"/>
    <w:rsid w:val="00371793"/>
    <w:rsid w:val="00371B33"/>
    <w:rsid w:val="00372E5F"/>
    <w:rsid w:val="003738BB"/>
    <w:rsid w:val="00375CC2"/>
    <w:rsid w:val="003770CC"/>
    <w:rsid w:val="003779E4"/>
    <w:rsid w:val="00377C4C"/>
    <w:rsid w:val="00380B3B"/>
    <w:rsid w:val="0038323A"/>
    <w:rsid w:val="003834D0"/>
    <w:rsid w:val="00384265"/>
    <w:rsid w:val="0038488F"/>
    <w:rsid w:val="00384F3F"/>
    <w:rsid w:val="00385A60"/>
    <w:rsid w:val="003861ED"/>
    <w:rsid w:val="003872D0"/>
    <w:rsid w:val="00391035"/>
    <w:rsid w:val="00391401"/>
    <w:rsid w:val="00391E22"/>
    <w:rsid w:val="00391ED2"/>
    <w:rsid w:val="00391EE7"/>
    <w:rsid w:val="00392603"/>
    <w:rsid w:val="00394C2C"/>
    <w:rsid w:val="00395CE9"/>
    <w:rsid w:val="0039664F"/>
    <w:rsid w:val="003A0F09"/>
    <w:rsid w:val="003A2792"/>
    <w:rsid w:val="003A3044"/>
    <w:rsid w:val="003A3212"/>
    <w:rsid w:val="003A47A0"/>
    <w:rsid w:val="003A55B5"/>
    <w:rsid w:val="003B1B8F"/>
    <w:rsid w:val="003B1FA6"/>
    <w:rsid w:val="003B3DBA"/>
    <w:rsid w:val="003B44C5"/>
    <w:rsid w:val="003B46FC"/>
    <w:rsid w:val="003B5DD1"/>
    <w:rsid w:val="003B7BBF"/>
    <w:rsid w:val="003C289F"/>
    <w:rsid w:val="003C3A85"/>
    <w:rsid w:val="003C4352"/>
    <w:rsid w:val="003C533A"/>
    <w:rsid w:val="003C6070"/>
    <w:rsid w:val="003C61A5"/>
    <w:rsid w:val="003C66D0"/>
    <w:rsid w:val="003D13F4"/>
    <w:rsid w:val="003D357D"/>
    <w:rsid w:val="003D36A7"/>
    <w:rsid w:val="003D4842"/>
    <w:rsid w:val="003D5208"/>
    <w:rsid w:val="003D527B"/>
    <w:rsid w:val="003D5E6A"/>
    <w:rsid w:val="003D63F4"/>
    <w:rsid w:val="003D6FE3"/>
    <w:rsid w:val="003D70A8"/>
    <w:rsid w:val="003E0E77"/>
    <w:rsid w:val="003E1690"/>
    <w:rsid w:val="003E1790"/>
    <w:rsid w:val="003E38B7"/>
    <w:rsid w:val="003E3AC2"/>
    <w:rsid w:val="003E4934"/>
    <w:rsid w:val="003E4F57"/>
    <w:rsid w:val="003F200F"/>
    <w:rsid w:val="003F2873"/>
    <w:rsid w:val="003F2A14"/>
    <w:rsid w:val="003F4A6F"/>
    <w:rsid w:val="003F72EB"/>
    <w:rsid w:val="003F77B2"/>
    <w:rsid w:val="00400242"/>
    <w:rsid w:val="0040079D"/>
    <w:rsid w:val="004026AA"/>
    <w:rsid w:val="00405B44"/>
    <w:rsid w:val="00405CD4"/>
    <w:rsid w:val="00406C7D"/>
    <w:rsid w:val="00407097"/>
    <w:rsid w:val="004071B6"/>
    <w:rsid w:val="004101D2"/>
    <w:rsid w:val="00410709"/>
    <w:rsid w:val="00411A6D"/>
    <w:rsid w:val="004147FF"/>
    <w:rsid w:val="004148EA"/>
    <w:rsid w:val="00414D0E"/>
    <w:rsid w:val="00416650"/>
    <w:rsid w:val="00417B10"/>
    <w:rsid w:val="004205BD"/>
    <w:rsid w:val="00421562"/>
    <w:rsid w:val="0042195B"/>
    <w:rsid w:val="00422483"/>
    <w:rsid w:val="004227B0"/>
    <w:rsid w:val="00423714"/>
    <w:rsid w:val="00425695"/>
    <w:rsid w:val="004259B2"/>
    <w:rsid w:val="004263EF"/>
    <w:rsid w:val="00427602"/>
    <w:rsid w:val="004276FB"/>
    <w:rsid w:val="004302A5"/>
    <w:rsid w:val="0043060A"/>
    <w:rsid w:val="004315A4"/>
    <w:rsid w:val="00433E46"/>
    <w:rsid w:val="00434188"/>
    <w:rsid w:val="004346AB"/>
    <w:rsid w:val="00434773"/>
    <w:rsid w:val="00435044"/>
    <w:rsid w:val="00435156"/>
    <w:rsid w:val="00436D7E"/>
    <w:rsid w:val="0044172D"/>
    <w:rsid w:val="00441842"/>
    <w:rsid w:val="004428C2"/>
    <w:rsid w:val="00442CEE"/>
    <w:rsid w:val="00443347"/>
    <w:rsid w:val="00443F5C"/>
    <w:rsid w:val="00444BB7"/>
    <w:rsid w:val="0044581A"/>
    <w:rsid w:val="00446A18"/>
    <w:rsid w:val="0044749E"/>
    <w:rsid w:val="0045163D"/>
    <w:rsid w:val="00452E32"/>
    <w:rsid w:val="00453156"/>
    <w:rsid w:val="00453560"/>
    <w:rsid w:val="0045376A"/>
    <w:rsid w:val="00453B6C"/>
    <w:rsid w:val="0045522C"/>
    <w:rsid w:val="0045571E"/>
    <w:rsid w:val="00456DE3"/>
    <w:rsid w:val="00456EA2"/>
    <w:rsid w:val="004573AB"/>
    <w:rsid w:val="00462078"/>
    <w:rsid w:val="00462181"/>
    <w:rsid w:val="004622EF"/>
    <w:rsid w:val="00463E8E"/>
    <w:rsid w:val="004647F3"/>
    <w:rsid w:val="00466F45"/>
    <w:rsid w:val="00467E9E"/>
    <w:rsid w:val="0047197E"/>
    <w:rsid w:val="00472BAE"/>
    <w:rsid w:val="004732CC"/>
    <w:rsid w:val="00473D2C"/>
    <w:rsid w:val="00475105"/>
    <w:rsid w:val="004755C1"/>
    <w:rsid w:val="00475699"/>
    <w:rsid w:val="00475DE5"/>
    <w:rsid w:val="0047756D"/>
    <w:rsid w:val="00477EF0"/>
    <w:rsid w:val="00480591"/>
    <w:rsid w:val="00480904"/>
    <w:rsid w:val="00480908"/>
    <w:rsid w:val="00483D6A"/>
    <w:rsid w:val="00485F32"/>
    <w:rsid w:val="00485F3D"/>
    <w:rsid w:val="00486BCC"/>
    <w:rsid w:val="00486E4C"/>
    <w:rsid w:val="004878CB"/>
    <w:rsid w:val="00491294"/>
    <w:rsid w:val="00493524"/>
    <w:rsid w:val="004936F6"/>
    <w:rsid w:val="00495C5F"/>
    <w:rsid w:val="00495D2F"/>
    <w:rsid w:val="00495D55"/>
    <w:rsid w:val="00497E36"/>
    <w:rsid w:val="004A05EA"/>
    <w:rsid w:val="004A0FB6"/>
    <w:rsid w:val="004A283C"/>
    <w:rsid w:val="004A3133"/>
    <w:rsid w:val="004A3E76"/>
    <w:rsid w:val="004A5285"/>
    <w:rsid w:val="004A556B"/>
    <w:rsid w:val="004A59A5"/>
    <w:rsid w:val="004A5D8F"/>
    <w:rsid w:val="004A64C0"/>
    <w:rsid w:val="004B0A61"/>
    <w:rsid w:val="004B15DE"/>
    <w:rsid w:val="004B3119"/>
    <w:rsid w:val="004B4AB2"/>
    <w:rsid w:val="004B58C1"/>
    <w:rsid w:val="004B78A5"/>
    <w:rsid w:val="004B7DBF"/>
    <w:rsid w:val="004C0E35"/>
    <w:rsid w:val="004C0FED"/>
    <w:rsid w:val="004C2570"/>
    <w:rsid w:val="004C43F0"/>
    <w:rsid w:val="004C6EEE"/>
    <w:rsid w:val="004C7238"/>
    <w:rsid w:val="004C7E88"/>
    <w:rsid w:val="004D036B"/>
    <w:rsid w:val="004D0F87"/>
    <w:rsid w:val="004D4A2C"/>
    <w:rsid w:val="004D4A53"/>
    <w:rsid w:val="004D570F"/>
    <w:rsid w:val="004D6FEA"/>
    <w:rsid w:val="004D713C"/>
    <w:rsid w:val="004D7B89"/>
    <w:rsid w:val="004E01DF"/>
    <w:rsid w:val="004E1442"/>
    <w:rsid w:val="004E1B43"/>
    <w:rsid w:val="004E24B0"/>
    <w:rsid w:val="004E39D4"/>
    <w:rsid w:val="004E3C6E"/>
    <w:rsid w:val="004E58F4"/>
    <w:rsid w:val="004E5BE9"/>
    <w:rsid w:val="004E5EE5"/>
    <w:rsid w:val="004E708E"/>
    <w:rsid w:val="004E7E59"/>
    <w:rsid w:val="004E7E8E"/>
    <w:rsid w:val="004F2428"/>
    <w:rsid w:val="004F2944"/>
    <w:rsid w:val="004F2F97"/>
    <w:rsid w:val="004F4770"/>
    <w:rsid w:val="004F528C"/>
    <w:rsid w:val="004F7B01"/>
    <w:rsid w:val="00502754"/>
    <w:rsid w:val="0050323E"/>
    <w:rsid w:val="00504334"/>
    <w:rsid w:val="005055B0"/>
    <w:rsid w:val="00506B62"/>
    <w:rsid w:val="00510EF5"/>
    <w:rsid w:val="00515A0A"/>
    <w:rsid w:val="00516307"/>
    <w:rsid w:val="00517326"/>
    <w:rsid w:val="0051746A"/>
    <w:rsid w:val="00517846"/>
    <w:rsid w:val="00522E94"/>
    <w:rsid w:val="005249FB"/>
    <w:rsid w:val="00524D8F"/>
    <w:rsid w:val="00525547"/>
    <w:rsid w:val="005300AF"/>
    <w:rsid w:val="005302EA"/>
    <w:rsid w:val="005314C0"/>
    <w:rsid w:val="00531D9B"/>
    <w:rsid w:val="00533596"/>
    <w:rsid w:val="0053425C"/>
    <w:rsid w:val="00534B4E"/>
    <w:rsid w:val="005356D3"/>
    <w:rsid w:val="00535E4E"/>
    <w:rsid w:val="00537727"/>
    <w:rsid w:val="00540D4E"/>
    <w:rsid w:val="00541CCD"/>
    <w:rsid w:val="00542FF4"/>
    <w:rsid w:val="00543EC2"/>
    <w:rsid w:val="00543F6B"/>
    <w:rsid w:val="00545F15"/>
    <w:rsid w:val="00546146"/>
    <w:rsid w:val="00546409"/>
    <w:rsid w:val="00546F5C"/>
    <w:rsid w:val="005472B2"/>
    <w:rsid w:val="00550F09"/>
    <w:rsid w:val="0055234F"/>
    <w:rsid w:val="00553700"/>
    <w:rsid w:val="00553C6B"/>
    <w:rsid w:val="005549A8"/>
    <w:rsid w:val="00554B95"/>
    <w:rsid w:val="00554DA5"/>
    <w:rsid w:val="00554DCA"/>
    <w:rsid w:val="005555C6"/>
    <w:rsid w:val="00556197"/>
    <w:rsid w:val="00556385"/>
    <w:rsid w:val="005575B3"/>
    <w:rsid w:val="00560EF2"/>
    <w:rsid w:val="00561B09"/>
    <w:rsid w:val="0056230B"/>
    <w:rsid w:val="00562396"/>
    <w:rsid w:val="00562801"/>
    <w:rsid w:val="00562B1A"/>
    <w:rsid w:val="0056518F"/>
    <w:rsid w:val="005652B1"/>
    <w:rsid w:val="00566D95"/>
    <w:rsid w:val="00571AEA"/>
    <w:rsid w:val="00573F0E"/>
    <w:rsid w:val="005742FE"/>
    <w:rsid w:val="00574AE3"/>
    <w:rsid w:val="00580007"/>
    <w:rsid w:val="0058128C"/>
    <w:rsid w:val="00581ADC"/>
    <w:rsid w:val="005834E4"/>
    <w:rsid w:val="00584E90"/>
    <w:rsid w:val="00585A1D"/>
    <w:rsid w:val="0058754B"/>
    <w:rsid w:val="00587A8C"/>
    <w:rsid w:val="00587BBB"/>
    <w:rsid w:val="00590359"/>
    <w:rsid w:val="00590AA6"/>
    <w:rsid w:val="005917CA"/>
    <w:rsid w:val="00591E5E"/>
    <w:rsid w:val="0059303F"/>
    <w:rsid w:val="005945F3"/>
    <w:rsid w:val="00596CC5"/>
    <w:rsid w:val="00597906"/>
    <w:rsid w:val="005A072E"/>
    <w:rsid w:val="005A07FE"/>
    <w:rsid w:val="005A2B1C"/>
    <w:rsid w:val="005A638A"/>
    <w:rsid w:val="005A658D"/>
    <w:rsid w:val="005A7D30"/>
    <w:rsid w:val="005A7EE3"/>
    <w:rsid w:val="005B2AC2"/>
    <w:rsid w:val="005B3988"/>
    <w:rsid w:val="005B4E71"/>
    <w:rsid w:val="005B4F7B"/>
    <w:rsid w:val="005B5A14"/>
    <w:rsid w:val="005B6B71"/>
    <w:rsid w:val="005B785C"/>
    <w:rsid w:val="005C3CBE"/>
    <w:rsid w:val="005C5F6E"/>
    <w:rsid w:val="005C69B4"/>
    <w:rsid w:val="005C7F41"/>
    <w:rsid w:val="005D1DB7"/>
    <w:rsid w:val="005D3379"/>
    <w:rsid w:val="005D3F41"/>
    <w:rsid w:val="005D5817"/>
    <w:rsid w:val="005D74F3"/>
    <w:rsid w:val="005E07A9"/>
    <w:rsid w:val="005E1F6B"/>
    <w:rsid w:val="005E2808"/>
    <w:rsid w:val="005E54B0"/>
    <w:rsid w:val="005E57FD"/>
    <w:rsid w:val="005E599B"/>
    <w:rsid w:val="005E71C7"/>
    <w:rsid w:val="005E77B7"/>
    <w:rsid w:val="005F0538"/>
    <w:rsid w:val="005F0729"/>
    <w:rsid w:val="005F2074"/>
    <w:rsid w:val="005F25BD"/>
    <w:rsid w:val="005F330E"/>
    <w:rsid w:val="005F342A"/>
    <w:rsid w:val="005F489D"/>
    <w:rsid w:val="005F4A20"/>
    <w:rsid w:val="005F4DC3"/>
    <w:rsid w:val="005F57E7"/>
    <w:rsid w:val="005F5ED6"/>
    <w:rsid w:val="005F6BB3"/>
    <w:rsid w:val="005F7978"/>
    <w:rsid w:val="00600ABA"/>
    <w:rsid w:val="00601EC0"/>
    <w:rsid w:val="00603C51"/>
    <w:rsid w:val="00604171"/>
    <w:rsid w:val="0060455A"/>
    <w:rsid w:val="00605A39"/>
    <w:rsid w:val="00606440"/>
    <w:rsid w:val="00606F1B"/>
    <w:rsid w:val="006106EE"/>
    <w:rsid w:val="0061096C"/>
    <w:rsid w:val="00611345"/>
    <w:rsid w:val="006117E4"/>
    <w:rsid w:val="006123EB"/>
    <w:rsid w:val="006131CB"/>
    <w:rsid w:val="00613E97"/>
    <w:rsid w:val="00614CC3"/>
    <w:rsid w:val="00614EF0"/>
    <w:rsid w:val="00615BF0"/>
    <w:rsid w:val="00621D7A"/>
    <w:rsid w:val="00624164"/>
    <w:rsid w:val="00624ABE"/>
    <w:rsid w:val="00625A89"/>
    <w:rsid w:val="00626FFC"/>
    <w:rsid w:val="00627D00"/>
    <w:rsid w:val="00627EC7"/>
    <w:rsid w:val="006309E8"/>
    <w:rsid w:val="0063155F"/>
    <w:rsid w:val="006315E1"/>
    <w:rsid w:val="00632500"/>
    <w:rsid w:val="00635C3F"/>
    <w:rsid w:val="006360E9"/>
    <w:rsid w:val="00636EC3"/>
    <w:rsid w:val="00636FC5"/>
    <w:rsid w:val="00641AAB"/>
    <w:rsid w:val="00641CED"/>
    <w:rsid w:val="00642C7A"/>
    <w:rsid w:val="0064517F"/>
    <w:rsid w:val="00645F45"/>
    <w:rsid w:val="00646707"/>
    <w:rsid w:val="00647869"/>
    <w:rsid w:val="00647946"/>
    <w:rsid w:val="006479D8"/>
    <w:rsid w:val="006525F2"/>
    <w:rsid w:val="00652C89"/>
    <w:rsid w:val="00653161"/>
    <w:rsid w:val="006532B2"/>
    <w:rsid w:val="006554C6"/>
    <w:rsid w:val="006565C6"/>
    <w:rsid w:val="00661668"/>
    <w:rsid w:val="00661D03"/>
    <w:rsid w:val="006629B5"/>
    <w:rsid w:val="006631C4"/>
    <w:rsid w:val="0066335B"/>
    <w:rsid w:val="006651E3"/>
    <w:rsid w:val="0066761A"/>
    <w:rsid w:val="006708FD"/>
    <w:rsid w:val="006709B9"/>
    <w:rsid w:val="006724FD"/>
    <w:rsid w:val="00673FAA"/>
    <w:rsid w:val="006745D9"/>
    <w:rsid w:val="00677F5A"/>
    <w:rsid w:val="00680882"/>
    <w:rsid w:val="00681CF9"/>
    <w:rsid w:val="006823D7"/>
    <w:rsid w:val="006829B8"/>
    <w:rsid w:val="006836D2"/>
    <w:rsid w:val="00683C72"/>
    <w:rsid w:val="00684D20"/>
    <w:rsid w:val="006875CC"/>
    <w:rsid w:val="006910D3"/>
    <w:rsid w:val="00691322"/>
    <w:rsid w:val="00692F59"/>
    <w:rsid w:val="0069333A"/>
    <w:rsid w:val="00693CCB"/>
    <w:rsid w:val="0069422E"/>
    <w:rsid w:val="00696C31"/>
    <w:rsid w:val="006A0133"/>
    <w:rsid w:val="006A055B"/>
    <w:rsid w:val="006A72EF"/>
    <w:rsid w:val="006A7BE7"/>
    <w:rsid w:val="006B134F"/>
    <w:rsid w:val="006B2258"/>
    <w:rsid w:val="006B2819"/>
    <w:rsid w:val="006B29C4"/>
    <w:rsid w:val="006B31A8"/>
    <w:rsid w:val="006B3340"/>
    <w:rsid w:val="006B3727"/>
    <w:rsid w:val="006B3FE7"/>
    <w:rsid w:val="006B4CEA"/>
    <w:rsid w:val="006B5158"/>
    <w:rsid w:val="006B56C7"/>
    <w:rsid w:val="006B7705"/>
    <w:rsid w:val="006B7B43"/>
    <w:rsid w:val="006C0614"/>
    <w:rsid w:val="006C0806"/>
    <w:rsid w:val="006C1138"/>
    <w:rsid w:val="006C1862"/>
    <w:rsid w:val="006C1EA3"/>
    <w:rsid w:val="006C2579"/>
    <w:rsid w:val="006C32D4"/>
    <w:rsid w:val="006C4497"/>
    <w:rsid w:val="006C49F7"/>
    <w:rsid w:val="006C6086"/>
    <w:rsid w:val="006C626E"/>
    <w:rsid w:val="006C62A6"/>
    <w:rsid w:val="006D1071"/>
    <w:rsid w:val="006D1A65"/>
    <w:rsid w:val="006D25CE"/>
    <w:rsid w:val="006D44D8"/>
    <w:rsid w:val="006D5DB4"/>
    <w:rsid w:val="006D68C5"/>
    <w:rsid w:val="006D77FE"/>
    <w:rsid w:val="006D7E2D"/>
    <w:rsid w:val="006E23BB"/>
    <w:rsid w:val="006E29CC"/>
    <w:rsid w:val="006E2F8F"/>
    <w:rsid w:val="006E35AB"/>
    <w:rsid w:val="006E3B52"/>
    <w:rsid w:val="006E52D2"/>
    <w:rsid w:val="006E68A7"/>
    <w:rsid w:val="006E7896"/>
    <w:rsid w:val="006F080B"/>
    <w:rsid w:val="006F0A5F"/>
    <w:rsid w:val="006F0FA3"/>
    <w:rsid w:val="006F13B3"/>
    <w:rsid w:val="006F21B6"/>
    <w:rsid w:val="006F39EA"/>
    <w:rsid w:val="006F4E14"/>
    <w:rsid w:val="006F5A7C"/>
    <w:rsid w:val="006F6843"/>
    <w:rsid w:val="006F7370"/>
    <w:rsid w:val="006F765C"/>
    <w:rsid w:val="006F7DA2"/>
    <w:rsid w:val="00700739"/>
    <w:rsid w:val="00700DE8"/>
    <w:rsid w:val="00703B05"/>
    <w:rsid w:val="00705212"/>
    <w:rsid w:val="007055EB"/>
    <w:rsid w:val="007064D2"/>
    <w:rsid w:val="00710E9C"/>
    <w:rsid w:val="0071468E"/>
    <w:rsid w:val="00714D90"/>
    <w:rsid w:val="0071553C"/>
    <w:rsid w:val="00717147"/>
    <w:rsid w:val="0071749B"/>
    <w:rsid w:val="00720E25"/>
    <w:rsid w:val="007245E1"/>
    <w:rsid w:val="00725150"/>
    <w:rsid w:val="0072592F"/>
    <w:rsid w:val="00726289"/>
    <w:rsid w:val="00726ACB"/>
    <w:rsid w:val="00730D3E"/>
    <w:rsid w:val="00730DFD"/>
    <w:rsid w:val="00733946"/>
    <w:rsid w:val="00733A6F"/>
    <w:rsid w:val="00734576"/>
    <w:rsid w:val="0073466F"/>
    <w:rsid w:val="00734D82"/>
    <w:rsid w:val="00735E4D"/>
    <w:rsid w:val="00740475"/>
    <w:rsid w:val="007421E7"/>
    <w:rsid w:val="00742513"/>
    <w:rsid w:val="00744859"/>
    <w:rsid w:val="007453E1"/>
    <w:rsid w:val="00746296"/>
    <w:rsid w:val="00746791"/>
    <w:rsid w:val="00746B3F"/>
    <w:rsid w:val="00751043"/>
    <w:rsid w:val="00752D4C"/>
    <w:rsid w:val="00755152"/>
    <w:rsid w:val="00757AE3"/>
    <w:rsid w:val="007617B7"/>
    <w:rsid w:val="00762505"/>
    <w:rsid w:val="0076289D"/>
    <w:rsid w:val="007632A0"/>
    <w:rsid w:val="00764A61"/>
    <w:rsid w:val="00765435"/>
    <w:rsid w:val="007656C5"/>
    <w:rsid w:val="0076754E"/>
    <w:rsid w:val="00770A73"/>
    <w:rsid w:val="00770CA1"/>
    <w:rsid w:val="00771929"/>
    <w:rsid w:val="0077219E"/>
    <w:rsid w:val="007723A2"/>
    <w:rsid w:val="00774151"/>
    <w:rsid w:val="007752B5"/>
    <w:rsid w:val="0077770D"/>
    <w:rsid w:val="00781274"/>
    <w:rsid w:val="007821C3"/>
    <w:rsid w:val="0078616E"/>
    <w:rsid w:val="007861E1"/>
    <w:rsid w:val="007861F2"/>
    <w:rsid w:val="00786A32"/>
    <w:rsid w:val="00787D9C"/>
    <w:rsid w:val="00791107"/>
    <w:rsid w:val="007916CF"/>
    <w:rsid w:val="007927FB"/>
    <w:rsid w:val="00792CCC"/>
    <w:rsid w:val="00792E58"/>
    <w:rsid w:val="00792EE6"/>
    <w:rsid w:val="007931E8"/>
    <w:rsid w:val="007940A2"/>
    <w:rsid w:val="007942C0"/>
    <w:rsid w:val="007961FA"/>
    <w:rsid w:val="0079661C"/>
    <w:rsid w:val="00797B7F"/>
    <w:rsid w:val="00797C47"/>
    <w:rsid w:val="00797C86"/>
    <w:rsid w:val="007A008B"/>
    <w:rsid w:val="007A1784"/>
    <w:rsid w:val="007A23D9"/>
    <w:rsid w:val="007A5998"/>
    <w:rsid w:val="007A6DB7"/>
    <w:rsid w:val="007A7538"/>
    <w:rsid w:val="007A7A88"/>
    <w:rsid w:val="007B3106"/>
    <w:rsid w:val="007B4D4D"/>
    <w:rsid w:val="007B65A0"/>
    <w:rsid w:val="007B6ACF"/>
    <w:rsid w:val="007C06A5"/>
    <w:rsid w:val="007C251C"/>
    <w:rsid w:val="007C3AA9"/>
    <w:rsid w:val="007C458E"/>
    <w:rsid w:val="007C4A37"/>
    <w:rsid w:val="007C4C0E"/>
    <w:rsid w:val="007C561A"/>
    <w:rsid w:val="007C62B7"/>
    <w:rsid w:val="007C62E9"/>
    <w:rsid w:val="007C6D59"/>
    <w:rsid w:val="007C7A0D"/>
    <w:rsid w:val="007C7DB2"/>
    <w:rsid w:val="007D0277"/>
    <w:rsid w:val="007D032C"/>
    <w:rsid w:val="007D0ECD"/>
    <w:rsid w:val="007D271B"/>
    <w:rsid w:val="007D3146"/>
    <w:rsid w:val="007D368E"/>
    <w:rsid w:val="007D3ED7"/>
    <w:rsid w:val="007D4817"/>
    <w:rsid w:val="007D4893"/>
    <w:rsid w:val="007D4A69"/>
    <w:rsid w:val="007D521F"/>
    <w:rsid w:val="007D5D4C"/>
    <w:rsid w:val="007E23F6"/>
    <w:rsid w:val="007E24A2"/>
    <w:rsid w:val="007E438C"/>
    <w:rsid w:val="007E6719"/>
    <w:rsid w:val="007E6B1A"/>
    <w:rsid w:val="007E6CF6"/>
    <w:rsid w:val="007E7AAE"/>
    <w:rsid w:val="007E7B54"/>
    <w:rsid w:val="007E7D26"/>
    <w:rsid w:val="007E7DAD"/>
    <w:rsid w:val="007F12BD"/>
    <w:rsid w:val="007F17BA"/>
    <w:rsid w:val="007F3483"/>
    <w:rsid w:val="007F36C0"/>
    <w:rsid w:val="007F385B"/>
    <w:rsid w:val="007F64CB"/>
    <w:rsid w:val="007F6571"/>
    <w:rsid w:val="007F6B31"/>
    <w:rsid w:val="0080152C"/>
    <w:rsid w:val="00804BCC"/>
    <w:rsid w:val="00805D1C"/>
    <w:rsid w:val="00806215"/>
    <w:rsid w:val="0080780E"/>
    <w:rsid w:val="008112DC"/>
    <w:rsid w:val="00811691"/>
    <w:rsid w:val="00811BA3"/>
    <w:rsid w:val="00811D31"/>
    <w:rsid w:val="00811D7F"/>
    <w:rsid w:val="0081376D"/>
    <w:rsid w:val="00813B02"/>
    <w:rsid w:val="0081468C"/>
    <w:rsid w:val="00814B4A"/>
    <w:rsid w:val="0081517B"/>
    <w:rsid w:val="00815628"/>
    <w:rsid w:val="008158A6"/>
    <w:rsid w:val="00815FAC"/>
    <w:rsid w:val="00816362"/>
    <w:rsid w:val="008208E2"/>
    <w:rsid w:val="00822BEF"/>
    <w:rsid w:val="00824500"/>
    <w:rsid w:val="00824859"/>
    <w:rsid w:val="008263E9"/>
    <w:rsid w:val="00826CDC"/>
    <w:rsid w:val="0083070B"/>
    <w:rsid w:val="00831141"/>
    <w:rsid w:val="008316E9"/>
    <w:rsid w:val="00832BDF"/>
    <w:rsid w:val="008342F1"/>
    <w:rsid w:val="0083503B"/>
    <w:rsid w:val="00835869"/>
    <w:rsid w:val="00836F1D"/>
    <w:rsid w:val="00837BFF"/>
    <w:rsid w:val="008401CA"/>
    <w:rsid w:val="0084032B"/>
    <w:rsid w:val="0084073F"/>
    <w:rsid w:val="00841B1B"/>
    <w:rsid w:val="00842D59"/>
    <w:rsid w:val="00843038"/>
    <w:rsid w:val="00843382"/>
    <w:rsid w:val="00843653"/>
    <w:rsid w:val="008439A9"/>
    <w:rsid w:val="008442AB"/>
    <w:rsid w:val="00844D88"/>
    <w:rsid w:val="00852255"/>
    <w:rsid w:val="00852DC9"/>
    <w:rsid w:val="00854CC5"/>
    <w:rsid w:val="00860127"/>
    <w:rsid w:val="00862A70"/>
    <w:rsid w:val="00863E92"/>
    <w:rsid w:val="008644EF"/>
    <w:rsid w:val="00865358"/>
    <w:rsid w:val="008662E9"/>
    <w:rsid w:val="0086664E"/>
    <w:rsid w:val="00867595"/>
    <w:rsid w:val="00870512"/>
    <w:rsid w:val="008715D8"/>
    <w:rsid w:val="00871CFD"/>
    <w:rsid w:val="008725D4"/>
    <w:rsid w:val="00872809"/>
    <w:rsid w:val="00872AAC"/>
    <w:rsid w:val="008746BA"/>
    <w:rsid w:val="00874FAE"/>
    <w:rsid w:val="00875267"/>
    <w:rsid w:val="00876402"/>
    <w:rsid w:val="00877FAD"/>
    <w:rsid w:val="00883180"/>
    <w:rsid w:val="008831AF"/>
    <w:rsid w:val="00884329"/>
    <w:rsid w:val="00887A3C"/>
    <w:rsid w:val="0089217D"/>
    <w:rsid w:val="008923E2"/>
    <w:rsid w:val="008953D7"/>
    <w:rsid w:val="008966F4"/>
    <w:rsid w:val="008A26FD"/>
    <w:rsid w:val="008A401E"/>
    <w:rsid w:val="008A4219"/>
    <w:rsid w:val="008A4739"/>
    <w:rsid w:val="008A543C"/>
    <w:rsid w:val="008B037B"/>
    <w:rsid w:val="008B1508"/>
    <w:rsid w:val="008B1955"/>
    <w:rsid w:val="008B1FE3"/>
    <w:rsid w:val="008B234C"/>
    <w:rsid w:val="008B39AF"/>
    <w:rsid w:val="008B3FF2"/>
    <w:rsid w:val="008B6814"/>
    <w:rsid w:val="008B710C"/>
    <w:rsid w:val="008C0F2E"/>
    <w:rsid w:val="008C2358"/>
    <w:rsid w:val="008C5980"/>
    <w:rsid w:val="008C6FF1"/>
    <w:rsid w:val="008D02B3"/>
    <w:rsid w:val="008D1B2B"/>
    <w:rsid w:val="008D209C"/>
    <w:rsid w:val="008D25C5"/>
    <w:rsid w:val="008D6395"/>
    <w:rsid w:val="008D64C1"/>
    <w:rsid w:val="008E11B7"/>
    <w:rsid w:val="008E20B3"/>
    <w:rsid w:val="008E296B"/>
    <w:rsid w:val="008E5C6E"/>
    <w:rsid w:val="008E73EB"/>
    <w:rsid w:val="008E7EDB"/>
    <w:rsid w:val="008F30C5"/>
    <w:rsid w:val="008F3B14"/>
    <w:rsid w:val="008F4242"/>
    <w:rsid w:val="00901312"/>
    <w:rsid w:val="009027F7"/>
    <w:rsid w:val="0090300D"/>
    <w:rsid w:val="009039FC"/>
    <w:rsid w:val="00903AD9"/>
    <w:rsid w:val="0090624A"/>
    <w:rsid w:val="0090676D"/>
    <w:rsid w:val="00907306"/>
    <w:rsid w:val="0090760E"/>
    <w:rsid w:val="00907624"/>
    <w:rsid w:val="009076F1"/>
    <w:rsid w:val="00911444"/>
    <w:rsid w:val="00912009"/>
    <w:rsid w:val="00912435"/>
    <w:rsid w:val="00914177"/>
    <w:rsid w:val="009152CD"/>
    <w:rsid w:val="00916419"/>
    <w:rsid w:val="009174A4"/>
    <w:rsid w:val="00917B88"/>
    <w:rsid w:val="0092036C"/>
    <w:rsid w:val="00920E7A"/>
    <w:rsid w:val="00921D00"/>
    <w:rsid w:val="009229F2"/>
    <w:rsid w:val="009233CA"/>
    <w:rsid w:val="00925147"/>
    <w:rsid w:val="009253FB"/>
    <w:rsid w:val="00926F0A"/>
    <w:rsid w:val="00931515"/>
    <w:rsid w:val="0093169D"/>
    <w:rsid w:val="00931E0B"/>
    <w:rsid w:val="00932707"/>
    <w:rsid w:val="009345D8"/>
    <w:rsid w:val="009346CD"/>
    <w:rsid w:val="00935F33"/>
    <w:rsid w:val="009366D8"/>
    <w:rsid w:val="00936C87"/>
    <w:rsid w:val="00936CC4"/>
    <w:rsid w:val="00937466"/>
    <w:rsid w:val="0093760C"/>
    <w:rsid w:val="00941D26"/>
    <w:rsid w:val="00945DEF"/>
    <w:rsid w:val="00946E4B"/>
    <w:rsid w:val="009474EB"/>
    <w:rsid w:val="00947CDA"/>
    <w:rsid w:val="00951759"/>
    <w:rsid w:val="00952096"/>
    <w:rsid w:val="00952193"/>
    <w:rsid w:val="00952793"/>
    <w:rsid w:val="00952EEA"/>
    <w:rsid w:val="00952F97"/>
    <w:rsid w:val="00961749"/>
    <w:rsid w:val="009619BD"/>
    <w:rsid w:val="0096257D"/>
    <w:rsid w:val="00962E20"/>
    <w:rsid w:val="009634C5"/>
    <w:rsid w:val="009647F7"/>
    <w:rsid w:val="00964FEF"/>
    <w:rsid w:val="009661F9"/>
    <w:rsid w:val="009662E9"/>
    <w:rsid w:val="00966BDB"/>
    <w:rsid w:val="00966DB1"/>
    <w:rsid w:val="009672CE"/>
    <w:rsid w:val="009675B9"/>
    <w:rsid w:val="009716E6"/>
    <w:rsid w:val="009747B4"/>
    <w:rsid w:val="00974B02"/>
    <w:rsid w:val="009762E6"/>
    <w:rsid w:val="00976D04"/>
    <w:rsid w:val="009773E8"/>
    <w:rsid w:val="009808DE"/>
    <w:rsid w:val="00980F73"/>
    <w:rsid w:val="00981E1F"/>
    <w:rsid w:val="00982079"/>
    <w:rsid w:val="00983E77"/>
    <w:rsid w:val="0098669D"/>
    <w:rsid w:val="009878CA"/>
    <w:rsid w:val="00987B0B"/>
    <w:rsid w:val="00990341"/>
    <w:rsid w:val="00991B21"/>
    <w:rsid w:val="00992707"/>
    <w:rsid w:val="00992F62"/>
    <w:rsid w:val="00995143"/>
    <w:rsid w:val="00995F9E"/>
    <w:rsid w:val="00996A35"/>
    <w:rsid w:val="00997300"/>
    <w:rsid w:val="009979EE"/>
    <w:rsid w:val="009A151A"/>
    <w:rsid w:val="009A1563"/>
    <w:rsid w:val="009A204B"/>
    <w:rsid w:val="009A3137"/>
    <w:rsid w:val="009A34CB"/>
    <w:rsid w:val="009A3BE0"/>
    <w:rsid w:val="009A48ED"/>
    <w:rsid w:val="009A6630"/>
    <w:rsid w:val="009A690E"/>
    <w:rsid w:val="009A73A9"/>
    <w:rsid w:val="009A7BF4"/>
    <w:rsid w:val="009B1356"/>
    <w:rsid w:val="009B1F33"/>
    <w:rsid w:val="009B2ABC"/>
    <w:rsid w:val="009B5178"/>
    <w:rsid w:val="009B67DB"/>
    <w:rsid w:val="009C1153"/>
    <w:rsid w:val="009C19D3"/>
    <w:rsid w:val="009C30AF"/>
    <w:rsid w:val="009C3255"/>
    <w:rsid w:val="009C3EC3"/>
    <w:rsid w:val="009C4B9F"/>
    <w:rsid w:val="009C6CB6"/>
    <w:rsid w:val="009D0432"/>
    <w:rsid w:val="009D0B14"/>
    <w:rsid w:val="009D0E6B"/>
    <w:rsid w:val="009D1BA3"/>
    <w:rsid w:val="009D1C41"/>
    <w:rsid w:val="009D3198"/>
    <w:rsid w:val="009D4A1A"/>
    <w:rsid w:val="009D4B54"/>
    <w:rsid w:val="009D5D51"/>
    <w:rsid w:val="009D7319"/>
    <w:rsid w:val="009D779D"/>
    <w:rsid w:val="009D7926"/>
    <w:rsid w:val="009E1D34"/>
    <w:rsid w:val="009E2B1B"/>
    <w:rsid w:val="009E2F09"/>
    <w:rsid w:val="009E59FF"/>
    <w:rsid w:val="009E60C4"/>
    <w:rsid w:val="009E7457"/>
    <w:rsid w:val="009E7C16"/>
    <w:rsid w:val="009F34D7"/>
    <w:rsid w:val="009F5302"/>
    <w:rsid w:val="009F7AB2"/>
    <w:rsid w:val="00A0099F"/>
    <w:rsid w:val="00A00B6F"/>
    <w:rsid w:val="00A0172E"/>
    <w:rsid w:val="00A01972"/>
    <w:rsid w:val="00A033A9"/>
    <w:rsid w:val="00A048A2"/>
    <w:rsid w:val="00A04AB0"/>
    <w:rsid w:val="00A07124"/>
    <w:rsid w:val="00A11494"/>
    <w:rsid w:val="00A11605"/>
    <w:rsid w:val="00A11D27"/>
    <w:rsid w:val="00A14DEA"/>
    <w:rsid w:val="00A1549F"/>
    <w:rsid w:val="00A1788B"/>
    <w:rsid w:val="00A17D31"/>
    <w:rsid w:val="00A17E62"/>
    <w:rsid w:val="00A201FD"/>
    <w:rsid w:val="00A21052"/>
    <w:rsid w:val="00A21AC9"/>
    <w:rsid w:val="00A22144"/>
    <w:rsid w:val="00A222D5"/>
    <w:rsid w:val="00A2274C"/>
    <w:rsid w:val="00A22AF6"/>
    <w:rsid w:val="00A22E92"/>
    <w:rsid w:val="00A23061"/>
    <w:rsid w:val="00A25C8A"/>
    <w:rsid w:val="00A30D3C"/>
    <w:rsid w:val="00A30F91"/>
    <w:rsid w:val="00A324F0"/>
    <w:rsid w:val="00A342BD"/>
    <w:rsid w:val="00A34B6C"/>
    <w:rsid w:val="00A34D75"/>
    <w:rsid w:val="00A35B8F"/>
    <w:rsid w:val="00A378C2"/>
    <w:rsid w:val="00A41005"/>
    <w:rsid w:val="00A429F4"/>
    <w:rsid w:val="00A441D2"/>
    <w:rsid w:val="00A44B1E"/>
    <w:rsid w:val="00A50081"/>
    <w:rsid w:val="00A50F00"/>
    <w:rsid w:val="00A52F9B"/>
    <w:rsid w:val="00A5382D"/>
    <w:rsid w:val="00A5435D"/>
    <w:rsid w:val="00A54934"/>
    <w:rsid w:val="00A5623D"/>
    <w:rsid w:val="00A56558"/>
    <w:rsid w:val="00A608F2"/>
    <w:rsid w:val="00A62E72"/>
    <w:rsid w:val="00A664BD"/>
    <w:rsid w:val="00A66CB8"/>
    <w:rsid w:val="00A70D1A"/>
    <w:rsid w:val="00A70D86"/>
    <w:rsid w:val="00A71235"/>
    <w:rsid w:val="00A71BAD"/>
    <w:rsid w:val="00A71F59"/>
    <w:rsid w:val="00A73E17"/>
    <w:rsid w:val="00A76CB6"/>
    <w:rsid w:val="00A81C83"/>
    <w:rsid w:val="00A83300"/>
    <w:rsid w:val="00A83444"/>
    <w:rsid w:val="00A840F3"/>
    <w:rsid w:val="00A855C7"/>
    <w:rsid w:val="00A86C85"/>
    <w:rsid w:val="00A86D88"/>
    <w:rsid w:val="00A87E50"/>
    <w:rsid w:val="00A9414E"/>
    <w:rsid w:val="00A95F3C"/>
    <w:rsid w:val="00A977E4"/>
    <w:rsid w:val="00A978D6"/>
    <w:rsid w:val="00A97D8C"/>
    <w:rsid w:val="00A97FB4"/>
    <w:rsid w:val="00AA1795"/>
    <w:rsid w:val="00AA1C95"/>
    <w:rsid w:val="00AA1EF5"/>
    <w:rsid w:val="00AA2448"/>
    <w:rsid w:val="00AA279F"/>
    <w:rsid w:val="00AA3588"/>
    <w:rsid w:val="00AA4D37"/>
    <w:rsid w:val="00AA4F03"/>
    <w:rsid w:val="00AA70ED"/>
    <w:rsid w:val="00AA71FF"/>
    <w:rsid w:val="00AA72C3"/>
    <w:rsid w:val="00AA794C"/>
    <w:rsid w:val="00AA7972"/>
    <w:rsid w:val="00AB0761"/>
    <w:rsid w:val="00AB135C"/>
    <w:rsid w:val="00AB16BE"/>
    <w:rsid w:val="00AB1D84"/>
    <w:rsid w:val="00AB2CA1"/>
    <w:rsid w:val="00AB394C"/>
    <w:rsid w:val="00AB484F"/>
    <w:rsid w:val="00AB59C5"/>
    <w:rsid w:val="00AB7054"/>
    <w:rsid w:val="00AC51DF"/>
    <w:rsid w:val="00AC5521"/>
    <w:rsid w:val="00AC56F1"/>
    <w:rsid w:val="00AC609E"/>
    <w:rsid w:val="00AC618F"/>
    <w:rsid w:val="00AC67F8"/>
    <w:rsid w:val="00AC68FA"/>
    <w:rsid w:val="00AD048A"/>
    <w:rsid w:val="00AD067D"/>
    <w:rsid w:val="00AD1FE6"/>
    <w:rsid w:val="00AD34F5"/>
    <w:rsid w:val="00AD4AB9"/>
    <w:rsid w:val="00AD54D1"/>
    <w:rsid w:val="00AD5994"/>
    <w:rsid w:val="00AD6929"/>
    <w:rsid w:val="00AE06D1"/>
    <w:rsid w:val="00AE118B"/>
    <w:rsid w:val="00AE1CC1"/>
    <w:rsid w:val="00AE3353"/>
    <w:rsid w:val="00AE4A0C"/>
    <w:rsid w:val="00AF0E75"/>
    <w:rsid w:val="00AF235E"/>
    <w:rsid w:val="00AF25D2"/>
    <w:rsid w:val="00AF2D3E"/>
    <w:rsid w:val="00AF2EC8"/>
    <w:rsid w:val="00AF4365"/>
    <w:rsid w:val="00AF51A2"/>
    <w:rsid w:val="00AF5FED"/>
    <w:rsid w:val="00AF61F9"/>
    <w:rsid w:val="00AF7118"/>
    <w:rsid w:val="00AF7A86"/>
    <w:rsid w:val="00AF7A8C"/>
    <w:rsid w:val="00B000B2"/>
    <w:rsid w:val="00B000E3"/>
    <w:rsid w:val="00B0204C"/>
    <w:rsid w:val="00B02606"/>
    <w:rsid w:val="00B02B08"/>
    <w:rsid w:val="00B03F65"/>
    <w:rsid w:val="00B0415A"/>
    <w:rsid w:val="00B0453E"/>
    <w:rsid w:val="00B04985"/>
    <w:rsid w:val="00B04FF6"/>
    <w:rsid w:val="00B0635A"/>
    <w:rsid w:val="00B074C5"/>
    <w:rsid w:val="00B10350"/>
    <w:rsid w:val="00B10742"/>
    <w:rsid w:val="00B10AAE"/>
    <w:rsid w:val="00B114DA"/>
    <w:rsid w:val="00B11E9F"/>
    <w:rsid w:val="00B12771"/>
    <w:rsid w:val="00B147C4"/>
    <w:rsid w:val="00B165EB"/>
    <w:rsid w:val="00B167CC"/>
    <w:rsid w:val="00B2133D"/>
    <w:rsid w:val="00B21389"/>
    <w:rsid w:val="00B2167A"/>
    <w:rsid w:val="00B242F3"/>
    <w:rsid w:val="00B2580C"/>
    <w:rsid w:val="00B2594D"/>
    <w:rsid w:val="00B27917"/>
    <w:rsid w:val="00B27948"/>
    <w:rsid w:val="00B27CA8"/>
    <w:rsid w:val="00B27D72"/>
    <w:rsid w:val="00B3132D"/>
    <w:rsid w:val="00B31518"/>
    <w:rsid w:val="00B321F0"/>
    <w:rsid w:val="00B32732"/>
    <w:rsid w:val="00B32A34"/>
    <w:rsid w:val="00B3475D"/>
    <w:rsid w:val="00B34AA7"/>
    <w:rsid w:val="00B34EAC"/>
    <w:rsid w:val="00B35B9A"/>
    <w:rsid w:val="00B36E5C"/>
    <w:rsid w:val="00B40DDA"/>
    <w:rsid w:val="00B41791"/>
    <w:rsid w:val="00B42D2B"/>
    <w:rsid w:val="00B434C9"/>
    <w:rsid w:val="00B4664C"/>
    <w:rsid w:val="00B467F1"/>
    <w:rsid w:val="00B47FBB"/>
    <w:rsid w:val="00B50616"/>
    <w:rsid w:val="00B514A1"/>
    <w:rsid w:val="00B51AD1"/>
    <w:rsid w:val="00B51D9E"/>
    <w:rsid w:val="00B528CF"/>
    <w:rsid w:val="00B532F4"/>
    <w:rsid w:val="00B53E37"/>
    <w:rsid w:val="00B545C2"/>
    <w:rsid w:val="00B55C46"/>
    <w:rsid w:val="00B560AF"/>
    <w:rsid w:val="00B57737"/>
    <w:rsid w:val="00B60972"/>
    <w:rsid w:val="00B60F91"/>
    <w:rsid w:val="00B61278"/>
    <w:rsid w:val="00B61288"/>
    <w:rsid w:val="00B61324"/>
    <w:rsid w:val="00B615F7"/>
    <w:rsid w:val="00B621CF"/>
    <w:rsid w:val="00B6276D"/>
    <w:rsid w:val="00B62BC7"/>
    <w:rsid w:val="00B65F15"/>
    <w:rsid w:val="00B66D6A"/>
    <w:rsid w:val="00B676C2"/>
    <w:rsid w:val="00B67FF6"/>
    <w:rsid w:val="00B7028C"/>
    <w:rsid w:val="00B706F0"/>
    <w:rsid w:val="00B717AF"/>
    <w:rsid w:val="00B72C82"/>
    <w:rsid w:val="00B73292"/>
    <w:rsid w:val="00B75352"/>
    <w:rsid w:val="00B75FFB"/>
    <w:rsid w:val="00B763BE"/>
    <w:rsid w:val="00B8073B"/>
    <w:rsid w:val="00B81472"/>
    <w:rsid w:val="00B829B1"/>
    <w:rsid w:val="00B82A6C"/>
    <w:rsid w:val="00B846F3"/>
    <w:rsid w:val="00B84926"/>
    <w:rsid w:val="00B9241D"/>
    <w:rsid w:val="00B9337A"/>
    <w:rsid w:val="00B93685"/>
    <w:rsid w:val="00B93905"/>
    <w:rsid w:val="00B94918"/>
    <w:rsid w:val="00B959FA"/>
    <w:rsid w:val="00B963D3"/>
    <w:rsid w:val="00B96B83"/>
    <w:rsid w:val="00B97DC8"/>
    <w:rsid w:val="00BA3F36"/>
    <w:rsid w:val="00BA576A"/>
    <w:rsid w:val="00BA6A93"/>
    <w:rsid w:val="00BB01EE"/>
    <w:rsid w:val="00BB0AD4"/>
    <w:rsid w:val="00BB17B5"/>
    <w:rsid w:val="00BB3090"/>
    <w:rsid w:val="00BB34A9"/>
    <w:rsid w:val="00BB4199"/>
    <w:rsid w:val="00BB560D"/>
    <w:rsid w:val="00BB634F"/>
    <w:rsid w:val="00BB7AC6"/>
    <w:rsid w:val="00BC04B3"/>
    <w:rsid w:val="00BC197C"/>
    <w:rsid w:val="00BC2A73"/>
    <w:rsid w:val="00BC2C69"/>
    <w:rsid w:val="00BC2E9A"/>
    <w:rsid w:val="00BC5765"/>
    <w:rsid w:val="00BC7BB5"/>
    <w:rsid w:val="00BD01F1"/>
    <w:rsid w:val="00BD16F7"/>
    <w:rsid w:val="00BD32B0"/>
    <w:rsid w:val="00BD7B03"/>
    <w:rsid w:val="00BE013D"/>
    <w:rsid w:val="00BE0383"/>
    <w:rsid w:val="00BE0AD8"/>
    <w:rsid w:val="00BE11F4"/>
    <w:rsid w:val="00BE11F7"/>
    <w:rsid w:val="00BE1E7C"/>
    <w:rsid w:val="00BE208F"/>
    <w:rsid w:val="00BE2C5D"/>
    <w:rsid w:val="00BE378C"/>
    <w:rsid w:val="00BE5E19"/>
    <w:rsid w:val="00BE6683"/>
    <w:rsid w:val="00BE72C0"/>
    <w:rsid w:val="00BE7302"/>
    <w:rsid w:val="00BF0A15"/>
    <w:rsid w:val="00BF2F80"/>
    <w:rsid w:val="00BF4054"/>
    <w:rsid w:val="00BF41DC"/>
    <w:rsid w:val="00BF428F"/>
    <w:rsid w:val="00BF434B"/>
    <w:rsid w:val="00BF4889"/>
    <w:rsid w:val="00BF6C80"/>
    <w:rsid w:val="00BF712E"/>
    <w:rsid w:val="00BF73A0"/>
    <w:rsid w:val="00C0196F"/>
    <w:rsid w:val="00C03D46"/>
    <w:rsid w:val="00C04EBE"/>
    <w:rsid w:val="00C04FEC"/>
    <w:rsid w:val="00C05FBF"/>
    <w:rsid w:val="00C0624B"/>
    <w:rsid w:val="00C0712F"/>
    <w:rsid w:val="00C0796D"/>
    <w:rsid w:val="00C1054E"/>
    <w:rsid w:val="00C10A83"/>
    <w:rsid w:val="00C10E3B"/>
    <w:rsid w:val="00C1105A"/>
    <w:rsid w:val="00C11744"/>
    <w:rsid w:val="00C11DEC"/>
    <w:rsid w:val="00C152D7"/>
    <w:rsid w:val="00C16234"/>
    <w:rsid w:val="00C21D60"/>
    <w:rsid w:val="00C226A0"/>
    <w:rsid w:val="00C24058"/>
    <w:rsid w:val="00C25CDB"/>
    <w:rsid w:val="00C30D4F"/>
    <w:rsid w:val="00C31DCA"/>
    <w:rsid w:val="00C32461"/>
    <w:rsid w:val="00C3263A"/>
    <w:rsid w:val="00C32819"/>
    <w:rsid w:val="00C333ED"/>
    <w:rsid w:val="00C3417B"/>
    <w:rsid w:val="00C34731"/>
    <w:rsid w:val="00C35A9E"/>
    <w:rsid w:val="00C35D06"/>
    <w:rsid w:val="00C37CA7"/>
    <w:rsid w:val="00C4283F"/>
    <w:rsid w:val="00C43538"/>
    <w:rsid w:val="00C4370D"/>
    <w:rsid w:val="00C45537"/>
    <w:rsid w:val="00C4690D"/>
    <w:rsid w:val="00C472D0"/>
    <w:rsid w:val="00C50CE6"/>
    <w:rsid w:val="00C51268"/>
    <w:rsid w:val="00C5177E"/>
    <w:rsid w:val="00C533E1"/>
    <w:rsid w:val="00C53B19"/>
    <w:rsid w:val="00C550C4"/>
    <w:rsid w:val="00C568E9"/>
    <w:rsid w:val="00C605A8"/>
    <w:rsid w:val="00C60BD0"/>
    <w:rsid w:val="00C617F2"/>
    <w:rsid w:val="00C619E0"/>
    <w:rsid w:val="00C6214A"/>
    <w:rsid w:val="00C62C22"/>
    <w:rsid w:val="00C63573"/>
    <w:rsid w:val="00C64491"/>
    <w:rsid w:val="00C65643"/>
    <w:rsid w:val="00C656FA"/>
    <w:rsid w:val="00C661C9"/>
    <w:rsid w:val="00C67EDC"/>
    <w:rsid w:val="00C70F39"/>
    <w:rsid w:val="00C71EBC"/>
    <w:rsid w:val="00C72219"/>
    <w:rsid w:val="00C748DA"/>
    <w:rsid w:val="00C74BB1"/>
    <w:rsid w:val="00C75A6F"/>
    <w:rsid w:val="00C77D83"/>
    <w:rsid w:val="00C8055B"/>
    <w:rsid w:val="00C81852"/>
    <w:rsid w:val="00C81869"/>
    <w:rsid w:val="00C82828"/>
    <w:rsid w:val="00C85236"/>
    <w:rsid w:val="00C870A3"/>
    <w:rsid w:val="00C8788F"/>
    <w:rsid w:val="00C87C8E"/>
    <w:rsid w:val="00C90031"/>
    <w:rsid w:val="00C904CA"/>
    <w:rsid w:val="00C9081C"/>
    <w:rsid w:val="00C90C36"/>
    <w:rsid w:val="00C90E02"/>
    <w:rsid w:val="00C91D5F"/>
    <w:rsid w:val="00C932EF"/>
    <w:rsid w:val="00C93CD0"/>
    <w:rsid w:val="00C943C4"/>
    <w:rsid w:val="00C94843"/>
    <w:rsid w:val="00C94B28"/>
    <w:rsid w:val="00C95115"/>
    <w:rsid w:val="00C95826"/>
    <w:rsid w:val="00C959C0"/>
    <w:rsid w:val="00C95FF2"/>
    <w:rsid w:val="00C961FA"/>
    <w:rsid w:val="00C96598"/>
    <w:rsid w:val="00CA317C"/>
    <w:rsid w:val="00CA471E"/>
    <w:rsid w:val="00CA48AE"/>
    <w:rsid w:val="00CA56B9"/>
    <w:rsid w:val="00CA5D54"/>
    <w:rsid w:val="00CA68BF"/>
    <w:rsid w:val="00CA7D21"/>
    <w:rsid w:val="00CB0371"/>
    <w:rsid w:val="00CB07BF"/>
    <w:rsid w:val="00CB392F"/>
    <w:rsid w:val="00CB3AB9"/>
    <w:rsid w:val="00CB537F"/>
    <w:rsid w:val="00CB57DC"/>
    <w:rsid w:val="00CC0EB4"/>
    <w:rsid w:val="00CC0F87"/>
    <w:rsid w:val="00CC1188"/>
    <w:rsid w:val="00CC172C"/>
    <w:rsid w:val="00CC37FC"/>
    <w:rsid w:val="00CC5DF0"/>
    <w:rsid w:val="00CD2B65"/>
    <w:rsid w:val="00CD3987"/>
    <w:rsid w:val="00CD59DD"/>
    <w:rsid w:val="00CD59FD"/>
    <w:rsid w:val="00CD6323"/>
    <w:rsid w:val="00CD6BAB"/>
    <w:rsid w:val="00CD6E3F"/>
    <w:rsid w:val="00CD725F"/>
    <w:rsid w:val="00CD7DF5"/>
    <w:rsid w:val="00CE1087"/>
    <w:rsid w:val="00CE1212"/>
    <w:rsid w:val="00CE18E3"/>
    <w:rsid w:val="00CE2C9D"/>
    <w:rsid w:val="00CE4505"/>
    <w:rsid w:val="00CE4DCD"/>
    <w:rsid w:val="00CE559B"/>
    <w:rsid w:val="00CE78BA"/>
    <w:rsid w:val="00CE7E0E"/>
    <w:rsid w:val="00CF07D4"/>
    <w:rsid w:val="00CF146B"/>
    <w:rsid w:val="00CF1549"/>
    <w:rsid w:val="00CF25CF"/>
    <w:rsid w:val="00CF25E2"/>
    <w:rsid w:val="00CF2DE4"/>
    <w:rsid w:val="00CF2E0F"/>
    <w:rsid w:val="00CF46D8"/>
    <w:rsid w:val="00CF69E8"/>
    <w:rsid w:val="00CF6F7B"/>
    <w:rsid w:val="00CF7338"/>
    <w:rsid w:val="00D008BC"/>
    <w:rsid w:val="00D01792"/>
    <w:rsid w:val="00D01900"/>
    <w:rsid w:val="00D0375C"/>
    <w:rsid w:val="00D043F5"/>
    <w:rsid w:val="00D04860"/>
    <w:rsid w:val="00D0545A"/>
    <w:rsid w:val="00D0597B"/>
    <w:rsid w:val="00D12F4C"/>
    <w:rsid w:val="00D1333E"/>
    <w:rsid w:val="00D14280"/>
    <w:rsid w:val="00D15F44"/>
    <w:rsid w:val="00D1669F"/>
    <w:rsid w:val="00D201AD"/>
    <w:rsid w:val="00D20E0B"/>
    <w:rsid w:val="00D2192F"/>
    <w:rsid w:val="00D22BB6"/>
    <w:rsid w:val="00D2571A"/>
    <w:rsid w:val="00D30578"/>
    <w:rsid w:val="00D30F19"/>
    <w:rsid w:val="00D31696"/>
    <w:rsid w:val="00D31F78"/>
    <w:rsid w:val="00D3258F"/>
    <w:rsid w:val="00D3360A"/>
    <w:rsid w:val="00D33EA0"/>
    <w:rsid w:val="00D34AB6"/>
    <w:rsid w:val="00D36557"/>
    <w:rsid w:val="00D3655B"/>
    <w:rsid w:val="00D366AD"/>
    <w:rsid w:val="00D36A95"/>
    <w:rsid w:val="00D37DF2"/>
    <w:rsid w:val="00D37E28"/>
    <w:rsid w:val="00D41B0F"/>
    <w:rsid w:val="00D43B56"/>
    <w:rsid w:val="00D446F7"/>
    <w:rsid w:val="00D44916"/>
    <w:rsid w:val="00D461EF"/>
    <w:rsid w:val="00D461FE"/>
    <w:rsid w:val="00D463D7"/>
    <w:rsid w:val="00D46EEB"/>
    <w:rsid w:val="00D4786D"/>
    <w:rsid w:val="00D51BCD"/>
    <w:rsid w:val="00D5274C"/>
    <w:rsid w:val="00D53199"/>
    <w:rsid w:val="00D5515A"/>
    <w:rsid w:val="00D55335"/>
    <w:rsid w:val="00D55AA8"/>
    <w:rsid w:val="00D566C0"/>
    <w:rsid w:val="00D61023"/>
    <w:rsid w:val="00D613A1"/>
    <w:rsid w:val="00D61813"/>
    <w:rsid w:val="00D620E6"/>
    <w:rsid w:val="00D639B5"/>
    <w:rsid w:val="00D63C68"/>
    <w:rsid w:val="00D6515B"/>
    <w:rsid w:val="00D66605"/>
    <w:rsid w:val="00D6766E"/>
    <w:rsid w:val="00D6780A"/>
    <w:rsid w:val="00D67E8B"/>
    <w:rsid w:val="00D7199D"/>
    <w:rsid w:val="00D71F74"/>
    <w:rsid w:val="00D75260"/>
    <w:rsid w:val="00D759DE"/>
    <w:rsid w:val="00D80D0B"/>
    <w:rsid w:val="00D81FD5"/>
    <w:rsid w:val="00D83257"/>
    <w:rsid w:val="00D83E62"/>
    <w:rsid w:val="00D84226"/>
    <w:rsid w:val="00D844F9"/>
    <w:rsid w:val="00D846C3"/>
    <w:rsid w:val="00D859A1"/>
    <w:rsid w:val="00D91806"/>
    <w:rsid w:val="00D933C7"/>
    <w:rsid w:val="00D9419D"/>
    <w:rsid w:val="00D9545C"/>
    <w:rsid w:val="00D95B60"/>
    <w:rsid w:val="00D9602C"/>
    <w:rsid w:val="00D97306"/>
    <w:rsid w:val="00DA0061"/>
    <w:rsid w:val="00DA0BC2"/>
    <w:rsid w:val="00DA1D4F"/>
    <w:rsid w:val="00DA2C76"/>
    <w:rsid w:val="00DA2D51"/>
    <w:rsid w:val="00DA5B57"/>
    <w:rsid w:val="00DA7F02"/>
    <w:rsid w:val="00DB0BAA"/>
    <w:rsid w:val="00DB1AEC"/>
    <w:rsid w:val="00DB1BCB"/>
    <w:rsid w:val="00DB2C7B"/>
    <w:rsid w:val="00DB2F7F"/>
    <w:rsid w:val="00DB4DC4"/>
    <w:rsid w:val="00DB51F0"/>
    <w:rsid w:val="00DB579D"/>
    <w:rsid w:val="00DB7754"/>
    <w:rsid w:val="00DC043E"/>
    <w:rsid w:val="00DC1EB8"/>
    <w:rsid w:val="00DC2E97"/>
    <w:rsid w:val="00DC4F8B"/>
    <w:rsid w:val="00DC6285"/>
    <w:rsid w:val="00DC696F"/>
    <w:rsid w:val="00DD0C98"/>
    <w:rsid w:val="00DD36A4"/>
    <w:rsid w:val="00DD3B96"/>
    <w:rsid w:val="00DE1385"/>
    <w:rsid w:val="00DE2E4C"/>
    <w:rsid w:val="00DE32BD"/>
    <w:rsid w:val="00DE332F"/>
    <w:rsid w:val="00DE4F07"/>
    <w:rsid w:val="00DE6CF1"/>
    <w:rsid w:val="00DE6F39"/>
    <w:rsid w:val="00DE724C"/>
    <w:rsid w:val="00DF0465"/>
    <w:rsid w:val="00DF107A"/>
    <w:rsid w:val="00DF18DB"/>
    <w:rsid w:val="00DF19D0"/>
    <w:rsid w:val="00DF3F07"/>
    <w:rsid w:val="00DF5612"/>
    <w:rsid w:val="00DF6756"/>
    <w:rsid w:val="00E005CC"/>
    <w:rsid w:val="00E021F6"/>
    <w:rsid w:val="00E02646"/>
    <w:rsid w:val="00E03367"/>
    <w:rsid w:val="00E03A40"/>
    <w:rsid w:val="00E10939"/>
    <w:rsid w:val="00E13204"/>
    <w:rsid w:val="00E13546"/>
    <w:rsid w:val="00E1531C"/>
    <w:rsid w:val="00E15C8B"/>
    <w:rsid w:val="00E20EDF"/>
    <w:rsid w:val="00E21FDE"/>
    <w:rsid w:val="00E23025"/>
    <w:rsid w:val="00E233B4"/>
    <w:rsid w:val="00E2519B"/>
    <w:rsid w:val="00E274D1"/>
    <w:rsid w:val="00E27DDE"/>
    <w:rsid w:val="00E3095C"/>
    <w:rsid w:val="00E31341"/>
    <w:rsid w:val="00E31534"/>
    <w:rsid w:val="00E31E92"/>
    <w:rsid w:val="00E31F90"/>
    <w:rsid w:val="00E33F65"/>
    <w:rsid w:val="00E3486C"/>
    <w:rsid w:val="00E34D77"/>
    <w:rsid w:val="00E35B51"/>
    <w:rsid w:val="00E35DD4"/>
    <w:rsid w:val="00E372FC"/>
    <w:rsid w:val="00E37336"/>
    <w:rsid w:val="00E373CB"/>
    <w:rsid w:val="00E37E9A"/>
    <w:rsid w:val="00E40621"/>
    <w:rsid w:val="00E432B4"/>
    <w:rsid w:val="00E43F19"/>
    <w:rsid w:val="00E474DA"/>
    <w:rsid w:val="00E50C18"/>
    <w:rsid w:val="00E50F4A"/>
    <w:rsid w:val="00E51D60"/>
    <w:rsid w:val="00E53A0B"/>
    <w:rsid w:val="00E53D3D"/>
    <w:rsid w:val="00E547BB"/>
    <w:rsid w:val="00E568A8"/>
    <w:rsid w:val="00E576A2"/>
    <w:rsid w:val="00E578F6"/>
    <w:rsid w:val="00E6063B"/>
    <w:rsid w:val="00E60F09"/>
    <w:rsid w:val="00E62C52"/>
    <w:rsid w:val="00E62CF3"/>
    <w:rsid w:val="00E62FB7"/>
    <w:rsid w:val="00E6305F"/>
    <w:rsid w:val="00E64043"/>
    <w:rsid w:val="00E6409F"/>
    <w:rsid w:val="00E6524F"/>
    <w:rsid w:val="00E6776C"/>
    <w:rsid w:val="00E7129A"/>
    <w:rsid w:val="00E713A4"/>
    <w:rsid w:val="00E731A7"/>
    <w:rsid w:val="00E73B25"/>
    <w:rsid w:val="00E746C0"/>
    <w:rsid w:val="00E74CED"/>
    <w:rsid w:val="00E76447"/>
    <w:rsid w:val="00E76BCB"/>
    <w:rsid w:val="00E76C46"/>
    <w:rsid w:val="00E77CE2"/>
    <w:rsid w:val="00E8178F"/>
    <w:rsid w:val="00E83A5D"/>
    <w:rsid w:val="00E86793"/>
    <w:rsid w:val="00E875EB"/>
    <w:rsid w:val="00E87DDD"/>
    <w:rsid w:val="00E92A6C"/>
    <w:rsid w:val="00E93A75"/>
    <w:rsid w:val="00E93EA9"/>
    <w:rsid w:val="00E95862"/>
    <w:rsid w:val="00EA0372"/>
    <w:rsid w:val="00EA0BD7"/>
    <w:rsid w:val="00EA164B"/>
    <w:rsid w:val="00EA37A0"/>
    <w:rsid w:val="00EA4155"/>
    <w:rsid w:val="00EA4B5D"/>
    <w:rsid w:val="00EA68C9"/>
    <w:rsid w:val="00EA718B"/>
    <w:rsid w:val="00EA7CB1"/>
    <w:rsid w:val="00EB0E6D"/>
    <w:rsid w:val="00EB3730"/>
    <w:rsid w:val="00EB48BE"/>
    <w:rsid w:val="00EB4C6D"/>
    <w:rsid w:val="00EB5F3B"/>
    <w:rsid w:val="00EB637A"/>
    <w:rsid w:val="00EB63FC"/>
    <w:rsid w:val="00EB6D0B"/>
    <w:rsid w:val="00EB7916"/>
    <w:rsid w:val="00EC1095"/>
    <w:rsid w:val="00EC3914"/>
    <w:rsid w:val="00EC3A14"/>
    <w:rsid w:val="00EC4050"/>
    <w:rsid w:val="00EC447B"/>
    <w:rsid w:val="00EC5509"/>
    <w:rsid w:val="00EC67F1"/>
    <w:rsid w:val="00EC6B27"/>
    <w:rsid w:val="00ED0307"/>
    <w:rsid w:val="00ED1B98"/>
    <w:rsid w:val="00ED2610"/>
    <w:rsid w:val="00ED3CA8"/>
    <w:rsid w:val="00ED4392"/>
    <w:rsid w:val="00ED4698"/>
    <w:rsid w:val="00ED52C0"/>
    <w:rsid w:val="00ED6131"/>
    <w:rsid w:val="00ED7B6A"/>
    <w:rsid w:val="00EE089F"/>
    <w:rsid w:val="00EE1B31"/>
    <w:rsid w:val="00EE1C19"/>
    <w:rsid w:val="00EE212C"/>
    <w:rsid w:val="00EE334A"/>
    <w:rsid w:val="00EE3C13"/>
    <w:rsid w:val="00EE3DEB"/>
    <w:rsid w:val="00EE4477"/>
    <w:rsid w:val="00EE52D4"/>
    <w:rsid w:val="00EE5585"/>
    <w:rsid w:val="00EE561E"/>
    <w:rsid w:val="00EE640A"/>
    <w:rsid w:val="00EE6ABA"/>
    <w:rsid w:val="00EF0461"/>
    <w:rsid w:val="00EF1D1C"/>
    <w:rsid w:val="00EF233A"/>
    <w:rsid w:val="00EF2C46"/>
    <w:rsid w:val="00EF3171"/>
    <w:rsid w:val="00EF42F8"/>
    <w:rsid w:val="00EF679D"/>
    <w:rsid w:val="00F00333"/>
    <w:rsid w:val="00F00B5F"/>
    <w:rsid w:val="00F01775"/>
    <w:rsid w:val="00F02675"/>
    <w:rsid w:val="00F03A81"/>
    <w:rsid w:val="00F04825"/>
    <w:rsid w:val="00F061D0"/>
    <w:rsid w:val="00F07706"/>
    <w:rsid w:val="00F102D7"/>
    <w:rsid w:val="00F1046D"/>
    <w:rsid w:val="00F104A6"/>
    <w:rsid w:val="00F11359"/>
    <w:rsid w:val="00F12A50"/>
    <w:rsid w:val="00F12B7B"/>
    <w:rsid w:val="00F13270"/>
    <w:rsid w:val="00F133BB"/>
    <w:rsid w:val="00F1458C"/>
    <w:rsid w:val="00F150F1"/>
    <w:rsid w:val="00F165FC"/>
    <w:rsid w:val="00F22796"/>
    <w:rsid w:val="00F23761"/>
    <w:rsid w:val="00F23DF6"/>
    <w:rsid w:val="00F24262"/>
    <w:rsid w:val="00F2527E"/>
    <w:rsid w:val="00F27A91"/>
    <w:rsid w:val="00F30800"/>
    <w:rsid w:val="00F31544"/>
    <w:rsid w:val="00F31816"/>
    <w:rsid w:val="00F333BA"/>
    <w:rsid w:val="00F34061"/>
    <w:rsid w:val="00F35865"/>
    <w:rsid w:val="00F35BB5"/>
    <w:rsid w:val="00F36D01"/>
    <w:rsid w:val="00F37167"/>
    <w:rsid w:val="00F40330"/>
    <w:rsid w:val="00F42908"/>
    <w:rsid w:val="00F42C31"/>
    <w:rsid w:val="00F42F44"/>
    <w:rsid w:val="00F43472"/>
    <w:rsid w:val="00F43F27"/>
    <w:rsid w:val="00F459AA"/>
    <w:rsid w:val="00F46F69"/>
    <w:rsid w:val="00F4793A"/>
    <w:rsid w:val="00F50AAD"/>
    <w:rsid w:val="00F526A5"/>
    <w:rsid w:val="00F52EB9"/>
    <w:rsid w:val="00F56A35"/>
    <w:rsid w:val="00F56EC6"/>
    <w:rsid w:val="00F57602"/>
    <w:rsid w:val="00F5779D"/>
    <w:rsid w:val="00F6054B"/>
    <w:rsid w:val="00F60D0E"/>
    <w:rsid w:val="00F63AEB"/>
    <w:rsid w:val="00F65AD9"/>
    <w:rsid w:val="00F65E51"/>
    <w:rsid w:val="00F65E80"/>
    <w:rsid w:val="00F65E8C"/>
    <w:rsid w:val="00F66597"/>
    <w:rsid w:val="00F6704C"/>
    <w:rsid w:val="00F67802"/>
    <w:rsid w:val="00F72824"/>
    <w:rsid w:val="00F74FDE"/>
    <w:rsid w:val="00F74FE7"/>
    <w:rsid w:val="00F760E2"/>
    <w:rsid w:val="00F775F5"/>
    <w:rsid w:val="00F81771"/>
    <w:rsid w:val="00F81BB8"/>
    <w:rsid w:val="00F820CF"/>
    <w:rsid w:val="00F83C82"/>
    <w:rsid w:val="00F84295"/>
    <w:rsid w:val="00F84C74"/>
    <w:rsid w:val="00F851A0"/>
    <w:rsid w:val="00F86A89"/>
    <w:rsid w:val="00F8727B"/>
    <w:rsid w:val="00F90CF2"/>
    <w:rsid w:val="00F92373"/>
    <w:rsid w:val="00F9359E"/>
    <w:rsid w:val="00F94515"/>
    <w:rsid w:val="00F97506"/>
    <w:rsid w:val="00F97B3F"/>
    <w:rsid w:val="00FA0B08"/>
    <w:rsid w:val="00FA1C77"/>
    <w:rsid w:val="00FA2159"/>
    <w:rsid w:val="00FA2CE6"/>
    <w:rsid w:val="00FA45BA"/>
    <w:rsid w:val="00FA72CD"/>
    <w:rsid w:val="00FA73E5"/>
    <w:rsid w:val="00FB0428"/>
    <w:rsid w:val="00FB049C"/>
    <w:rsid w:val="00FB1420"/>
    <w:rsid w:val="00FB1DFD"/>
    <w:rsid w:val="00FB2F7D"/>
    <w:rsid w:val="00FB328D"/>
    <w:rsid w:val="00FB5841"/>
    <w:rsid w:val="00FB58CF"/>
    <w:rsid w:val="00FB6DA9"/>
    <w:rsid w:val="00FB7A42"/>
    <w:rsid w:val="00FC008E"/>
    <w:rsid w:val="00FC5AAF"/>
    <w:rsid w:val="00FC6568"/>
    <w:rsid w:val="00FC6B54"/>
    <w:rsid w:val="00FC7ABF"/>
    <w:rsid w:val="00FD0B6B"/>
    <w:rsid w:val="00FD1641"/>
    <w:rsid w:val="00FD1880"/>
    <w:rsid w:val="00FD220F"/>
    <w:rsid w:val="00FD23BA"/>
    <w:rsid w:val="00FD4188"/>
    <w:rsid w:val="00FD706E"/>
    <w:rsid w:val="00FE1193"/>
    <w:rsid w:val="00FE3438"/>
    <w:rsid w:val="00FE6A40"/>
    <w:rsid w:val="00FF095A"/>
    <w:rsid w:val="00FF2511"/>
    <w:rsid w:val="00FF52B6"/>
    <w:rsid w:val="00FF54FF"/>
    <w:rsid w:val="00FF78EF"/>
    <w:rsid w:val="00FF7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1E3394"/>
  <w15:docId w15:val="{ED667978-739A-42DE-8219-D6A314FD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65E57"/>
    <w:rPr>
      <w:sz w:val="24"/>
      <w:szCs w:val="24"/>
    </w:rPr>
  </w:style>
  <w:style w:type="paragraph" w:styleId="1">
    <w:name w:val="heading 1"/>
    <w:basedOn w:val="a0"/>
    <w:next w:val="a0"/>
    <w:link w:val="10"/>
    <w:qFormat/>
    <w:rsid w:val="009675B9"/>
    <w:pPr>
      <w:keepNext/>
      <w:spacing w:before="240" w:after="60"/>
      <w:outlineLvl w:val="0"/>
    </w:pPr>
    <w:rPr>
      <w:rFonts w:ascii="Arial" w:hAnsi="Arial" w:cs="Arial"/>
      <w:b/>
      <w:bCs/>
      <w:kern w:val="32"/>
      <w:sz w:val="32"/>
      <w:szCs w:val="32"/>
    </w:rPr>
  </w:style>
  <w:style w:type="paragraph" w:styleId="2">
    <w:name w:val="heading 2"/>
    <w:basedOn w:val="a0"/>
    <w:next w:val="a0"/>
    <w:qFormat/>
    <w:rsid w:val="009675B9"/>
    <w:pPr>
      <w:keepNext/>
      <w:spacing w:before="240" w:after="60"/>
      <w:outlineLvl w:val="1"/>
    </w:pPr>
    <w:rPr>
      <w:rFonts w:ascii="Arial" w:hAnsi="Arial" w:cs="Arial"/>
      <w:b/>
      <w:bCs/>
      <w:i/>
      <w:iCs/>
      <w:sz w:val="28"/>
      <w:szCs w:val="28"/>
    </w:rPr>
  </w:style>
  <w:style w:type="paragraph" w:styleId="3">
    <w:name w:val="heading 3"/>
    <w:basedOn w:val="a0"/>
    <w:next w:val="a0"/>
    <w:qFormat/>
    <w:rsid w:val="00165E57"/>
    <w:pPr>
      <w:keepNext/>
      <w:spacing w:before="240" w:after="60"/>
      <w:outlineLvl w:val="2"/>
    </w:pPr>
    <w:rPr>
      <w:rFonts w:ascii="Arial" w:hAnsi="Arial" w:cs="Arial"/>
      <w:b/>
      <w:bCs/>
      <w:sz w:val="26"/>
      <w:szCs w:val="26"/>
    </w:rPr>
  </w:style>
  <w:style w:type="paragraph" w:styleId="7">
    <w:name w:val="heading 7"/>
    <w:basedOn w:val="a0"/>
    <w:next w:val="a0"/>
    <w:qFormat/>
    <w:rsid w:val="00165E57"/>
    <w:pPr>
      <w:keepNext/>
      <w:overflowPunct w:val="0"/>
      <w:autoSpaceDE w:val="0"/>
      <w:autoSpaceDN w:val="0"/>
      <w:adjustRightInd w:val="0"/>
      <w:spacing w:before="120" w:line="360" w:lineRule="auto"/>
      <w:jc w:val="both"/>
      <w:textAlignment w:val="baseline"/>
      <w:outlineLvl w:val="6"/>
    </w:pPr>
    <w:rPr>
      <w:b/>
      <w:bCs/>
      <w:i/>
      <w:iCs/>
      <w:sz w:val="20"/>
      <w:szCs w:val="20"/>
    </w:rPr>
  </w:style>
  <w:style w:type="paragraph" w:styleId="9">
    <w:name w:val="heading 9"/>
    <w:basedOn w:val="a0"/>
    <w:next w:val="a0"/>
    <w:link w:val="90"/>
    <w:qFormat/>
    <w:rsid w:val="00165E57"/>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rsid w:val="00661D03"/>
    <w:rPr>
      <w:sz w:val="20"/>
      <w:szCs w:val="20"/>
    </w:rPr>
  </w:style>
  <w:style w:type="character" w:styleId="a6">
    <w:name w:val="footnote reference"/>
    <w:uiPriority w:val="99"/>
    <w:rsid w:val="00661D03"/>
    <w:rPr>
      <w:vertAlign w:val="superscript"/>
    </w:rPr>
  </w:style>
  <w:style w:type="character" w:styleId="a7">
    <w:name w:val="Hyperlink"/>
    <w:uiPriority w:val="99"/>
    <w:rsid w:val="006829B8"/>
    <w:rPr>
      <w:color w:val="0000FF"/>
      <w:u w:val="single"/>
    </w:rPr>
  </w:style>
  <w:style w:type="paragraph" w:styleId="a8">
    <w:name w:val="footer"/>
    <w:basedOn w:val="a0"/>
    <w:link w:val="a9"/>
    <w:uiPriority w:val="99"/>
    <w:rsid w:val="00DD36A4"/>
    <w:pPr>
      <w:tabs>
        <w:tab w:val="center" w:pos="4677"/>
        <w:tab w:val="right" w:pos="9355"/>
      </w:tabs>
    </w:pPr>
  </w:style>
  <w:style w:type="character" w:styleId="aa">
    <w:name w:val="page number"/>
    <w:basedOn w:val="a1"/>
    <w:rsid w:val="00DD36A4"/>
  </w:style>
  <w:style w:type="paragraph" w:styleId="ab">
    <w:name w:val="header"/>
    <w:basedOn w:val="a0"/>
    <w:rsid w:val="00DD36A4"/>
    <w:pPr>
      <w:tabs>
        <w:tab w:val="center" w:pos="4677"/>
        <w:tab w:val="right" w:pos="9355"/>
      </w:tabs>
    </w:pPr>
  </w:style>
  <w:style w:type="paragraph" w:customStyle="1" w:styleId="11">
    <w:name w:val="Основной текст1"/>
    <w:basedOn w:val="a0"/>
    <w:rsid w:val="004D0F87"/>
    <w:pPr>
      <w:jc w:val="both"/>
    </w:pPr>
    <w:rPr>
      <w:szCs w:val="20"/>
    </w:rPr>
  </w:style>
  <w:style w:type="table" w:styleId="ac">
    <w:name w:val="Table Grid"/>
    <w:basedOn w:val="a2"/>
    <w:uiPriority w:val="59"/>
    <w:rsid w:val="0018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0"/>
    <w:next w:val="a0"/>
    <w:autoRedefine/>
    <w:uiPriority w:val="39"/>
    <w:qFormat/>
    <w:rsid w:val="009675B9"/>
  </w:style>
  <w:style w:type="paragraph" w:styleId="20">
    <w:name w:val="toc 2"/>
    <w:basedOn w:val="a0"/>
    <w:next w:val="a0"/>
    <w:autoRedefine/>
    <w:uiPriority w:val="39"/>
    <w:qFormat/>
    <w:rsid w:val="00B50616"/>
    <w:pPr>
      <w:tabs>
        <w:tab w:val="right" w:leader="dot" w:pos="9356"/>
      </w:tabs>
      <w:ind w:left="240"/>
    </w:pPr>
  </w:style>
  <w:style w:type="paragraph" w:styleId="ad">
    <w:name w:val="Normal (Web)"/>
    <w:basedOn w:val="a0"/>
    <w:rsid w:val="00165E57"/>
    <w:pPr>
      <w:spacing w:before="100" w:beforeAutospacing="1" w:after="100" w:afterAutospacing="1"/>
    </w:pPr>
  </w:style>
  <w:style w:type="paragraph" w:styleId="21">
    <w:name w:val="Body Text 2"/>
    <w:basedOn w:val="a0"/>
    <w:rsid w:val="00165E57"/>
    <w:pPr>
      <w:overflowPunct w:val="0"/>
      <w:autoSpaceDE w:val="0"/>
      <w:autoSpaceDN w:val="0"/>
      <w:adjustRightInd w:val="0"/>
      <w:spacing w:before="120" w:line="312" w:lineRule="auto"/>
      <w:jc w:val="both"/>
      <w:textAlignment w:val="baseline"/>
    </w:pPr>
    <w:rPr>
      <w:bCs/>
      <w:sz w:val="20"/>
      <w:szCs w:val="20"/>
    </w:rPr>
  </w:style>
  <w:style w:type="paragraph" w:styleId="22">
    <w:name w:val="Body Text Indent 2"/>
    <w:basedOn w:val="a0"/>
    <w:rsid w:val="00165E57"/>
    <w:pPr>
      <w:spacing w:after="120" w:line="480" w:lineRule="auto"/>
      <w:ind w:left="283"/>
    </w:pPr>
  </w:style>
  <w:style w:type="paragraph" w:styleId="HTML">
    <w:name w:val="HTML Preformatted"/>
    <w:basedOn w:val="a0"/>
    <w:rsid w:val="00165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0">
    <w:name w:val="Body Text 3"/>
    <w:basedOn w:val="a0"/>
    <w:rsid w:val="00165E57"/>
    <w:pPr>
      <w:spacing w:after="120"/>
    </w:pPr>
    <w:rPr>
      <w:sz w:val="16"/>
      <w:szCs w:val="16"/>
    </w:rPr>
  </w:style>
  <w:style w:type="paragraph" w:styleId="31">
    <w:name w:val="toc 3"/>
    <w:basedOn w:val="a0"/>
    <w:next w:val="a0"/>
    <w:autoRedefine/>
    <w:uiPriority w:val="39"/>
    <w:qFormat/>
    <w:rsid w:val="00165E57"/>
    <w:pPr>
      <w:ind w:left="480"/>
    </w:pPr>
  </w:style>
  <w:style w:type="paragraph" w:styleId="ae">
    <w:name w:val="Body Text"/>
    <w:basedOn w:val="a0"/>
    <w:rsid w:val="00165E57"/>
    <w:pPr>
      <w:spacing w:after="120"/>
    </w:pPr>
  </w:style>
  <w:style w:type="paragraph" w:styleId="af">
    <w:name w:val="Plain Text"/>
    <w:basedOn w:val="a0"/>
    <w:rsid w:val="00244705"/>
    <w:rPr>
      <w:rFonts w:ascii="Courier New" w:hAnsi="Courier New" w:cs="Courier New"/>
      <w:sz w:val="20"/>
      <w:szCs w:val="20"/>
    </w:rPr>
  </w:style>
  <w:style w:type="paragraph" w:customStyle="1" w:styleId="23">
    <w:name w:val="Знак Знак2 Знак Знак"/>
    <w:basedOn w:val="a0"/>
    <w:rsid w:val="001429DB"/>
    <w:pPr>
      <w:spacing w:after="160" w:line="240" w:lineRule="exact"/>
    </w:pPr>
    <w:rPr>
      <w:rFonts w:ascii="Verdana" w:hAnsi="Verdana"/>
      <w:sz w:val="20"/>
      <w:szCs w:val="20"/>
      <w:lang w:val="en-US" w:eastAsia="en-US"/>
    </w:rPr>
  </w:style>
  <w:style w:type="character" w:styleId="af0">
    <w:name w:val="annotation reference"/>
    <w:semiHidden/>
    <w:rsid w:val="008316E9"/>
    <w:rPr>
      <w:sz w:val="16"/>
      <w:szCs w:val="16"/>
    </w:rPr>
  </w:style>
  <w:style w:type="paragraph" w:styleId="af1">
    <w:name w:val="annotation text"/>
    <w:basedOn w:val="a0"/>
    <w:link w:val="af2"/>
    <w:semiHidden/>
    <w:rsid w:val="008316E9"/>
    <w:rPr>
      <w:sz w:val="20"/>
      <w:szCs w:val="20"/>
    </w:rPr>
  </w:style>
  <w:style w:type="paragraph" w:styleId="af3">
    <w:name w:val="annotation subject"/>
    <w:basedOn w:val="af1"/>
    <w:next w:val="af1"/>
    <w:semiHidden/>
    <w:rsid w:val="008316E9"/>
    <w:rPr>
      <w:b/>
      <w:bCs/>
    </w:rPr>
  </w:style>
  <w:style w:type="paragraph" w:styleId="af4">
    <w:name w:val="Balloon Text"/>
    <w:basedOn w:val="a0"/>
    <w:semiHidden/>
    <w:rsid w:val="008316E9"/>
    <w:rPr>
      <w:rFonts w:ascii="Tahoma" w:hAnsi="Tahoma" w:cs="Tahoma"/>
      <w:sz w:val="16"/>
      <w:szCs w:val="16"/>
    </w:rPr>
  </w:style>
  <w:style w:type="character" w:customStyle="1" w:styleId="10">
    <w:name w:val="Заголовок 1 Знак"/>
    <w:link w:val="1"/>
    <w:rsid w:val="006631C4"/>
    <w:rPr>
      <w:rFonts w:ascii="Arial" w:hAnsi="Arial" w:cs="Arial"/>
      <w:b/>
      <w:bCs/>
      <w:kern w:val="32"/>
      <w:sz w:val="32"/>
      <w:szCs w:val="32"/>
      <w:lang w:val="ru-RU" w:eastAsia="ru-RU" w:bidi="ar-SA"/>
    </w:rPr>
  </w:style>
  <w:style w:type="character" w:styleId="af5">
    <w:name w:val="Strong"/>
    <w:qFormat/>
    <w:rsid w:val="00863E92"/>
    <w:rPr>
      <w:b/>
      <w:bCs/>
    </w:rPr>
  </w:style>
  <w:style w:type="paragraph" w:customStyle="1" w:styleId="13">
    <w:name w:val="Обычный1"/>
    <w:rsid w:val="002A6434"/>
    <w:rPr>
      <w:sz w:val="24"/>
    </w:rPr>
  </w:style>
  <w:style w:type="numbering" w:customStyle="1" w:styleId="a">
    <w:name w:val="Стиль нумерованный"/>
    <w:basedOn w:val="a3"/>
    <w:rsid w:val="005917CA"/>
    <w:pPr>
      <w:numPr>
        <w:numId w:val="3"/>
      </w:numPr>
    </w:pPr>
  </w:style>
  <w:style w:type="character" w:styleId="af6">
    <w:name w:val="FollowedHyperlink"/>
    <w:rsid w:val="00920E7A"/>
    <w:rPr>
      <w:color w:val="800080"/>
      <w:u w:val="single"/>
    </w:rPr>
  </w:style>
  <w:style w:type="paragraph" w:customStyle="1" w:styleId="bodytext">
    <w:name w:val="bodytext"/>
    <w:basedOn w:val="a0"/>
    <w:rsid w:val="009634C5"/>
    <w:pPr>
      <w:spacing w:before="100" w:beforeAutospacing="1" w:after="100" w:afterAutospacing="1"/>
    </w:pPr>
  </w:style>
  <w:style w:type="character" w:customStyle="1" w:styleId="a5">
    <w:name w:val="Текст сноски Знак"/>
    <w:link w:val="a4"/>
    <w:uiPriority w:val="99"/>
    <w:locked/>
    <w:rsid w:val="004259B2"/>
    <w:rPr>
      <w:lang w:val="ru-RU" w:eastAsia="ru-RU" w:bidi="ar-SA"/>
    </w:rPr>
  </w:style>
  <w:style w:type="character" w:customStyle="1" w:styleId="90">
    <w:name w:val="Заголовок 9 Знак"/>
    <w:link w:val="9"/>
    <w:rsid w:val="0017792D"/>
    <w:rPr>
      <w:rFonts w:ascii="Arial" w:hAnsi="Arial" w:cs="Arial"/>
      <w:sz w:val="22"/>
      <w:szCs w:val="22"/>
      <w:lang w:val="ru-RU" w:eastAsia="ru-RU" w:bidi="ar-SA"/>
    </w:rPr>
  </w:style>
  <w:style w:type="character" w:customStyle="1" w:styleId="af2">
    <w:name w:val="Текст примечания Знак"/>
    <w:link w:val="af1"/>
    <w:semiHidden/>
    <w:rsid w:val="0017792D"/>
    <w:rPr>
      <w:lang w:val="ru-RU" w:eastAsia="ru-RU" w:bidi="ar-SA"/>
    </w:rPr>
  </w:style>
  <w:style w:type="paragraph" w:styleId="af7">
    <w:name w:val="List Paragraph"/>
    <w:basedOn w:val="a0"/>
    <w:uiPriority w:val="34"/>
    <w:qFormat/>
    <w:rsid w:val="001A12DF"/>
    <w:pPr>
      <w:ind w:left="720"/>
      <w:contextualSpacing/>
    </w:pPr>
    <w:rPr>
      <w:rFonts w:ascii="Times" w:eastAsia="Calibri" w:hAnsi="Times" w:cs="Calibri"/>
      <w:szCs w:val="22"/>
      <w:lang w:eastAsia="en-US"/>
    </w:rPr>
  </w:style>
  <w:style w:type="paragraph" w:customStyle="1" w:styleId="RAEXdefault">
    <w:name w:val="RAEX default"/>
    <w:basedOn w:val="a0"/>
    <w:next w:val="a0"/>
    <w:link w:val="RAEXdefault0"/>
    <w:qFormat/>
    <w:rsid w:val="001A12DF"/>
    <w:pPr>
      <w:contextualSpacing/>
      <w:jc w:val="both"/>
    </w:pPr>
    <w:rPr>
      <w:rFonts w:eastAsia="Calibri" w:cs="Calibri"/>
      <w:szCs w:val="22"/>
      <w:lang w:val="en-US" w:eastAsia="en-US"/>
    </w:rPr>
  </w:style>
  <w:style w:type="character" w:customStyle="1" w:styleId="RAEXdefault0">
    <w:name w:val="RAEX default Знак"/>
    <w:link w:val="RAEXdefault"/>
    <w:rsid w:val="001A12DF"/>
    <w:rPr>
      <w:rFonts w:eastAsia="Calibri" w:cs="Calibri"/>
      <w:sz w:val="24"/>
      <w:szCs w:val="22"/>
      <w:lang w:val="en-US" w:eastAsia="en-US"/>
    </w:rPr>
  </w:style>
  <w:style w:type="paragraph" w:customStyle="1" w:styleId="24">
    <w:name w:val="Знак Знак2"/>
    <w:basedOn w:val="a0"/>
    <w:rsid w:val="007A7A88"/>
    <w:pPr>
      <w:spacing w:after="160" w:line="240" w:lineRule="exact"/>
    </w:pPr>
    <w:rPr>
      <w:rFonts w:ascii="Verdana" w:hAnsi="Verdana"/>
      <w:sz w:val="20"/>
      <w:szCs w:val="20"/>
      <w:lang w:val="en-US" w:eastAsia="en-US"/>
    </w:rPr>
  </w:style>
  <w:style w:type="character" w:customStyle="1" w:styleId="a9">
    <w:name w:val="Нижний колонтитул Знак"/>
    <w:link w:val="a8"/>
    <w:uiPriority w:val="99"/>
    <w:rsid w:val="008B1955"/>
    <w:rPr>
      <w:sz w:val="24"/>
      <w:szCs w:val="24"/>
    </w:rPr>
  </w:style>
  <w:style w:type="paragraph" w:customStyle="1" w:styleId="Default">
    <w:name w:val="Default"/>
    <w:rsid w:val="00815FAC"/>
    <w:pPr>
      <w:autoSpaceDE w:val="0"/>
      <w:autoSpaceDN w:val="0"/>
      <w:adjustRightInd w:val="0"/>
    </w:pPr>
    <w:rPr>
      <w:rFonts w:ascii="Segoe UI" w:eastAsia="Calibri" w:hAnsi="Segoe UI" w:cs="Segoe UI"/>
      <w:color w:val="000000"/>
      <w:sz w:val="24"/>
      <w:szCs w:val="24"/>
      <w:lang w:eastAsia="en-US"/>
    </w:rPr>
  </w:style>
  <w:style w:type="character" w:customStyle="1" w:styleId="af8">
    <w:name w:val="Символ сноски"/>
    <w:rsid w:val="0079661C"/>
    <w:rPr>
      <w:vertAlign w:val="superscript"/>
    </w:rPr>
  </w:style>
  <w:style w:type="paragraph" w:customStyle="1" w:styleId="ConsPlusNormal">
    <w:name w:val="ConsPlusNormal"/>
    <w:basedOn w:val="a0"/>
    <w:rsid w:val="0079661C"/>
    <w:pPr>
      <w:suppressAutoHyphens/>
      <w:autoSpaceDE w:val="0"/>
    </w:pPr>
    <w:rPr>
      <w:rFonts w:eastAsia="Calibri"/>
      <w:lang w:eastAsia="ar-SA"/>
    </w:rPr>
  </w:style>
  <w:style w:type="character" w:styleId="af9">
    <w:name w:val="Placeholder Text"/>
    <w:basedOn w:val="a1"/>
    <w:uiPriority w:val="99"/>
    <w:semiHidden/>
    <w:rsid w:val="00C85236"/>
    <w:rPr>
      <w:color w:val="808080"/>
    </w:rPr>
  </w:style>
  <w:style w:type="paragraph" w:styleId="afa">
    <w:name w:val="TOC Heading"/>
    <w:basedOn w:val="1"/>
    <w:next w:val="a0"/>
    <w:uiPriority w:val="39"/>
    <w:unhideWhenUsed/>
    <w:qFormat/>
    <w:rsid w:val="00FF52B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styleId="afb">
    <w:name w:val="Emphasis"/>
    <w:basedOn w:val="a1"/>
    <w:uiPriority w:val="20"/>
    <w:qFormat/>
    <w:rsid w:val="00E2519B"/>
    <w:rPr>
      <w:i/>
      <w:iCs/>
    </w:rPr>
  </w:style>
  <w:style w:type="paragraph" w:styleId="afc">
    <w:name w:val="Revision"/>
    <w:hidden/>
    <w:uiPriority w:val="99"/>
    <w:semiHidden/>
    <w:rsid w:val="00AE33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3122">
      <w:bodyDiv w:val="1"/>
      <w:marLeft w:val="0"/>
      <w:marRight w:val="0"/>
      <w:marTop w:val="0"/>
      <w:marBottom w:val="0"/>
      <w:divBdr>
        <w:top w:val="none" w:sz="0" w:space="0" w:color="auto"/>
        <w:left w:val="none" w:sz="0" w:space="0" w:color="auto"/>
        <w:bottom w:val="none" w:sz="0" w:space="0" w:color="auto"/>
        <w:right w:val="none" w:sz="0" w:space="0" w:color="auto"/>
      </w:divBdr>
    </w:div>
    <w:div w:id="47536437">
      <w:bodyDiv w:val="1"/>
      <w:marLeft w:val="0"/>
      <w:marRight w:val="0"/>
      <w:marTop w:val="0"/>
      <w:marBottom w:val="0"/>
      <w:divBdr>
        <w:top w:val="none" w:sz="0" w:space="0" w:color="auto"/>
        <w:left w:val="none" w:sz="0" w:space="0" w:color="auto"/>
        <w:bottom w:val="none" w:sz="0" w:space="0" w:color="auto"/>
        <w:right w:val="none" w:sz="0" w:space="0" w:color="auto"/>
      </w:divBdr>
    </w:div>
    <w:div w:id="253973777">
      <w:bodyDiv w:val="1"/>
      <w:marLeft w:val="0"/>
      <w:marRight w:val="0"/>
      <w:marTop w:val="0"/>
      <w:marBottom w:val="0"/>
      <w:divBdr>
        <w:top w:val="none" w:sz="0" w:space="0" w:color="auto"/>
        <w:left w:val="none" w:sz="0" w:space="0" w:color="auto"/>
        <w:bottom w:val="none" w:sz="0" w:space="0" w:color="auto"/>
        <w:right w:val="none" w:sz="0" w:space="0" w:color="auto"/>
      </w:divBdr>
    </w:div>
    <w:div w:id="373578242">
      <w:bodyDiv w:val="1"/>
      <w:marLeft w:val="0"/>
      <w:marRight w:val="0"/>
      <w:marTop w:val="0"/>
      <w:marBottom w:val="0"/>
      <w:divBdr>
        <w:top w:val="none" w:sz="0" w:space="0" w:color="auto"/>
        <w:left w:val="none" w:sz="0" w:space="0" w:color="auto"/>
        <w:bottom w:val="none" w:sz="0" w:space="0" w:color="auto"/>
        <w:right w:val="none" w:sz="0" w:space="0" w:color="auto"/>
      </w:divBdr>
    </w:div>
    <w:div w:id="422341393">
      <w:bodyDiv w:val="1"/>
      <w:marLeft w:val="0"/>
      <w:marRight w:val="0"/>
      <w:marTop w:val="0"/>
      <w:marBottom w:val="0"/>
      <w:divBdr>
        <w:top w:val="none" w:sz="0" w:space="0" w:color="auto"/>
        <w:left w:val="none" w:sz="0" w:space="0" w:color="auto"/>
        <w:bottom w:val="none" w:sz="0" w:space="0" w:color="auto"/>
        <w:right w:val="none" w:sz="0" w:space="0" w:color="auto"/>
      </w:divBdr>
    </w:div>
    <w:div w:id="453409370">
      <w:bodyDiv w:val="1"/>
      <w:marLeft w:val="0"/>
      <w:marRight w:val="0"/>
      <w:marTop w:val="0"/>
      <w:marBottom w:val="0"/>
      <w:divBdr>
        <w:top w:val="none" w:sz="0" w:space="0" w:color="auto"/>
        <w:left w:val="none" w:sz="0" w:space="0" w:color="auto"/>
        <w:bottom w:val="none" w:sz="0" w:space="0" w:color="auto"/>
        <w:right w:val="none" w:sz="0" w:space="0" w:color="auto"/>
      </w:divBdr>
    </w:div>
    <w:div w:id="491024581">
      <w:bodyDiv w:val="1"/>
      <w:marLeft w:val="0"/>
      <w:marRight w:val="0"/>
      <w:marTop w:val="0"/>
      <w:marBottom w:val="0"/>
      <w:divBdr>
        <w:top w:val="none" w:sz="0" w:space="0" w:color="auto"/>
        <w:left w:val="none" w:sz="0" w:space="0" w:color="auto"/>
        <w:bottom w:val="none" w:sz="0" w:space="0" w:color="auto"/>
        <w:right w:val="none" w:sz="0" w:space="0" w:color="auto"/>
      </w:divBdr>
    </w:div>
    <w:div w:id="506409231">
      <w:bodyDiv w:val="1"/>
      <w:marLeft w:val="0"/>
      <w:marRight w:val="0"/>
      <w:marTop w:val="0"/>
      <w:marBottom w:val="0"/>
      <w:divBdr>
        <w:top w:val="none" w:sz="0" w:space="0" w:color="auto"/>
        <w:left w:val="none" w:sz="0" w:space="0" w:color="auto"/>
        <w:bottom w:val="none" w:sz="0" w:space="0" w:color="auto"/>
        <w:right w:val="none" w:sz="0" w:space="0" w:color="auto"/>
      </w:divBdr>
    </w:div>
    <w:div w:id="769929401">
      <w:bodyDiv w:val="1"/>
      <w:marLeft w:val="0"/>
      <w:marRight w:val="0"/>
      <w:marTop w:val="0"/>
      <w:marBottom w:val="0"/>
      <w:divBdr>
        <w:top w:val="none" w:sz="0" w:space="0" w:color="auto"/>
        <w:left w:val="none" w:sz="0" w:space="0" w:color="auto"/>
        <w:bottom w:val="none" w:sz="0" w:space="0" w:color="auto"/>
        <w:right w:val="none" w:sz="0" w:space="0" w:color="auto"/>
      </w:divBdr>
    </w:div>
    <w:div w:id="770201966">
      <w:bodyDiv w:val="1"/>
      <w:marLeft w:val="0"/>
      <w:marRight w:val="0"/>
      <w:marTop w:val="0"/>
      <w:marBottom w:val="0"/>
      <w:divBdr>
        <w:top w:val="none" w:sz="0" w:space="0" w:color="auto"/>
        <w:left w:val="none" w:sz="0" w:space="0" w:color="auto"/>
        <w:bottom w:val="none" w:sz="0" w:space="0" w:color="auto"/>
        <w:right w:val="none" w:sz="0" w:space="0" w:color="auto"/>
      </w:divBdr>
    </w:div>
    <w:div w:id="1155294693">
      <w:bodyDiv w:val="1"/>
      <w:marLeft w:val="0"/>
      <w:marRight w:val="0"/>
      <w:marTop w:val="0"/>
      <w:marBottom w:val="0"/>
      <w:divBdr>
        <w:top w:val="none" w:sz="0" w:space="0" w:color="auto"/>
        <w:left w:val="none" w:sz="0" w:space="0" w:color="auto"/>
        <w:bottom w:val="none" w:sz="0" w:space="0" w:color="auto"/>
        <w:right w:val="none" w:sz="0" w:space="0" w:color="auto"/>
      </w:divBdr>
    </w:div>
    <w:div w:id="1168058089">
      <w:bodyDiv w:val="1"/>
      <w:marLeft w:val="0"/>
      <w:marRight w:val="0"/>
      <w:marTop w:val="0"/>
      <w:marBottom w:val="0"/>
      <w:divBdr>
        <w:top w:val="none" w:sz="0" w:space="0" w:color="auto"/>
        <w:left w:val="none" w:sz="0" w:space="0" w:color="auto"/>
        <w:bottom w:val="none" w:sz="0" w:space="0" w:color="auto"/>
        <w:right w:val="none" w:sz="0" w:space="0" w:color="auto"/>
      </w:divBdr>
    </w:div>
    <w:div w:id="1352490019">
      <w:bodyDiv w:val="1"/>
      <w:marLeft w:val="0"/>
      <w:marRight w:val="0"/>
      <w:marTop w:val="0"/>
      <w:marBottom w:val="0"/>
      <w:divBdr>
        <w:top w:val="none" w:sz="0" w:space="0" w:color="auto"/>
        <w:left w:val="none" w:sz="0" w:space="0" w:color="auto"/>
        <w:bottom w:val="none" w:sz="0" w:space="0" w:color="auto"/>
        <w:right w:val="none" w:sz="0" w:space="0" w:color="auto"/>
      </w:divBdr>
    </w:div>
    <w:div w:id="1358043038">
      <w:bodyDiv w:val="1"/>
      <w:marLeft w:val="0"/>
      <w:marRight w:val="0"/>
      <w:marTop w:val="0"/>
      <w:marBottom w:val="0"/>
      <w:divBdr>
        <w:top w:val="none" w:sz="0" w:space="0" w:color="auto"/>
        <w:left w:val="none" w:sz="0" w:space="0" w:color="auto"/>
        <w:bottom w:val="none" w:sz="0" w:space="0" w:color="auto"/>
        <w:right w:val="none" w:sz="0" w:space="0" w:color="auto"/>
      </w:divBdr>
    </w:div>
    <w:div w:id="1585189518">
      <w:bodyDiv w:val="1"/>
      <w:marLeft w:val="0"/>
      <w:marRight w:val="0"/>
      <w:marTop w:val="0"/>
      <w:marBottom w:val="0"/>
      <w:divBdr>
        <w:top w:val="none" w:sz="0" w:space="0" w:color="auto"/>
        <w:left w:val="none" w:sz="0" w:space="0" w:color="auto"/>
        <w:bottom w:val="none" w:sz="0" w:space="0" w:color="auto"/>
        <w:right w:val="none" w:sz="0" w:space="0" w:color="auto"/>
      </w:divBdr>
    </w:div>
    <w:div w:id="1676959374">
      <w:bodyDiv w:val="1"/>
      <w:marLeft w:val="0"/>
      <w:marRight w:val="0"/>
      <w:marTop w:val="0"/>
      <w:marBottom w:val="0"/>
      <w:divBdr>
        <w:top w:val="none" w:sz="0" w:space="0" w:color="auto"/>
        <w:left w:val="none" w:sz="0" w:space="0" w:color="auto"/>
        <w:bottom w:val="none" w:sz="0" w:space="0" w:color="auto"/>
        <w:right w:val="none" w:sz="0" w:space="0" w:color="auto"/>
      </w:divBdr>
    </w:div>
    <w:div w:id="1788312909">
      <w:bodyDiv w:val="1"/>
      <w:marLeft w:val="0"/>
      <w:marRight w:val="0"/>
      <w:marTop w:val="0"/>
      <w:marBottom w:val="0"/>
      <w:divBdr>
        <w:top w:val="none" w:sz="0" w:space="0" w:color="auto"/>
        <w:left w:val="none" w:sz="0" w:space="0" w:color="auto"/>
        <w:bottom w:val="none" w:sz="0" w:space="0" w:color="auto"/>
        <w:right w:val="none" w:sz="0" w:space="0" w:color="auto"/>
      </w:divBdr>
    </w:div>
    <w:div w:id="1802917723">
      <w:bodyDiv w:val="1"/>
      <w:marLeft w:val="0"/>
      <w:marRight w:val="0"/>
      <w:marTop w:val="0"/>
      <w:marBottom w:val="0"/>
      <w:divBdr>
        <w:top w:val="none" w:sz="0" w:space="0" w:color="auto"/>
        <w:left w:val="none" w:sz="0" w:space="0" w:color="auto"/>
        <w:bottom w:val="none" w:sz="0" w:space="0" w:color="auto"/>
        <w:right w:val="none" w:sz="0" w:space="0" w:color="auto"/>
      </w:divBdr>
    </w:div>
    <w:div w:id="2001301144">
      <w:bodyDiv w:val="1"/>
      <w:marLeft w:val="0"/>
      <w:marRight w:val="0"/>
      <w:marTop w:val="0"/>
      <w:marBottom w:val="0"/>
      <w:divBdr>
        <w:top w:val="none" w:sz="0" w:space="0" w:color="auto"/>
        <w:left w:val="none" w:sz="0" w:space="0" w:color="auto"/>
        <w:bottom w:val="none" w:sz="0" w:space="0" w:color="auto"/>
        <w:right w:val="none" w:sz="0" w:space="0" w:color="auto"/>
      </w:divBdr>
    </w:div>
    <w:div w:id="2005081770">
      <w:bodyDiv w:val="1"/>
      <w:marLeft w:val="0"/>
      <w:marRight w:val="0"/>
      <w:marTop w:val="0"/>
      <w:marBottom w:val="0"/>
      <w:divBdr>
        <w:top w:val="none" w:sz="0" w:space="0" w:color="auto"/>
        <w:left w:val="none" w:sz="0" w:space="0" w:color="auto"/>
        <w:bottom w:val="none" w:sz="0" w:space="0" w:color="auto"/>
        <w:right w:val="none" w:sz="0" w:space="0" w:color="auto"/>
      </w:divBdr>
    </w:div>
    <w:div w:id="2133284002">
      <w:bodyDiv w:val="1"/>
      <w:marLeft w:val="0"/>
      <w:marRight w:val="0"/>
      <w:marTop w:val="0"/>
      <w:marBottom w:val="0"/>
      <w:divBdr>
        <w:top w:val="none" w:sz="0" w:space="0" w:color="auto"/>
        <w:left w:val="none" w:sz="0" w:space="0" w:color="auto"/>
        <w:bottom w:val="none" w:sz="0" w:space="0" w:color="auto"/>
        <w:right w:val="none" w:sz="0" w:space="0" w:color="auto"/>
      </w:divBdr>
    </w:div>
    <w:div w:id="21397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xpert.ru/" TargetMode="External"/><Relationship Id="rId13" Type="http://schemas.openxmlformats.org/officeDocument/2006/relationships/hyperlink" Target="http://fssprus.ru/iss/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grul.nalog.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http://kad.arbitr.ru/" TargetMode="External"/><Relationship Id="rId10" Type="http://schemas.openxmlformats.org/officeDocument/2006/relationships/hyperlink" Target="http://www.raexper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aexpert.ru/" TargetMode="External"/><Relationship Id="rId14" Type="http://schemas.openxmlformats.org/officeDocument/2006/relationships/hyperlink" Target="http://fedresurs.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4648-95B5-45CE-B1FE-D70BA6E7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13605</Words>
  <Characters>98688</Characters>
  <Application>Microsoft Office Word</Application>
  <DocSecurity>0</DocSecurity>
  <Lines>822</Lines>
  <Paragraphs>224</Paragraphs>
  <ScaleCrop>false</ScaleCrop>
  <HeadingPairs>
    <vt:vector size="2" baseType="variant">
      <vt:variant>
        <vt:lpstr>Название</vt:lpstr>
      </vt:variant>
      <vt:variant>
        <vt:i4>1</vt:i4>
      </vt:variant>
    </vt:vector>
  </HeadingPairs>
  <TitlesOfParts>
    <vt:vector size="1" baseType="lpstr">
      <vt:lpstr>Методология присвоения рейтингов кредитоспособности факторинговым компаниям</vt:lpstr>
    </vt:vector>
  </TitlesOfParts>
  <Company>Expert RA</Company>
  <LinksUpToDate>false</LinksUpToDate>
  <CharactersWithSpaces>112069</CharactersWithSpaces>
  <SharedDoc>false</SharedDoc>
  <HLinks>
    <vt:vector size="54" baseType="variant">
      <vt:variant>
        <vt:i4>6619178</vt:i4>
      </vt:variant>
      <vt:variant>
        <vt:i4>24</vt:i4>
      </vt:variant>
      <vt:variant>
        <vt:i4>0</vt:i4>
      </vt:variant>
      <vt:variant>
        <vt:i4>5</vt:i4>
      </vt:variant>
      <vt:variant>
        <vt:lpwstr>http://www.raexpert.ru/</vt:lpwstr>
      </vt:variant>
      <vt:variant>
        <vt:lpwstr/>
      </vt:variant>
      <vt:variant>
        <vt:i4>524381</vt:i4>
      </vt:variant>
      <vt:variant>
        <vt:i4>21</vt:i4>
      </vt:variant>
      <vt:variant>
        <vt:i4>0</vt:i4>
      </vt:variant>
      <vt:variant>
        <vt:i4>5</vt:i4>
      </vt:variant>
      <vt:variant>
        <vt:lpwstr>http://kad.arbitr.ru/</vt:lpwstr>
      </vt:variant>
      <vt:variant>
        <vt:lpwstr/>
      </vt:variant>
      <vt:variant>
        <vt:i4>1507396</vt:i4>
      </vt:variant>
      <vt:variant>
        <vt:i4>18</vt:i4>
      </vt:variant>
      <vt:variant>
        <vt:i4>0</vt:i4>
      </vt:variant>
      <vt:variant>
        <vt:i4>5</vt:i4>
      </vt:variant>
      <vt:variant>
        <vt:lpwstr>http://fedresurs.ru/</vt:lpwstr>
      </vt:variant>
      <vt:variant>
        <vt:lpwstr/>
      </vt:variant>
      <vt:variant>
        <vt:i4>5111895</vt:i4>
      </vt:variant>
      <vt:variant>
        <vt:i4>15</vt:i4>
      </vt:variant>
      <vt:variant>
        <vt:i4>0</vt:i4>
      </vt:variant>
      <vt:variant>
        <vt:i4>5</vt:i4>
      </vt:variant>
      <vt:variant>
        <vt:lpwstr>http://fssprus.ru/iss/ip/</vt:lpwstr>
      </vt:variant>
      <vt:variant>
        <vt:lpwstr/>
      </vt:variant>
      <vt:variant>
        <vt:i4>7864364</vt:i4>
      </vt:variant>
      <vt:variant>
        <vt:i4>12</vt:i4>
      </vt:variant>
      <vt:variant>
        <vt:i4>0</vt:i4>
      </vt:variant>
      <vt:variant>
        <vt:i4>5</vt:i4>
      </vt:variant>
      <vt:variant>
        <vt:lpwstr>https://egrul.nalog.ru/</vt:lpwstr>
      </vt:variant>
      <vt:variant>
        <vt:lpwstr/>
      </vt:variant>
      <vt:variant>
        <vt:i4>6750313</vt:i4>
      </vt:variant>
      <vt:variant>
        <vt:i4>9</vt:i4>
      </vt:variant>
      <vt:variant>
        <vt:i4>0</vt:i4>
      </vt:variant>
      <vt:variant>
        <vt:i4>5</vt:i4>
      </vt:variant>
      <vt:variant>
        <vt:lpwstr>http://www.cbr.ru/</vt:lpwstr>
      </vt:variant>
      <vt:variant>
        <vt:lpwstr/>
      </vt:variant>
      <vt:variant>
        <vt:i4>6619178</vt:i4>
      </vt:variant>
      <vt:variant>
        <vt:i4>6</vt:i4>
      </vt:variant>
      <vt:variant>
        <vt:i4>0</vt:i4>
      </vt:variant>
      <vt:variant>
        <vt:i4>5</vt:i4>
      </vt:variant>
      <vt:variant>
        <vt:lpwstr>http://www.raexpert.ru/</vt:lpwstr>
      </vt:variant>
      <vt:variant>
        <vt:lpwstr/>
      </vt:variant>
      <vt:variant>
        <vt:i4>6619178</vt:i4>
      </vt:variant>
      <vt:variant>
        <vt:i4>3</vt:i4>
      </vt:variant>
      <vt:variant>
        <vt:i4>0</vt:i4>
      </vt:variant>
      <vt:variant>
        <vt:i4>5</vt:i4>
      </vt:variant>
      <vt:variant>
        <vt:lpwstr>http://www.raexpert.ru/</vt:lpwstr>
      </vt:variant>
      <vt:variant>
        <vt:lpwstr/>
      </vt:variant>
      <vt:variant>
        <vt:i4>6619178</vt:i4>
      </vt:variant>
      <vt:variant>
        <vt:i4>0</vt:i4>
      </vt:variant>
      <vt:variant>
        <vt:i4>0</vt:i4>
      </vt:variant>
      <vt:variant>
        <vt:i4>5</vt:i4>
      </vt:variant>
      <vt:variant>
        <vt:lpwstr>http://www.raexpert.ru/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Методология присвоения рейтингов кредитоспособности факторинговым компаниям</dc:title>
  <dc:subject/>
  <dc:creator>Velieva</dc:creator>
  <cp:keywords/>
  <dc:description/>
  <cp:lastModifiedBy>Личагина Анастасия</cp:lastModifiedBy>
  <cp:revision>3</cp:revision>
  <cp:lastPrinted>2017-01-13T16:00:00Z</cp:lastPrinted>
  <dcterms:created xsi:type="dcterms:W3CDTF">2020-05-06T11:18:00Z</dcterms:created>
  <dcterms:modified xsi:type="dcterms:W3CDTF">2020-05-06T11:29:00Z</dcterms:modified>
</cp:coreProperties>
</file>