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6D44" w14:textId="5A5387AF" w:rsidR="00E71DF6" w:rsidRPr="005A1F62" w:rsidRDefault="00956982" w:rsidP="00E71DF6">
      <w:pPr>
        <w:tabs>
          <w:tab w:val="left" w:pos="709"/>
        </w:tabs>
        <w:ind w:firstLine="567"/>
        <w:jc w:val="right"/>
        <w:rPr>
          <w:color w:val="000000"/>
        </w:rPr>
      </w:pPr>
      <w:bookmarkStart w:id="0" w:name="_Toc203802732"/>
      <w:r w:rsidRPr="005A1F62">
        <w:rPr>
          <w:color w:val="000000"/>
        </w:rPr>
        <w:t xml:space="preserve"> </w:t>
      </w:r>
    </w:p>
    <w:p w14:paraId="2E26D2B6" w14:textId="0EE81BD3" w:rsidR="00E71DF6" w:rsidRPr="005A1F62" w:rsidRDefault="00D55BE2" w:rsidP="00E71DF6">
      <w:pPr>
        <w:tabs>
          <w:tab w:val="left" w:pos="709"/>
        </w:tabs>
        <w:ind w:firstLine="567"/>
        <w:jc w:val="right"/>
        <w:rPr>
          <w:color w:val="000000"/>
        </w:rPr>
      </w:pPr>
      <w:r w:rsidRPr="005A1F62">
        <w:rPr>
          <w:color w:val="000000"/>
        </w:rPr>
        <w:t xml:space="preserve"> </w:t>
      </w:r>
    </w:p>
    <w:p w14:paraId="72538920" w14:textId="5A9CCF3C" w:rsidR="00641FD1" w:rsidRPr="005A1F62" w:rsidRDefault="00E71DF6" w:rsidP="00E71DF6">
      <w:pPr>
        <w:tabs>
          <w:tab w:val="left" w:pos="709"/>
        </w:tabs>
        <w:ind w:firstLine="567"/>
        <w:jc w:val="right"/>
        <w:rPr>
          <w:color w:val="000000"/>
        </w:rPr>
      </w:pPr>
      <w:r w:rsidRPr="005A1F62">
        <w:rPr>
          <w:color w:val="000000"/>
        </w:rPr>
        <w:t xml:space="preserve">Проект от </w:t>
      </w:r>
      <w:r w:rsidR="005A1F62" w:rsidRPr="005A1F62">
        <w:rPr>
          <w:color w:val="000000"/>
        </w:rPr>
        <w:t>30.</w:t>
      </w:r>
      <w:r w:rsidRPr="005A1F62">
        <w:rPr>
          <w:color w:val="000000"/>
        </w:rPr>
        <w:t>0</w:t>
      </w:r>
      <w:r w:rsidR="00414B9E" w:rsidRPr="005A1F62">
        <w:rPr>
          <w:color w:val="000000"/>
        </w:rPr>
        <w:t>6</w:t>
      </w:r>
      <w:r w:rsidRPr="005A1F62">
        <w:rPr>
          <w:color w:val="000000"/>
        </w:rPr>
        <w:t>.2020</w:t>
      </w:r>
      <w:r w:rsidR="005F2E0C" w:rsidRPr="005A1F62">
        <w:rPr>
          <w:color w:val="000000"/>
        </w:rPr>
        <w:t xml:space="preserve"> </w:t>
      </w:r>
    </w:p>
    <w:p w14:paraId="09C08C09" w14:textId="77777777" w:rsidR="00641FD1" w:rsidRPr="005A1F62" w:rsidRDefault="00641FD1" w:rsidP="00DC2FED">
      <w:pPr>
        <w:tabs>
          <w:tab w:val="left" w:pos="709"/>
        </w:tabs>
        <w:ind w:firstLine="567"/>
        <w:rPr>
          <w:color w:val="000000"/>
        </w:rPr>
      </w:pPr>
    </w:p>
    <w:p w14:paraId="5066505D" w14:textId="77777777" w:rsidR="00641FD1" w:rsidRPr="005A1F62" w:rsidRDefault="00641FD1" w:rsidP="00DC2FED">
      <w:pPr>
        <w:tabs>
          <w:tab w:val="left" w:pos="709"/>
        </w:tabs>
        <w:ind w:firstLine="567"/>
        <w:rPr>
          <w:color w:val="000000"/>
        </w:rPr>
      </w:pPr>
    </w:p>
    <w:p w14:paraId="0025D6A2" w14:textId="77777777" w:rsidR="00641FD1" w:rsidRPr="005A1F62" w:rsidRDefault="00641FD1" w:rsidP="00DC2FED">
      <w:pPr>
        <w:tabs>
          <w:tab w:val="left" w:pos="709"/>
        </w:tabs>
        <w:ind w:firstLine="567"/>
        <w:rPr>
          <w:color w:val="000000"/>
        </w:rPr>
      </w:pPr>
    </w:p>
    <w:p w14:paraId="46A7A5F8" w14:textId="77777777" w:rsidR="00641FD1" w:rsidRPr="005A1F62" w:rsidRDefault="00641FD1" w:rsidP="00DC2FED">
      <w:pPr>
        <w:tabs>
          <w:tab w:val="left" w:pos="709"/>
        </w:tabs>
        <w:ind w:firstLine="567"/>
        <w:rPr>
          <w:color w:val="000000"/>
        </w:rPr>
      </w:pPr>
    </w:p>
    <w:p w14:paraId="2896FFE0" w14:textId="77777777" w:rsidR="00641FD1" w:rsidRPr="005A1F62" w:rsidRDefault="00641FD1" w:rsidP="00DC2FED">
      <w:pPr>
        <w:tabs>
          <w:tab w:val="left" w:pos="709"/>
        </w:tabs>
        <w:ind w:firstLine="567"/>
        <w:rPr>
          <w:color w:val="000000"/>
        </w:rPr>
      </w:pPr>
    </w:p>
    <w:p w14:paraId="43E30200" w14:textId="77777777" w:rsidR="00641FD1" w:rsidRPr="005A1F62" w:rsidRDefault="00641FD1" w:rsidP="00DC2FED">
      <w:pPr>
        <w:tabs>
          <w:tab w:val="left" w:pos="709"/>
        </w:tabs>
        <w:ind w:firstLine="567"/>
        <w:rPr>
          <w:color w:val="000000"/>
        </w:rPr>
      </w:pPr>
    </w:p>
    <w:p w14:paraId="76D09ABB" w14:textId="77777777" w:rsidR="00641FD1" w:rsidRPr="005A1F62" w:rsidRDefault="00641FD1" w:rsidP="00DC2FED">
      <w:pPr>
        <w:tabs>
          <w:tab w:val="left" w:pos="709"/>
        </w:tabs>
        <w:ind w:firstLine="567"/>
        <w:rPr>
          <w:color w:val="000000"/>
        </w:rPr>
      </w:pPr>
    </w:p>
    <w:p w14:paraId="3BCCE4E1" w14:textId="77777777" w:rsidR="00641FD1" w:rsidRPr="005A1F62" w:rsidRDefault="00641FD1" w:rsidP="00DC2FED">
      <w:pPr>
        <w:tabs>
          <w:tab w:val="left" w:pos="709"/>
        </w:tabs>
        <w:ind w:firstLine="567"/>
        <w:rPr>
          <w:color w:val="000000"/>
        </w:rPr>
      </w:pPr>
    </w:p>
    <w:p w14:paraId="5B09E84C" w14:textId="5662E824" w:rsidR="00E774A4" w:rsidRPr="005A1F62" w:rsidRDefault="00E774A4" w:rsidP="00DC2FED">
      <w:pPr>
        <w:tabs>
          <w:tab w:val="left" w:pos="709"/>
        </w:tabs>
        <w:jc w:val="center"/>
        <w:rPr>
          <w:sz w:val="44"/>
          <w:szCs w:val="44"/>
        </w:rPr>
      </w:pPr>
    </w:p>
    <w:p w14:paraId="3967A932" w14:textId="51BD7890" w:rsidR="00641FD1" w:rsidRPr="005A1F62" w:rsidRDefault="00E774A4" w:rsidP="00DC2FED">
      <w:pPr>
        <w:tabs>
          <w:tab w:val="left" w:pos="709"/>
        </w:tabs>
        <w:jc w:val="center"/>
        <w:rPr>
          <w:sz w:val="36"/>
          <w:szCs w:val="36"/>
        </w:rPr>
      </w:pPr>
      <w:r w:rsidRPr="005A1F62">
        <w:rPr>
          <w:sz w:val="36"/>
          <w:szCs w:val="36"/>
        </w:rPr>
        <w:t>М</w:t>
      </w:r>
      <w:r w:rsidR="00C24C02" w:rsidRPr="005A1F62">
        <w:rPr>
          <w:sz w:val="36"/>
          <w:szCs w:val="36"/>
        </w:rPr>
        <w:t>етодологи</w:t>
      </w:r>
      <w:r w:rsidRPr="005A1F62">
        <w:rPr>
          <w:sz w:val="36"/>
          <w:szCs w:val="36"/>
        </w:rPr>
        <w:t xml:space="preserve">я </w:t>
      </w:r>
      <w:r w:rsidR="009466F7" w:rsidRPr="005A1F62">
        <w:rPr>
          <w:sz w:val="36"/>
          <w:szCs w:val="36"/>
        </w:rPr>
        <w:t xml:space="preserve">присвоения </w:t>
      </w:r>
      <w:r w:rsidR="00641FD1" w:rsidRPr="005A1F62">
        <w:rPr>
          <w:sz w:val="36"/>
          <w:szCs w:val="36"/>
        </w:rPr>
        <w:t xml:space="preserve">рейтингов </w:t>
      </w:r>
      <w:r w:rsidR="00641FD1" w:rsidRPr="005A1F62">
        <w:rPr>
          <w:sz w:val="36"/>
          <w:szCs w:val="36"/>
        </w:rPr>
        <w:br/>
        <w:t>кредитоспособности банк</w:t>
      </w:r>
      <w:r w:rsidR="009435BA" w:rsidRPr="005A1F62">
        <w:rPr>
          <w:sz w:val="36"/>
          <w:szCs w:val="36"/>
        </w:rPr>
        <w:t>ам</w:t>
      </w:r>
    </w:p>
    <w:p w14:paraId="58D2BBF4" w14:textId="77777777" w:rsidR="00641FD1" w:rsidRPr="005A1F62" w:rsidRDefault="00641FD1" w:rsidP="00DC2FED">
      <w:pPr>
        <w:tabs>
          <w:tab w:val="left" w:pos="709"/>
        </w:tabs>
        <w:ind w:firstLine="567"/>
        <w:rPr>
          <w:color w:val="000000"/>
        </w:rPr>
      </w:pPr>
    </w:p>
    <w:p w14:paraId="278162D9" w14:textId="77777777" w:rsidR="00641FD1" w:rsidRPr="005A1F62" w:rsidRDefault="00641FD1" w:rsidP="00DC2FED">
      <w:pPr>
        <w:tabs>
          <w:tab w:val="left" w:pos="709"/>
        </w:tabs>
        <w:ind w:firstLine="567"/>
        <w:rPr>
          <w:color w:val="000000"/>
        </w:rPr>
      </w:pPr>
    </w:p>
    <w:p w14:paraId="29B9E531" w14:textId="77777777" w:rsidR="00641FD1" w:rsidRPr="005A1F62" w:rsidRDefault="00641FD1" w:rsidP="00DC2FED">
      <w:pPr>
        <w:tabs>
          <w:tab w:val="left" w:pos="709"/>
        </w:tabs>
        <w:ind w:firstLine="567"/>
        <w:rPr>
          <w:color w:val="000000"/>
        </w:rPr>
      </w:pPr>
    </w:p>
    <w:p w14:paraId="5B9A51C8" w14:textId="77777777" w:rsidR="00641FD1" w:rsidRPr="005A1F62" w:rsidRDefault="00641FD1" w:rsidP="00DC2FED">
      <w:pPr>
        <w:tabs>
          <w:tab w:val="left" w:pos="709"/>
        </w:tabs>
        <w:ind w:firstLine="567"/>
        <w:rPr>
          <w:color w:val="000000"/>
        </w:rPr>
      </w:pPr>
    </w:p>
    <w:p w14:paraId="4A403C59" w14:textId="77777777" w:rsidR="00641FD1" w:rsidRPr="005A1F62" w:rsidRDefault="00641FD1" w:rsidP="00DC2FED">
      <w:pPr>
        <w:tabs>
          <w:tab w:val="left" w:pos="709"/>
        </w:tabs>
        <w:ind w:firstLine="567"/>
        <w:rPr>
          <w:color w:val="000000"/>
        </w:rPr>
      </w:pPr>
    </w:p>
    <w:p w14:paraId="1D58023E" w14:textId="77777777" w:rsidR="00641FD1" w:rsidRPr="005A1F62" w:rsidRDefault="00641FD1" w:rsidP="00DC2FED">
      <w:pPr>
        <w:tabs>
          <w:tab w:val="left" w:pos="709"/>
        </w:tabs>
        <w:ind w:firstLine="567"/>
        <w:rPr>
          <w:color w:val="000000"/>
        </w:rPr>
      </w:pPr>
    </w:p>
    <w:p w14:paraId="545ACB2E" w14:textId="77777777" w:rsidR="00641FD1" w:rsidRPr="005A1F62" w:rsidRDefault="00641FD1" w:rsidP="00DC2FED">
      <w:pPr>
        <w:tabs>
          <w:tab w:val="left" w:pos="709"/>
        </w:tabs>
        <w:ind w:firstLine="567"/>
        <w:rPr>
          <w:color w:val="000000"/>
        </w:rPr>
      </w:pPr>
    </w:p>
    <w:p w14:paraId="3A318891" w14:textId="77777777" w:rsidR="00641FD1" w:rsidRPr="005A1F62" w:rsidRDefault="00641FD1" w:rsidP="00DC2FED">
      <w:pPr>
        <w:tabs>
          <w:tab w:val="left" w:pos="709"/>
        </w:tabs>
        <w:ind w:firstLine="567"/>
        <w:rPr>
          <w:color w:val="000000"/>
        </w:rPr>
      </w:pPr>
    </w:p>
    <w:p w14:paraId="5B0311DE" w14:textId="77777777" w:rsidR="006A5465" w:rsidRPr="005A1F62" w:rsidRDefault="006A5465" w:rsidP="006A5465">
      <w:pPr>
        <w:tabs>
          <w:tab w:val="left" w:pos="709"/>
        </w:tabs>
        <w:ind w:firstLine="567"/>
        <w:jc w:val="right"/>
        <w:rPr>
          <w:color w:val="000000"/>
        </w:rPr>
      </w:pPr>
    </w:p>
    <w:p w14:paraId="02E903E7" w14:textId="77777777" w:rsidR="006A5465" w:rsidRPr="005A1F62" w:rsidRDefault="006A5465" w:rsidP="006A5465">
      <w:pPr>
        <w:tabs>
          <w:tab w:val="left" w:pos="709"/>
        </w:tabs>
        <w:ind w:firstLine="567"/>
        <w:jc w:val="right"/>
        <w:rPr>
          <w:color w:val="000000"/>
        </w:rPr>
      </w:pPr>
    </w:p>
    <w:p w14:paraId="26344D2F" w14:textId="77777777" w:rsidR="006A5465" w:rsidRPr="005A1F62" w:rsidRDefault="006A5465" w:rsidP="006A5465">
      <w:pPr>
        <w:tabs>
          <w:tab w:val="left" w:pos="709"/>
        </w:tabs>
        <w:ind w:firstLine="567"/>
        <w:jc w:val="right"/>
        <w:rPr>
          <w:color w:val="000000"/>
        </w:rPr>
      </w:pPr>
    </w:p>
    <w:p w14:paraId="1EFC111A" w14:textId="77777777" w:rsidR="006A5465" w:rsidRPr="005A1F62" w:rsidRDefault="006A5465" w:rsidP="006A5465">
      <w:pPr>
        <w:tabs>
          <w:tab w:val="left" w:pos="709"/>
        </w:tabs>
        <w:ind w:firstLine="567"/>
        <w:jc w:val="right"/>
        <w:rPr>
          <w:color w:val="000000"/>
        </w:rPr>
      </w:pPr>
    </w:p>
    <w:p w14:paraId="69EAD795" w14:textId="77777777" w:rsidR="006A5465" w:rsidRPr="005A1F62" w:rsidRDefault="006A5465" w:rsidP="006A5465">
      <w:pPr>
        <w:tabs>
          <w:tab w:val="left" w:pos="709"/>
        </w:tabs>
        <w:ind w:firstLine="567"/>
        <w:jc w:val="right"/>
        <w:rPr>
          <w:color w:val="000000"/>
        </w:rPr>
      </w:pPr>
    </w:p>
    <w:p w14:paraId="77515368" w14:textId="77777777" w:rsidR="006A5465" w:rsidRPr="005A1F62" w:rsidRDefault="006A5465" w:rsidP="006A5465">
      <w:pPr>
        <w:tabs>
          <w:tab w:val="left" w:pos="709"/>
        </w:tabs>
        <w:ind w:firstLine="567"/>
        <w:jc w:val="right"/>
        <w:rPr>
          <w:color w:val="000000"/>
        </w:rPr>
      </w:pPr>
    </w:p>
    <w:p w14:paraId="4845222A" w14:textId="77777777" w:rsidR="006A5465" w:rsidRPr="005A1F62" w:rsidRDefault="006A5465" w:rsidP="006A5465">
      <w:pPr>
        <w:tabs>
          <w:tab w:val="left" w:pos="709"/>
        </w:tabs>
        <w:ind w:firstLine="567"/>
        <w:jc w:val="right"/>
        <w:rPr>
          <w:color w:val="000000"/>
        </w:rPr>
      </w:pPr>
    </w:p>
    <w:p w14:paraId="31234C0C" w14:textId="77777777" w:rsidR="00E774A4" w:rsidRPr="005A1F62" w:rsidRDefault="00E774A4" w:rsidP="00E774A4">
      <w:pPr>
        <w:tabs>
          <w:tab w:val="left" w:pos="709"/>
        </w:tabs>
        <w:ind w:firstLine="567"/>
        <w:jc w:val="right"/>
        <w:rPr>
          <w:color w:val="000000"/>
        </w:rPr>
      </w:pPr>
      <w:r w:rsidRPr="005A1F62">
        <w:rPr>
          <w:color w:val="000000"/>
        </w:rPr>
        <w:t>Утверждена на заседании</w:t>
      </w:r>
    </w:p>
    <w:p w14:paraId="378BB7B4" w14:textId="68942767" w:rsidR="006A5465" w:rsidRPr="005A1F62" w:rsidRDefault="00E774A4" w:rsidP="00E774A4">
      <w:pPr>
        <w:tabs>
          <w:tab w:val="left" w:pos="709"/>
        </w:tabs>
        <w:ind w:firstLine="567"/>
        <w:jc w:val="right"/>
        <w:rPr>
          <w:color w:val="000000"/>
        </w:rPr>
      </w:pPr>
      <w:r w:rsidRPr="005A1F62">
        <w:rPr>
          <w:color w:val="000000"/>
        </w:rPr>
        <w:t>методологического комитета №</w:t>
      </w:r>
      <w:r w:rsidR="00E71DF6" w:rsidRPr="005A1F62">
        <w:rPr>
          <w:color w:val="000000"/>
        </w:rPr>
        <w:t>___</w:t>
      </w:r>
      <w:r w:rsidRPr="005A1F62">
        <w:rPr>
          <w:color w:val="000000"/>
        </w:rPr>
        <w:t xml:space="preserve"> от</w:t>
      </w:r>
      <w:r w:rsidR="00E64BD7" w:rsidRPr="005A1F62">
        <w:rPr>
          <w:color w:val="000000"/>
        </w:rPr>
        <w:t xml:space="preserve"> </w:t>
      </w:r>
      <w:r w:rsidR="00E71DF6" w:rsidRPr="005A1F62">
        <w:rPr>
          <w:color w:val="000000"/>
        </w:rPr>
        <w:t>_</w:t>
      </w:r>
      <w:proofErr w:type="gramStart"/>
      <w:r w:rsidR="00E71DF6" w:rsidRPr="005A1F62">
        <w:rPr>
          <w:color w:val="000000"/>
        </w:rPr>
        <w:t>_</w:t>
      </w:r>
      <w:r w:rsidRPr="005A1F62">
        <w:rPr>
          <w:color w:val="000000"/>
        </w:rPr>
        <w:t>.</w:t>
      </w:r>
      <w:r w:rsidR="00E71DF6" w:rsidRPr="005A1F62">
        <w:rPr>
          <w:color w:val="000000"/>
        </w:rPr>
        <w:t>_</w:t>
      </w:r>
      <w:proofErr w:type="gramEnd"/>
      <w:r w:rsidR="00E71DF6" w:rsidRPr="005A1F62">
        <w:rPr>
          <w:color w:val="000000"/>
        </w:rPr>
        <w:t>_</w:t>
      </w:r>
      <w:r w:rsidRPr="005A1F62">
        <w:rPr>
          <w:color w:val="000000"/>
        </w:rPr>
        <w:t>.20</w:t>
      </w:r>
      <w:r w:rsidR="00E71DF6" w:rsidRPr="005A1F62">
        <w:rPr>
          <w:color w:val="000000"/>
        </w:rPr>
        <w:t>20</w:t>
      </w:r>
    </w:p>
    <w:p w14:paraId="2652E8BC" w14:textId="77777777" w:rsidR="006A5465" w:rsidRPr="005A1F62" w:rsidRDefault="006A5465" w:rsidP="006A5465">
      <w:pPr>
        <w:tabs>
          <w:tab w:val="left" w:pos="709"/>
        </w:tabs>
        <w:ind w:firstLine="567"/>
        <w:jc w:val="right"/>
        <w:rPr>
          <w:color w:val="000000"/>
        </w:rPr>
      </w:pPr>
    </w:p>
    <w:p w14:paraId="16B981AB" w14:textId="77777777" w:rsidR="006A5465" w:rsidRPr="005A1F62" w:rsidRDefault="006A5465" w:rsidP="006A5465">
      <w:pPr>
        <w:tabs>
          <w:tab w:val="left" w:pos="709"/>
        </w:tabs>
        <w:ind w:firstLine="567"/>
        <w:jc w:val="right"/>
        <w:rPr>
          <w:color w:val="000000"/>
        </w:rPr>
      </w:pPr>
    </w:p>
    <w:p w14:paraId="74C5C3AD" w14:textId="77777777" w:rsidR="006A5465" w:rsidRPr="005A1F62" w:rsidRDefault="006A5465" w:rsidP="006A5465">
      <w:pPr>
        <w:tabs>
          <w:tab w:val="left" w:pos="709"/>
        </w:tabs>
        <w:ind w:firstLine="567"/>
        <w:jc w:val="right"/>
        <w:rPr>
          <w:color w:val="000000"/>
        </w:rPr>
      </w:pPr>
    </w:p>
    <w:p w14:paraId="2D71BF72" w14:textId="77777777" w:rsidR="006A5465" w:rsidRPr="005A1F62" w:rsidRDefault="006A5465" w:rsidP="006A5465">
      <w:pPr>
        <w:tabs>
          <w:tab w:val="left" w:pos="709"/>
        </w:tabs>
        <w:ind w:firstLine="567"/>
        <w:jc w:val="right"/>
        <w:rPr>
          <w:color w:val="000000"/>
        </w:rPr>
      </w:pPr>
    </w:p>
    <w:p w14:paraId="50030782" w14:textId="77777777" w:rsidR="00641FD1" w:rsidRPr="005A1F62" w:rsidRDefault="00641FD1" w:rsidP="00DC2FED">
      <w:pPr>
        <w:tabs>
          <w:tab w:val="left" w:pos="709"/>
        </w:tabs>
        <w:ind w:firstLine="567"/>
        <w:rPr>
          <w:color w:val="000000"/>
        </w:rPr>
      </w:pPr>
    </w:p>
    <w:p w14:paraId="1F43E52A" w14:textId="77777777" w:rsidR="00641FD1" w:rsidRPr="005A1F62" w:rsidRDefault="00641FD1" w:rsidP="00DC2FED">
      <w:pPr>
        <w:tabs>
          <w:tab w:val="left" w:pos="709"/>
        </w:tabs>
        <w:ind w:firstLine="567"/>
        <w:rPr>
          <w:color w:val="000000"/>
        </w:rPr>
      </w:pPr>
    </w:p>
    <w:p w14:paraId="0ABB350F" w14:textId="77777777" w:rsidR="00641FD1" w:rsidRPr="005A1F62" w:rsidRDefault="00641FD1" w:rsidP="00DC2FED">
      <w:pPr>
        <w:tabs>
          <w:tab w:val="left" w:pos="709"/>
        </w:tabs>
        <w:ind w:firstLine="567"/>
        <w:rPr>
          <w:color w:val="000000"/>
        </w:rPr>
      </w:pPr>
    </w:p>
    <w:p w14:paraId="4AEF27C9" w14:textId="77777777" w:rsidR="00641FD1" w:rsidRPr="005A1F62" w:rsidRDefault="00641FD1" w:rsidP="00DC2FED">
      <w:pPr>
        <w:tabs>
          <w:tab w:val="left" w:pos="709"/>
        </w:tabs>
        <w:ind w:firstLine="567"/>
        <w:rPr>
          <w:color w:val="000000"/>
        </w:rPr>
      </w:pPr>
    </w:p>
    <w:p w14:paraId="53D631B8" w14:textId="77777777" w:rsidR="00641FD1" w:rsidRPr="005A1F62" w:rsidRDefault="00641FD1" w:rsidP="00DC2FED">
      <w:pPr>
        <w:tabs>
          <w:tab w:val="left" w:pos="709"/>
        </w:tabs>
        <w:ind w:firstLine="567"/>
        <w:rPr>
          <w:color w:val="000000"/>
        </w:rPr>
      </w:pPr>
    </w:p>
    <w:p w14:paraId="5B3E48AB" w14:textId="77777777" w:rsidR="00641FD1" w:rsidRPr="005A1F62" w:rsidRDefault="00641FD1" w:rsidP="00DC2FED">
      <w:pPr>
        <w:tabs>
          <w:tab w:val="left" w:pos="709"/>
        </w:tabs>
        <w:ind w:firstLine="567"/>
        <w:rPr>
          <w:color w:val="000000"/>
        </w:rPr>
      </w:pPr>
    </w:p>
    <w:p w14:paraId="4A61F13D" w14:textId="77777777" w:rsidR="00641FD1" w:rsidRPr="005A1F62" w:rsidRDefault="00641FD1" w:rsidP="00DC2FED">
      <w:pPr>
        <w:tabs>
          <w:tab w:val="left" w:pos="709"/>
        </w:tabs>
        <w:ind w:firstLine="567"/>
        <w:rPr>
          <w:color w:val="000000"/>
        </w:rPr>
      </w:pPr>
    </w:p>
    <w:p w14:paraId="2A708F32" w14:textId="77777777" w:rsidR="00641FD1" w:rsidRPr="005A1F62" w:rsidRDefault="00641FD1" w:rsidP="00DC2FED">
      <w:pPr>
        <w:tabs>
          <w:tab w:val="left" w:pos="709"/>
        </w:tabs>
        <w:ind w:firstLine="567"/>
        <w:rPr>
          <w:color w:val="000000"/>
        </w:rPr>
      </w:pPr>
    </w:p>
    <w:p w14:paraId="60A97DF4" w14:textId="6CEF775C" w:rsidR="007A7CD8" w:rsidRPr="005A1F62" w:rsidRDefault="001F15D9" w:rsidP="00EB0846">
      <w:pPr>
        <w:tabs>
          <w:tab w:val="left" w:pos="709"/>
        </w:tabs>
      </w:pPr>
      <w:r w:rsidRPr="005A1F62">
        <w:rPr>
          <w:color w:val="000000"/>
        </w:rPr>
        <w:br w:type="page"/>
      </w:r>
    </w:p>
    <w:p w14:paraId="41FAEEA0" w14:textId="77777777" w:rsidR="003C7215" w:rsidRPr="005A1F62" w:rsidRDefault="003C7215" w:rsidP="003C7215">
      <w:pPr>
        <w:tabs>
          <w:tab w:val="left" w:pos="0"/>
        </w:tabs>
        <w:jc w:val="both"/>
        <w:rPr>
          <w:b/>
        </w:rPr>
      </w:pPr>
      <w:bookmarkStart w:id="1" w:name="_Toc459363738"/>
      <w:bookmarkEnd w:id="0"/>
      <w:r w:rsidRPr="005A1F62">
        <w:rPr>
          <w:b/>
        </w:rPr>
        <w:lastRenderedPageBreak/>
        <w:t>Оглавление</w:t>
      </w:r>
    </w:p>
    <w:p w14:paraId="52A146BE" w14:textId="77777777" w:rsidR="003C7215" w:rsidRPr="005A1F62" w:rsidRDefault="003C7215" w:rsidP="003C7215">
      <w:pPr>
        <w:tabs>
          <w:tab w:val="left" w:pos="0"/>
        </w:tabs>
        <w:jc w:val="both"/>
        <w:rPr>
          <w:b/>
        </w:rPr>
      </w:pPr>
    </w:p>
    <w:p w14:paraId="280F3A64" w14:textId="45B8B670" w:rsidR="005A1F66" w:rsidRDefault="003C7215">
      <w:pPr>
        <w:pStyle w:val="12"/>
        <w:tabs>
          <w:tab w:val="left" w:pos="480"/>
          <w:tab w:val="right" w:leader="dot" w:pos="9345"/>
        </w:tabs>
        <w:rPr>
          <w:rFonts w:asciiTheme="minorHAnsi" w:eastAsiaTheme="minorEastAsia" w:hAnsiTheme="minorHAnsi" w:cstheme="minorBidi"/>
          <w:noProof/>
          <w:sz w:val="22"/>
          <w:szCs w:val="22"/>
        </w:rPr>
      </w:pPr>
      <w:r w:rsidRPr="005A1F62">
        <w:fldChar w:fldCharType="begin"/>
      </w:r>
      <w:r w:rsidRPr="005A1F62">
        <w:instrText xml:space="preserve"> TOC \o "1-3" \u </w:instrText>
      </w:r>
      <w:r w:rsidRPr="005A1F62">
        <w:fldChar w:fldCharType="separate"/>
      </w:r>
      <w:r w:rsidR="005A1F66" w:rsidRPr="00764A67">
        <w:rPr>
          <w:noProof/>
        </w:rPr>
        <w:t>1.</w:t>
      </w:r>
      <w:r w:rsidR="005A1F66">
        <w:rPr>
          <w:rFonts w:asciiTheme="minorHAnsi" w:eastAsiaTheme="minorEastAsia" w:hAnsiTheme="minorHAnsi" w:cstheme="minorBidi"/>
          <w:noProof/>
          <w:sz w:val="22"/>
          <w:szCs w:val="22"/>
        </w:rPr>
        <w:tab/>
      </w:r>
      <w:r w:rsidR="005A1F66" w:rsidRPr="00764A67">
        <w:rPr>
          <w:noProof/>
        </w:rPr>
        <w:t>Основные понятия</w:t>
      </w:r>
      <w:r w:rsidR="005A1F66">
        <w:rPr>
          <w:noProof/>
        </w:rPr>
        <w:tab/>
      </w:r>
      <w:r w:rsidR="005A1F66">
        <w:rPr>
          <w:noProof/>
        </w:rPr>
        <w:fldChar w:fldCharType="begin"/>
      </w:r>
      <w:r w:rsidR="005A1F66">
        <w:rPr>
          <w:noProof/>
        </w:rPr>
        <w:instrText xml:space="preserve"> PAGEREF _Toc44433437 \h </w:instrText>
      </w:r>
      <w:r w:rsidR="005A1F66">
        <w:rPr>
          <w:noProof/>
        </w:rPr>
      </w:r>
      <w:r w:rsidR="005A1F66">
        <w:rPr>
          <w:noProof/>
        </w:rPr>
        <w:fldChar w:fldCharType="separate"/>
      </w:r>
      <w:r w:rsidR="00673A38">
        <w:rPr>
          <w:noProof/>
        </w:rPr>
        <w:t>3</w:t>
      </w:r>
      <w:r w:rsidR="005A1F66">
        <w:rPr>
          <w:noProof/>
        </w:rPr>
        <w:fldChar w:fldCharType="end"/>
      </w:r>
    </w:p>
    <w:p w14:paraId="6B3FDF40" w14:textId="43FF0E11" w:rsidR="005A1F66" w:rsidRDefault="005A1F66">
      <w:pPr>
        <w:pStyle w:val="20"/>
        <w:tabs>
          <w:tab w:val="left" w:pos="880"/>
          <w:tab w:val="right" w:leader="dot" w:pos="9345"/>
        </w:tabs>
        <w:rPr>
          <w:rFonts w:asciiTheme="minorHAnsi" w:eastAsiaTheme="minorEastAsia" w:hAnsiTheme="minorHAnsi" w:cstheme="minorBidi"/>
          <w:noProof/>
          <w:sz w:val="22"/>
          <w:szCs w:val="22"/>
        </w:rPr>
      </w:pPr>
      <w:r w:rsidRPr="00764A67">
        <w:rPr>
          <w:noProof/>
        </w:rPr>
        <w:t>1.1</w:t>
      </w:r>
      <w:r>
        <w:rPr>
          <w:rFonts w:asciiTheme="minorHAnsi" w:eastAsiaTheme="minorEastAsia" w:hAnsiTheme="minorHAnsi" w:cstheme="minorBidi"/>
          <w:noProof/>
          <w:sz w:val="22"/>
          <w:szCs w:val="22"/>
        </w:rPr>
        <w:tab/>
      </w:r>
      <w:r w:rsidRPr="00764A67">
        <w:rPr>
          <w:noProof/>
        </w:rPr>
        <w:t>Область применения методологии</w:t>
      </w:r>
      <w:r>
        <w:rPr>
          <w:noProof/>
        </w:rPr>
        <w:tab/>
      </w:r>
      <w:r>
        <w:rPr>
          <w:noProof/>
        </w:rPr>
        <w:fldChar w:fldCharType="begin"/>
      </w:r>
      <w:r>
        <w:rPr>
          <w:noProof/>
        </w:rPr>
        <w:instrText xml:space="preserve"> PAGEREF _Toc44433438 \h </w:instrText>
      </w:r>
      <w:r>
        <w:rPr>
          <w:noProof/>
        </w:rPr>
      </w:r>
      <w:r>
        <w:rPr>
          <w:noProof/>
        </w:rPr>
        <w:fldChar w:fldCharType="separate"/>
      </w:r>
      <w:r w:rsidR="00673A38">
        <w:rPr>
          <w:noProof/>
        </w:rPr>
        <w:t>3</w:t>
      </w:r>
      <w:r>
        <w:rPr>
          <w:noProof/>
        </w:rPr>
        <w:fldChar w:fldCharType="end"/>
      </w:r>
    </w:p>
    <w:p w14:paraId="0C647AB0" w14:textId="58ACB64B" w:rsidR="005A1F66" w:rsidRDefault="005A1F66">
      <w:pPr>
        <w:pStyle w:val="20"/>
        <w:tabs>
          <w:tab w:val="left" w:pos="880"/>
          <w:tab w:val="right" w:leader="dot" w:pos="9345"/>
        </w:tabs>
        <w:rPr>
          <w:rFonts w:asciiTheme="minorHAnsi" w:eastAsiaTheme="minorEastAsia" w:hAnsiTheme="minorHAnsi" w:cstheme="minorBidi"/>
          <w:noProof/>
          <w:sz w:val="22"/>
          <w:szCs w:val="22"/>
        </w:rPr>
      </w:pPr>
      <w:r w:rsidRPr="00764A67">
        <w:rPr>
          <w:noProof/>
        </w:rPr>
        <w:t>1.2</w:t>
      </w:r>
      <w:r>
        <w:rPr>
          <w:rFonts w:asciiTheme="minorHAnsi" w:eastAsiaTheme="minorEastAsia" w:hAnsiTheme="minorHAnsi" w:cstheme="minorBidi"/>
          <w:noProof/>
          <w:sz w:val="22"/>
          <w:szCs w:val="22"/>
        </w:rPr>
        <w:tab/>
      </w:r>
      <w:r w:rsidRPr="00764A67">
        <w:rPr>
          <w:noProof/>
        </w:rPr>
        <w:t>Рейтинговая шкала</w:t>
      </w:r>
      <w:r>
        <w:rPr>
          <w:noProof/>
        </w:rPr>
        <w:tab/>
      </w:r>
      <w:r>
        <w:rPr>
          <w:noProof/>
        </w:rPr>
        <w:fldChar w:fldCharType="begin"/>
      </w:r>
      <w:r>
        <w:rPr>
          <w:noProof/>
        </w:rPr>
        <w:instrText xml:space="preserve"> PAGEREF _Toc44433439 \h </w:instrText>
      </w:r>
      <w:r>
        <w:rPr>
          <w:noProof/>
        </w:rPr>
      </w:r>
      <w:r>
        <w:rPr>
          <w:noProof/>
        </w:rPr>
        <w:fldChar w:fldCharType="separate"/>
      </w:r>
      <w:r w:rsidR="00673A38">
        <w:rPr>
          <w:noProof/>
        </w:rPr>
        <w:t>3</w:t>
      </w:r>
      <w:r>
        <w:rPr>
          <w:noProof/>
        </w:rPr>
        <w:fldChar w:fldCharType="end"/>
      </w:r>
    </w:p>
    <w:p w14:paraId="05C35CBA" w14:textId="717E46CF" w:rsidR="005A1F66" w:rsidRDefault="005A1F66">
      <w:pPr>
        <w:pStyle w:val="20"/>
        <w:tabs>
          <w:tab w:val="left" w:pos="880"/>
          <w:tab w:val="right" w:leader="dot" w:pos="9345"/>
        </w:tabs>
        <w:rPr>
          <w:rFonts w:asciiTheme="minorHAnsi" w:eastAsiaTheme="minorEastAsia" w:hAnsiTheme="minorHAnsi" w:cstheme="minorBidi"/>
          <w:noProof/>
          <w:sz w:val="22"/>
          <w:szCs w:val="22"/>
        </w:rPr>
      </w:pPr>
      <w:r w:rsidRPr="00764A67">
        <w:rPr>
          <w:noProof/>
        </w:rPr>
        <w:t>1.3</w:t>
      </w:r>
      <w:r>
        <w:rPr>
          <w:rFonts w:asciiTheme="minorHAnsi" w:eastAsiaTheme="minorEastAsia" w:hAnsiTheme="minorHAnsi" w:cstheme="minorBidi"/>
          <w:noProof/>
          <w:sz w:val="22"/>
          <w:szCs w:val="22"/>
        </w:rPr>
        <w:tab/>
      </w:r>
      <w:r w:rsidRPr="00764A67">
        <w:rPr>
          <w:noProof/>
        </w:rPr>
        <w:t>Определение дефолта</w:t>
      </w:r>
      <w:r>
        <w:rPr>
          <w:noProof/>
        </w:rPr>
        <w:tab/>
      </w:r>
      <w:r>
        <w:rPr>
          <w:noProof/>
        </w:rPr>
        <w:fldChar w:fldCharType="begin"/>
      </w:r>
      <w:r>
        <w:rPr>
          <w:noProof/>
        </w:rPr>
        <w:instrText xml:space="preserve"> PAGEREF _Toc44433440 \h </w:instrText>
      </w:r>
      <w:r>
        <w:rPr>
          <w:noProof/>
        </w:rPr>
      </w:r>
      <w:r>
        <w:rPr>
          <w:noProof/>
        </w:rPr>
        <w:fldChar w:fldCharType="separate"/>
      </w:r>
      <w:r w:rsidR="00673A38">
        <w:rPr>
          <w:noProof/>
        </w:rPr>
        <w:t>4</w:t>
      </w:r>
      <w:r>
        <w:rPr>
          <w:noProof/>
        </w:rPr>
        <w:fldChar w:fldCharType="end"/>
      </w:r>
    </w:p>
    <w:p w14:paraId="32C8F42F" w14:textId="11469834" w:rsidR="005A1F66" w:rsidRDefault="005A1F66">
      <w:pPr>
        <w:pStyle w:val="20"/>
        <w:tabs>
          <w:tab w:val="left" w:pos="880"/>
          <w:tab w:val="right" w:leader="dot" w:pos="9345"/>
        </w:tabs>
        <w:rPr>
          <w:rFonts w:asciiTheme="minorHAnsi" w:eastAsiaTheme="minorEastAsia" w:hAnsiTheme="minorHAnsi" w:cstheme="minorBidi"/>
          <w:noProof/>
          <w:sz w:val="22"/>
          <w:szCs w:val="22"/>
        </w:rPr>
      </w:pPr>
      <w:r w:rsidRPr="00764A67">
        <w:rPr>
          <w:noProof/>
        </w:rPr>
        <w:t>1.4</w:t>
      </w:r>
      <w:r>
        <w:rPr>
          <w:rFonts w:asciiTheme="minorHAnsi" w:eastAsiaTheme="minorEastAsia" w:hAnsiTheme="minorHAnsi" w:cstheme="minorBidi"/>
          <w:noProof/>
          <w:sz w:val="22"/>
          <w:szCs w:val="22"/>
        </w:rPr>
        <w:tab/>
      </w:r>
      <w:r w:rsidRPr="00764A67">
        <w:rPr>
          <w:noProof/>
        </w:rPr>
        <w:t>Ключевые рейтинговые предположения, предпосылки и допущения</w:t>
      </w:r>
      <w:r>
        <w:rPr>
          <w:noProof/>
        </w:rPr>
        <w:tab/>
      </w:r>
      <w:r>
        <w:rPr>
          <w:noProof/>
        </w:rPr>
        <w:fldChar w:fldCharType="begin"/>
      </w:r>
      <w:r>
        <w:rPr>
          <w:noProof/>
        </w:rPr>
        <w:instrText xml:space="preserve"> PAGEREF _Toc44433441 \h </w:instrText>
      </w:r>
      <w:r>
        <w:rPr>
          <w:noProof/>
        </w:rPr>
      </w:r>
      <w:r>
        <w:rPr>
          <w:noProof/>
        </w:rPr>
        <w:fldChar w:fldCharType="separate"/>
      </w:r>
      <w:r w:rsidR="00673A38">
        <w:rPr>
          <w:noProof/>
        </w:rPr>
        <w:t>5</w:t>
      </w:r>
      <w:r>
        <w:rPr>
          <w:noProof/>
        </w:rPr>
        <w:fldChar w:fldCharType="end"/>
      </w:r>
    </w:p>
    <w:p w14:paraId="624C73C8" w14:textId="15B7855D" w:rsidR="005A1F66" w:rsidRDefault="005A1F66">
      <w:pPr>
        <w:pStyle w:val="20"/>
        <w:tabs>
          <w:tab w:val="left" w:pos="880"/>
          <w:tab w:val="right" w:leader="dot" w:pos="9345"/>
        </w:tabs>
        <w:rPr>
          <w:rFonts w:asciiTheme="minorHAnsi" w:eastAsiaTheme="minorEastAsia" w:hAnsiTheme="minorHAnsi" w:cstheme="minorBidi"/>
          <w:noProof/>
          <w:sz w:val="22"/>
          <w:szCs w:val="22"/>
        </w:rPr>
      </w:pPr>
      <w:r w:rsidRPr="00764A67">
        <w:rPr>
          <w:noProof/>
        </w:rPr>
        <w:t>1.5</w:t>
      </w:r>
      <w:r>
        <w:rPr>
          <w:rFonts w:asciiTheme="minorHAnsi" w:eastAsiaTheme="minorEastAsia" w:hAnsiTheme="minorHAnsi" w:cstheme="minorBidi"/>
          <w:noProof/>
          <w:sz w:val="22"/>
          <w:szCs w:val="22"/>
        </w:rPr>
        <w:tab/>
      </w:r>
      <w:r w:rsidRPr="00764A67">
        <w:rPr>
          <w:noProof/>
        </w:rPr>
        <w:t>Общие положения</w:t>
      </w:r>
      <w:r>
        <w:rPr>
          <w:noProof/>
        </w:rPr>
        <w:tab/>
      </w:r>
      <w:r>
        <w:rPr>
          <w:noProof/>
        </w:rPr>
        <w:fldChar w:fldCharType="begin"/>
      </w:r>
      <w:r>
        <w:rPr>
          <w:noProof/>
        </w:rPr>
        <w:instrText xml:space="preserve"> PAGEREF _Toc44433442 \h </w:instrText>
      </w:r>
      <w:r>
        <w:rPr>
          <w:noProof/>
        </w:rPr>
      </w:r>
      <w:r>
        <w:rPr>
          <w:noProof/>
        </w:rPr>
        <w:fldChar w:fldCharType="separate"/>
      </w:r>
      <w:r w:rsidR="00673A38">
        <w:rPr>
          <w:noProof/>
        </w:rPr>
        <w:t>6</w:t>
      </w:r>
      <w:r>
        <w:rPr>
          <w:noProof/>
        </w:rPr>
        <w:fldChar w:fldCharType="end"/>
      </w:r>
    </w:p>
    <w:p w14:paraId="2A02AF27" w14:textId="2D63DE55" w:rsidR="005A1F66" w:rsidRDefault="005A1F66">
      <w:pPr>
        <w:pStyle w:val="12"/>
        <w:tabs>
          <w:tab w:val="left" w:pos="480"/>
          <w:tab w:val="right" w:leader="dot" w:pos="9345"/>
        </w:tabs>
        <w:rPr>
          <w:rFonts w:asciiTheme="minorHAnsi" w:eastAsiaTheme="minorEastAsia" w:hAnsiTheme="minorHAnsi" w:cstheme="minorBidi"/>
          <w:noProof/>
          <w:sz w:val="22"/>
          <w:szCs w:val="22"/>
        </w:rPr>
      </w:pPr>
      <w:r w:rsidRPr="00764A67">
        <w:rPr>
          <w:noProof/>
        </w:rPr>
        <w:t>2.</w:t>
      </w:r>
      <w:r>
        <w:rPr>
          <w:rFonts w:asciiTheme="minorHAnsi" w:eastAsiaTheme="minorEastAsia" w:hAnsiTheme="minorHAnsi" w:cstheme="minorBidi"/>
          <w:noProof/>
          <w:sz w:val="22"/>
          <w:szCs w:val="22"/>
        </w:rPr>
        <w:tab/>
      </w:r>
      <w:r w:rsidRPr="00764A67">
        <w:rPr>
          <w:noProof/>
        </w:rPr>
        <w:t>Веса значимости показателей</w:t>
      </w:r>
      <w:r>
        <w:rPr>
          <w:noProof/>
        </w:rPr>
        <w:tab/>
      </w:r>
      <w:r>
        <w:rPr>
          <w:noProof/>
        </w:rPr>
        <w:fldChar w:fldCharType="begin"/>
      </w:r>
      <w:r>
        <w:rPr>
          <w:noProof/>
        </w:rPr>
        <w:instrText xml:space="preserve"> PAGEREF _Toc44433443 \h </w:instrText>
      </w:r>
      <w:r>
        <w:rPr>
          <w:noProof/>
        </w:rPr>
      </w:r>
      <w:r>
        <w:rPr>
          <w:noProof/>
        </w:rPr>
        <w:fldChar w:fldCharType="separate"/>
      </w:r>
      <w:r w:rsidR="00673A38">
        <w:rPr>
          <w:noProof/>
        </w:rPr>
        <w:t>8</w:t>
      </w:r>
      <w:r>
        <w:rPr>
          <w:noProof/>
        </w:rPr>
        <w:fldChar w:fldCharType="end"/>
      </w:r>
    </w:p>
    <w:p w14:paraId="4406296F" w14:textId="3DAE6B8C" w:rsidR="005A1F66" w:rsidRDefault="005A1F66">
      <w:pPr>
        <w:pStyle w:val="31"/>
        <w:rPr>
          <w:rFonts w:asciiTheme="minorHAnsi" w:eastAsiaTheme="minorEastAsia" w:hAnsiTheme="minorHAnsi" w:cstheme="minorBidi"/>
        </w:rPr>
      </w:pPr>
      <w:r w:rsidRPr="00764A67">
        <w:t>Концентрация кредитных рисков на клиентах</w:t>
      </w:r>
      <w:r>
        <w:tab/>
      </w:r>
      <w:r>
        <w:fldChar w:fldCharType="begin"/>
      </w:r>
      <w:r>
        <w:instrText xml:space="preserve"> PAGEREF _Toc44433444 \h </w:instrText>
      </w:r>
      <w:r>
        <w:fldChar w:fldCharType="separate"/>
      </w:r>
      <w:r w:rsidR="00673A38">
        <w:t>8</w:t>
      </w:r>
      <w:r>
        <w:fldChar w:fldCharType="end"/>
      </w:r>
    </w:p>
    <w:p w14:paraId="3B705EFE" w14:textId="00A490B1" w:rsidR="005A1F66" w:rsidRDefault="005A1F66">
      <w:pPr>
        <w:pStyle w:val="31"/>
        <w:rPr>
          <w:rFonts w:asciiTheme="minorHAnsi" w:eastAsiaTheme="minorEastAsia" w:hAnsiTheme="minorHAnsi" w:cstheme="minorBidi"/>
        </w:rPr>
      </w:pPr>
      <w:r w:rsidRPr="00764A67">
        <w:t>Качество активов и внебалансовых обязательств под риском</w:t>
      </w:r>
      <w:r>
        <w:tab/>
      </w:r>
      <w:r>
        <w:fldChar w:fldCharType="begin"/>
      </w:r>
      <w:r>
        <w:instrText xml:space="preserve"> PAGEREF _Toc44433445 \h </w:instrText>
      </w:r>
      <w:r>
        <w:fldChar w:fldCharType="separate"/>
      </w:r>
      <w:r w:rsidR="00673A38">
        <w:t>8</w:t>
      </w:r>
      <w:r>
        <w:fldChar w:fldCharType="end"/>
      </w:r>
    </w:p>
    <w:p w14:paraId="60F8FDAE" w14:textId="38BBFC1B" w:rsidR="005A1F66" w:rsidRDefault="005A1F66">
      <w:pPr>
        <w:pStyle w:val="12"/>
        <w:tabs>
          <w:tab w:val="left" w:pos="480"/>
          <w:tab w:val="right" w:leader="dot" w:pos="9345"/>
        </w:tabs>
        <w:rPr>
          <w:rFonts w:asciiTheme="minorHAnsi" w:eastAsiaTheme="minorEastAsia" w:hAnsiTheme="minorHAnsi" w:cstheme="minorBidi"/>
          <w:noProof/>
          <w:sz w:val="22"/>
          <w:szCs w:val="22"/>
        </w:rPr>
      </w:pPr>
      <w:r w:rsidRPr="00764A67">
        <w:rPr>
          <w:noProof/>
        </w:rPr>
        <w:t>3.</w:t>
      </w:r>
      <w:r>
        <w:rPr>
          <w:rFonts w:asciiTheme="minorHAnsi" w:eastAsiaTheme="minorEastAsia" w:hAnsiTheme="minorHAnsi" w:cstheme="minorBidi"/>
          <w:noProof/>
          <w:sz w:val="22"/>
          <w:szCs w:val="22"/>
        </w:rPr>
        <w:tab/>
      </w:r>
      <w:r w:rsidRPr="00764A67">
        <w:rPr>
          <w:noProof/>
        </w:rPr>
        <w:t>Источники информации</w:t>
      </w:r>
      <w:r>
        <w:rPr>
          <w:noProof/>
        </w:rPr>
        <w:tab/>
      </w:r>
      <w:r>
        <w:rPr>
          <w:noProof/>
        </w:rPr>
        <w:fldChar w:fldCharType="begin"/>
      </w:r>
      <w:r>
        <w:rPr>
          <w:noProof/>
        </w:rPr>
        <w:instrText xml:space="preserve"> PAGEREF _Toc44433446 \h </w:instrText>
      </w:r>
      <w:r>
        <w:rPr>
          <w:noProof/>
        </w:rPr>
      </w:r>
      <w:r>
        <w:rPr>
          <w:noProof/>
        </w:rPr>
        <w:fldChar w:fldCharType="separate"/>
      </w:r>
      <w:r w:rsidR="00673A38">
        <w:rPr>
          <w:noProof/>
        </w:rPr>
        <w:t>10</w:t>
      </w:r>
      <w:r>
        <w:rPr>
          <w:noProof/>
        </w:rPr>
        <w:fldChar w:fldCharType="end"/>
      </w:r>
    </w:p>
    <w:p w14:paraId="4B28DA05" w14:textId="4BFCD2B1" w:rsidR="005A1F66" w:rsidRDefault="005A1F66">
      <w:pPr>
        <w:pStyle w:val="12"/>
        <w:tabs>
          <w:tab w:val="left" w:pos="480"/>
          <w:tab w:val="right" w:leader="dot" w:pos="9345"/>
        </w:tabs>
        <w:rPr>
          <w:rFonts w:asciiTheme="minorHAnsi" w:eastAsiaTheme="minorEastAsia" w:hAnsiTheme="minorHAnsi" w:cstheme="minorBidi"/>
          <w:noProof/>
          <w:sz w:val="22"/>
          <w:szCs w:val="22"/>
        </w:rPr>
      </w:pPr>
      <w:r w:rsidRPr="00764A67">
        <w:rPr>
          <w:noProof/>
        </w:rPr>
        <w:t>4.</w:t>
      </w:r>
      <w:r>
        <w:rPr>
          <w:rFonts w:asciiTheme="minorHAnsi" w:eastAsiaTheme="minorEastAsia" w:hAnsiTheme="minorHAnsi" w:cstheme="minorBidi"/>
          <w:noProof/>
          <w:sz w:val="22"/>
          <w:szCs w:val="22"/>
        </w:rPr>
        <w:tab/>
      </w:r>
      <w:r w:rsidRPr="00764A67">
        <w:rPr>
          <w:noProof/>
        </w:rPr>
        <w:t>Структура анализа и метод расчета баллов</w:t>
      </w:r>
      <w:r>
        <w:rPr>
          <w:noProof/>
        </w:rPr>
        <w:tab/>
      </w:r>
      <w:r>
        <w:rPr>
          <w:noProof/>
        </w:rPr>
        <w:fldChar w:fldCharType="begin"/>
      </w:r>
      <w:r>
        <w:rPr>
          <w:noProof/>
        </w:rPr>
        <w:instrText xml:space="preserve"> PAGEREF _Toc44433447 \h </w:instrText>
      </w:r>
      <w:r>
        <w:rPr>
          <w:noProof/>
        </w:rPr>
      </w:r>
      <w:r>
        <w:rPr>
          <w:noProof/>
        </w:rPr>
        <w:fldChar w:fldCharType="separate"/>
      </w:r>
      <w:r w:rsidR="00673A38">
        <w:rPr>
          <w:noProof/>
        </w:rPr>
        <w:t>13</w:t>
      </w:r>
      <w:r>
        <w:rPr>
          <w:noProof/>
        </w:rPr>
        <w:fldChar w:fldCharType="end"/>
      </w:r>
    </w:p>
    <w:p w14:paraId="7940DB89" w14:textId="4DEBE71B" w:rsidR="005A1F66" w:rsidRDefault="005A1F66">
      <w:pPr>
        <w:pStyle w:val="12"/>
        <w:tabs>
          <w:tab w:val="left" w:pos="480"/>
          <w:tab w:val="right" w:leader="dot" w:pos="9345"/>
        </w:tabs>
        <w:rPr>
          <w:rFonts w:asciiTheme="minorHAnsi" w:eastAsiaTheme="minorEastAsia" w:hAnsiTheme="minorHAnsi" w:cstheme="minorBidi"/>
          <w:noProof/>
          <w:sz w:val="22"/>
          <w:szCs w:val="22"/>
        </w:rPr>
      </w:pPr>
      <w:r w:rsidRPr="00764A67">
        <w:rPr>
          <w:noProof/>
        </w:rPr>
        <w:t>5.</w:t>
      </w:r>
      <w:r>
        <w:rPr>
          <w:rFonts w:asciiTheme="minorHAnsi" w:eastAsiaTheme="minorEastAsia" w:hAnsiTheme="minorHAnsi" w:cstheme="minorBidi"/>
          <w:noProof/>
          <w:sz w:val="22"/>
          <w:szCs w:val="22"/>
        </w:rPr>
        <w:tab/>
      </w:r>
      <w:r w:rsidRPr="00764A67">
        <w:rPr>
          <w:noProof/>
        </w:rPr>
        <w:t>Ключевые количественные и качественные факторы</w:t>
      </w:r>
      <w:r>
        <w:rPr>
          <w:noProof/>
        </w:rPr>
        <w:tab/>
      </w:r>
      <w:r>
        <w:rPr>
          <w:noProof/>
        </w:rPr>
        <w:fldChar w:fldCharType="begin"/>
      </w:r>
      <w:r>
        <w:rPr>
          <w:noProof/>
        </w:rPr>
        <w:instrText xml:space="preserve"> PAGEREF _Toc44433448 \h </w:instrText>
      </w:r>
      <w:r>
        <w:rPr>
          <w:noProof/>
        </w:rPr>
      </w:r>
      <w:r>
        <w:rPr>
          <w:noProof/>
        </w:rPr>
        <w:fldChar w:fldCharType="separate"/>
      </w:r>
      <w:r w:rsidR="00673A38">
        <w:rPr>
          <w:noProof/>
        </w:rPr>
        <w:t>19</w:t>
      </w:r>
      <w:r>
        <w:rPr>
          <w:noProof/>
        </w:rPr>
        <w:fldChar w:fldCharType="end"/>
      </w:r>
    </w:p>
    <w:p w14:paraId="48332249" w14:textId="2288E7CC" w:rsidR="005A1F66" w:rsidRDefault="005A1F66">
      <w:pPr>
        <w:pStyle w:val="20"/>
        <w:tabs>
          <w:tab w:val="right" w:leader="dot" w:pos="9345"/>
        </w:tabs>
        <w:rPr>
          <w:rFonts w:asciiTheme="minorHAnsi" w:eastAsiaTheme="minorEastAsia" w:hAnsiTheme="minorHAnsi" w:cstheme="minorBidi"/>
          <w:noProof/>
          <w:sz w:val="22"/>
          <w:szCs w:val="22"/>
        </w:rPr>
      </w:pPr>
      <w:r w:rsidRPr="00764A67">
        <w:rPr>
          <w:noProof/>
        </w:rPr>
        <w:t xml:space="preserve">РАЗДЕЛ </w:t>
      </w:r>
      <w:r w:rsidRPr="00764A67">
        <w:rPr>
          <w:noProof/>
          <w:lang w:val="en-US"/>
        </w:rPr>
        <w:t>I</w:t>
      </w:r>
      <w:r w:rsidRPr="00764A67">
        <w:rPr>
          <w:noProof/>
        </w:rPr>
        <w:t>. РЫНОЧНЫЕ ПОЗИЦИИ</w:t>
      </w:r>
      <w:r>
        <w:rPr>
          <w:noProof/>
        </w:rPr>
        <w:tab/>
      </w:r>
      <w:r>
        <w:rPr>
          <w:noProof/>
        </w:rPr>
        <w:fldChar w:fldCharType="begin"/>
      </w:r>
      <w:r>
        <w:rPr>
          <w:noProof/>
        </w:rPr>
        <w:instrText xml:space="preserve"> PAGEREF _Toc44433449 \h </w:instrText>
      </w:r>
      <w:r>
        <w:rPr>
          <w:noProof/>
        </w:rPr>
      </w:r>
      <w:r>
        <w:rPr>
          <w:noProof/>
        </w:rPr>
        <w:fldChar w:fldCharType="separate"/>
      </w:r>
      <w:r w:rsidR="00673A38">
        <w:rPr>
          <w:noProof/>
        </w:rPr>
        <w:t>19</w:t>
      </w:r>
      <w:r>
        <w:rPr>
          <w:noProof/>
        </w:rPr>
        <w:fldChar w:fldCharType="end"/>
      </w:r>
    </w:p>
    <w:p w14:paraId="6CB72CC0" w14:textId="73DEC596" w:rsidR="005A1F66" w:rsidRDefault="005A1F66">
      <w:pPr>
        <w:pStyle w:val="31"/>
        <w:rPr>
          <w:rFonts w:asciiTheme="minorHAnsi" w:eastAsiaTheme="minorEastAsia" w:hAnsiTheme="minorHAnsi" w:cstheme="minorBidi"/>
        </w:rPr>
      </w:pPr>
      <w:r w:rsidRPr="00764A67">
        <w:t>1.1.</w:t>
      </w:r>
      <w:r>
        <w:rPr>
          <w:rFonts w:asciiTheme="minorHAnsi" w:eastAsiaTheme="minorEastAsia" w:hAnsiTheme="minorHAnsi" w:cstheme="minorBidi"/>
        </w:rPr>
        <w:tab/>
      </w:r>
      <w:r w:rsidRPr="00764A67">
        <w:t>Деловая репутация</w:t>
      </w:r>
      <w:r>
        <w:tab/>
      </w:r>
      <w:r>
        <w:fldChar w:fldCharType="begin"/>
      </w:r>
      <w:r>
        <w:instrText xml:space="preserve"> PAGEREF _Toc44433450 \h </w:instrText>
      </w:r>
      <w:r>
        <w:fldChar w:fldCharType="separate"/>
      </w:r>
      <w:r w:rsidR="00673A38">
        <w:t>19</w:t>
      </w:r>
      <w:r>
        <w:fldChar w:fldCharType="end"/>
      </w:r>
    </w:p>
    <w:p w14:paraId="4A3CA09C" w14:textId="2586942D" w:rsidR="005A1F66" w:rsidRDefault="005A1F66">
      <w:pPr>
        <w:pStyle w:val="31"/>
        <w:rPr>
          <w:rFonts w:asciiTheme="minorHAnsi" w:eastAsiaTheme="minorEastAsia" w:hAnsiTheme="minorHAnsi" w:cstheme="minorBidi"/>
        </w:rPr>
      </w:pPr>
      <w:r w:rsidRPr="00764A67">
        <w:t>1.2.</w:t>
      </w:r>
      <w:r>
        <w:rPr>
          <w:rFonts w:asciiTheme="minorHAnsi" w:eastAsiaTheme="minorEastAsia" w:hAnsiTheme="minorHAnsi" w:cstheme="minorBidi"/>
        </w:rPr>
        <w:tab/>
      </w:r>
      <w:r w:rsidRPr="00764A67">
        <w:t>Специализация и кэптивность</w:t>
      </w:r>
      <w:r>
        <w:tab/>
      </w:r>
      <w:r>
        <w:fldChar w:fldCharType="begin"/>
      </w:r>
      <w:r>
        <w:instrText xml:space="preserve"> PAGEREF _Toc44433451 \h </w:instrText>
      </w:r>
      <w:r>
        <w:fldChar w:fldCharType="separate"/>
      </w:r>
      <w:r w:rsidR="00673A38">
        <w:t>23</w:t>
      </w:r>
      <w:r>
        <w:fldChar w:fldCharType="end"/>
      </w:r>
    </w:p>
    <w:p w14:paraId="12EA5904" w14:textId="1260CC49" w:rsidR="005A1F66" w:rsidRDefault="005A1F66">
      <w:pPr>
        <w:pStyle w:val="31"/>
        <w:rPr>
          <w:rFonts w:asciiTheme="minorHAnsi" w:eastAsiaTheme="minorEastAsia" w:hAnsiTheme="minorHAnsi" w:cstheme="minorBidi"/>
        </w:rPr>
      </w:pPr>
      <w:r w:rsidRPr="00764A67">
        <w:t>1.3.</w:t>
      </w:r>
      <w:r>
        <w:rPr>
          <w:rFonts w:asciiTheme="minorHAnsi" w:eastAsiaTheme="minorEastAsia" w:hAnsiTheme="minorHAnsi" w:cstheme="minorBidi"/>
        </w:rPr>
        <w:tab/>
      </w:r>
      <w:r w:rsidRPr="00764A67">
        <w:t>Конкурентные позиции</w:t>
      </w:r>
      <w:r>
        <w:tab/>
      </w:r>
      <w:r>
        <w:fldChar w:fldCharType="begin"/>
      </w:r>
      <w:r>
        <w:instrText xml:space="preserve"> PAGEREF _Toc44433452 \h </w:instrText>
      </w:r>
      <w:r>
        <w:fldChar w:fldCharType="separate"/>
      </w:r>
      <w:r w:rsidR="00673A38">
        <w:t>26</w:t>
      </w:r>
      <w:r>
        <w:fldChar w:fldCharType="end"/>
      </w:r>
    </w:p>
    <w:p w14:paraId="4365A7D9" w14:textId="0C6F58A2" w:rsidR="005A1F66" w:rsidRDefault="005A1F66">
      <w:pPr>
        <w:pStyle w:val="20"/>
        <w:tabs>
          <w:tab w:val="right" w:leader="dot" w:pos="9345"/>
        </w:tabs>
        <w:rPr>
          <w:rFonts w:asciiTheme="minorHAnsi" w:eastAsiaTheme="minorEastAsia" w:hAnsiTheme="minorHAnsi" w:cstheme="minorBidi"/>
          <w:noProof/>
          <w:sz w:val="22"/>
          <w:szCs w:val="22"/>
        </w:rPr>
      </w:pPr>
      <w:r w:rsidRPr="00764A67">
        <w:rPr>
          <w:noProof/>
        </w:rPr>
        <w:t xml:space="preserve">РАЗДЕЛ </w:t>
      </w:r>
      <w:r w:rsidRPr="00764A67">
        <w:rPr>
          <w:noProof/>
          <w:lang w:val="en-US"/>
        </w:rPr>
        <w:t>II</w:t>
      </w:r>
      <w:r w:rsidRPr="00764A67">
        <w:rPr>
          <w:noProof/>
        </w:rPr>
        <w:t>. ФИНАНСОВЫЕ РИСКИ</w:t>
      </w:r>
      <w:r>
        <w:rPr>
          <w:noProof/>
        </w:rPr>
        <w:tab/>
      </w:r>
      <w:r>
        <w:rPr>
          <w:noProof/>
        </w:rPr>
        <w:fldChar w:fldCharType="begin"/>
      </w:r>
      <w:r>
        <w:rPr>
          <w:noProof/>
        </w:rPr>
        <w:instrText xml:space="preserve"> PAGEREF _Toc44433453 \h </w:instrText>
      </w:r>
      <w:r>
        <w:rPr>
          <w:noProof/>
        </w:rPr>
      </w:r>
      <w:r>
        <w:rPr>
          <w:noProof/>
        </w:rPr>
        <w:fldChar w:fldCharType="separate"/>
      </w:r>
      <w:r w:rsidR="00673A38">
        <w:rPr>
          <w:noProof/>
        </w:rPr>
        <w:t>30</w:t>
      </w:r>
      <w:r>
        <w:rPr>
          <w:noProof/>
        </w:rPr>
        <w:fldChar w:fldCharType="end"/>
      </w:r>
    </w:p>
    <w:p w14:paraId="2DE50EEB" w14:textId="1455EEB3" w:rsidR="005A1F66" w:rsidRDefault="005A1F66">
      <w:pPr>
        <w:pStyle w:val="31"/>
        <w:rPr>
          <w:rFonts w:asciiTheme="minorHAnsi" w:eastAsiaTheme="minorEastAsia" w:hAnsiTheme="minorHAnsi" w:cstheme="minorBidi"/>
        </w:rPr>
      </w:pPr>
      <w:r w:rsidRPr="00764A67">
        <w:t>2.1</w:t>
      </w:r>
      <w:r>
        <w:rPr>
          <w:rFonts w:asciiTheme="minorHAnsi" w:eastAsiaTheme="minorEastAsia" w:hAnsiTheme="minorHAnsi" w:cstheme="minorBidi"/>
        </w:rPr>
        <w:tab/>
      </w:r>
      <w:r w:rsidRPr="00764A67">
        <w:t>Достаточность и качество капитала</w:t>
      </w:r>
      <w:r>
        <w:tab/>
      </w:r>
      <w:r>
        <w:fldChar w:fldCharType="begin"/>
      </w:r>
      <w:r>
        <w:instrText xml:space="preserve"> PAGEREF _Toc44433454 \h </w:instrText>
      </w:r>
      <w:r>
        <w:fldChar w:fldCharType="separate"/>
      </w:r>
      <w:r w:rsidR="00673A38">
        <w:t>30</w:t>
      </w:r>
      <w:r>
        <w:fldChar w:fldCharType="end"/>
      </w:r>
    </w:p>
    <w:p w14:paraId="477A141A" w14:textId="510F0CB7" w:rsidR="005A1F66" w:rsidRDefault="005A1F66">
      <w:pPr>
        <w:pStyle w:val="31"/>
        <w:rPr>
          <w:rFonts w:asciiTheme="minorHAnsi" w:eastAsiaTheme="minorEastAsia" w:hAnsiTheme="minorHAnsi" w:cstheme="minorBidi"/>
        </w:rPr>
      </w:pPr>
      <w:r w:rsidRPr="00764A67">
        <w:t>2.2</w:t>
      </w:r>
      <w:r>
        <w:rPr>
          <w:rFonts w:asciiTheme="minorHAnsi" w:eastAsiaTheme="minorEastAsia" w:hAnsiTheme="minorHAnsi" w:cstheme="minorBidi"/>
        </w:rPr>
        <w:tab/>
      </w:r>
      <w:r w:rsidRPr="00764A67">
        <w:t>Устойчивость капитала к реализации кредитных и рыночных рисков</w:t>
      </w:r>
      <w:r>
        <w:tab/>
      </w:r>
      <w:r>
        <w:fldChar w:fldCharType="begin"/>
      </w:r>
      <w:r>
        <w:instrText xml:space="preserve"> PAGEREF _Toc44433455 \h </w:instrText>
      </w:r>
      <w:r>
        <w:fldChar w:fldCharType="separate"/>
      </w:r>
      <w:r w:rsidR="00673A38">
        <w:t>31</w:t>
      </w:r>
      <w:r>
        <w:fldChar w:fldCharType="end"/>
      </w:r>
    </w:p>
    <w:p w14:paraId="31621545" w14:textId="28AE0B3F" w:rsidR="005A1F66" w:rsidRDefault="005A1F66">
      <w:pPr>
        <w:pStyle w:val="31"/>
        <w:rPr>
          <w:rFonts w:asciiTheme="minorHAnsi" w:eastAsiaTheme="minorEastAsia" w:hAnsiTheme="minorHAnsi" w:cstheme="minorBidi"/>
        </w:rPr>
      </w:pPr>
      <w:r w:rsidRPr="00764A67">
        <w:t>2.3</w:t>
      </w:r>
      <w:r>
        <w:rPr>
          <w:rFonts w:asciiTheme="minorHAnsi" w:eastAsiaTheme="minorEastAsia" w:hAnsiTheme="minorHAnsi" w:cstheme="minorBidi"/>
        </w:rPr>
        <w:tab/>
      </w:r>
      <w:r w:rsidRPr="00764A67">
        <w:t>Концентрация кредитных рисков на клиентах</w:t>
      </w:r>
      <w:r>
        <w:tab/>
      </w:r>
      <w:r>
        <w:fldChar w:fldCharType="begin"/>
      </w:r>
      <w:r>
        <w:instrText xml:space="preserve"> PAGEREF _Toc44433456 \h </w:instrText>
      </w:r>
      <w:r>
        <w:fldChar w:fldCharType="separate"/>
      </w:r>
      <w:r w:rsidR="00673A38">
        <w:t>34</w:t>
      </w:r>
      <w:r>
        <w:fldChar w:fldCharType="end"/>
      </w:r>
    </w:p>
    <w:p w14:paraId="1AD6BA28" w14:textId="62263738" w:rsidR="005A1F66" w:rsidRDefault="005A1F66">
      <w:pPr>
        <w:pStyle w:val="31"/>
        <w:rPr>
          <w:rFonts w:asciiTheme="minorHAnsi" w:eastAsiaTheme="minorEastAsia" w:hAnsiTheme="minorHAnsi" w:cstheme="minorBidi"/>
        </w:rPr>
      </w:pPr>
      <w:r w:rsidRPr="00764A67">
        <w:t>2.4</w:t>
      </w:r>
      <w:r>
        <w:rPr>
          <w:rFonts w:asciiTheme="minorHAnsi" w:eastAsiaTheme="minorEastAsia" w:hAnsiTheme="minorHAnsi" w:cstheme="minorBidi"/>
        </w:rPr>
        <w:tab/>
      </w:r>
      <w:r w:rsidRPr="00764A67">
        <w:t>Качество активов и внебалансовых обязательств под риском</w:t>
      </w:r>
      <w:r>
        <w:tab/>
      </w:r>
      <w:r>
        <w:fldChar w:fldCharType="begin"/>
      </w:r>
      <w:r>
        <w:instrText xml:space="preserve"> PAGEREF _Toc44433457 \h </w:instrText>
      </w:r>
      <w:r>
        <w:fldChar w:fldCharType="separate"/>
      </w:r>
      <w:r w:rsidR="00673A38">
        <w:t>34</w:t>
      </w:r>
      <w:r>
        <w:fldChar w:fldCharType="end"/>
      </w:r>
    </w:p>
    <w:p w14:paraId="3AB04BF3" w14:textId="6ACC1886" w:rsidR="005A1F66" w:rsidRDefault="005A1F66">
      <w:pPr>
        <w:pStyle w:val="31"/>
        <w:rPr>
          <w:rFonts w:asciiTheme="minorHAnsi" w:eastAsiaTheme="minorEastAsia" w:hAnsiTheme="minorHAnsi" w:cstheme="minorBidi"/>
        </w:rPr>
      </w:pPr>
      <w:r w:rsidRPr="00764A67">
        <w:t>2.4.1.</w:t>
      </w:r>
      <w:r>
        <w:rPr>
          <w:rFonts w:asciiTheme="minorHAnsi" w:eastAsiaTheme="minorEastAsia" w:hAnsiTheme="minorHAnsi" w:cstheme="minorBidi"/>
        </w:rPr>
        <w:tab/>
      </w:r>
      <w:r w:rsidRPr="00764A67">
        <w:t>Качество ссудного портфеля</w:t>
      </w:r>
      <w:r>
        <w:tab/>
      </w:r>
      <w:r>
        <w:fldChar w:fldCharType="begin"/>
      </w:r>
      <w:r>
        <w:instrText xml:space="preserve"> PAGEREF _Toc44433458 \h </w:instrText>
      </w:r>
      <w:r>
        <w:fldChar w:fldCharType="separate"/>
      </w:r>
      <w:r w:rsidR="00673A38">
        <w:t>35</w:t>
      </w:r>
      <w:r>
        <w:fldChar w:fldCharType="end"/>
      </w:r>
    </w:p>
    <w:p w14:paraId="185E84B1" w14:textId="4F610901" w:rsidR="005A1F66" w:rsidRDefault="005A1F66">
      <w:pPr>
        <w:pStyle w:val="31"/>
        <w:rPr>
          <w:rFonts w:asciiTheme="minorHAnsi" w:eastAsiaTheme="minorEastAsia" w:hAnsiTheme="minorHAnsi" w:cstheme="minorBidi"/>
        </w:rPr>
      </w:pPr>
      <w:r w:rsidRPr="00764A67">
        <w:t>2.4.2.</w:t>
      </w:r>
      <w:r>
        <w:rPr>
          <w:rFonts w:asciiTheme="minorHAnsi" w:eastAsiaTheme="minorEastAsia" w:hAnsiTheme="minorHAnsi" w:cstheme="minorBidi"/>
        </w:rPr>
        <w:tab/>
      </w:r>
      <w:r w:rsidRPr="00764A67">
        <w:t>Качество портфеля ценных бумаг</w:t>
      </w:r>
      <w:r>
        <w:tab/>
      </w:r>
      <w:r>
        <w:fldChar w:fldCharType="begin"/>
      </w:r>
      <w:r>
        <w:instrText xml:space="preserve"> PAGEREF _Toc44433459 \h </w:instrText>
      </w:r>
      <w:r>
        <w:fldChar w:fldCharType="separate"/>
      </w:r>
      <w:r w:rsidR="00673A38">
        <w:t>39</w:t>
      </w:r>
      <w:r>
        <w:fldChar w:fldCharType="end"/>
      </w:r>
    </w:p>
    <w:p w14:paraId="7D1544DA" w14:textId="09861A5F" w:rsidR="005A1F66" w:rsidRDefault="005A1F66">
      <w:pPr>
        <w:pStyle w:val="31"/>
        <w:rPr>
          <w:rFonts w:asciiTheme="minorHAnsi" w:eastAsiaTheme="minorEastAsia" w:hAnsiTheme="minorHAnsi" w:cstheme="minorBidi"/>
        </w:rPr>
      </w:pPr>
      <w:r w:rsidRPr="00764A67">
        <w:t>2.4.3.</w:t>
      </w:r>
      <w:r>
        <w:rPr>
          <w:rFonts w:asciiTheme="minorHAnsi" w:eastAsiaTheme="minorEastAsia" w:hAnsiTheme="minorHAnsi" w:cstheme="minorBidi"/>
        </w:rPr>
        <w:tab/>
      </w:r>
      <w:r w:rsidRPr="00764A67">
        <w:t>Качество корсчетов и ссуд, выданных банкам</w:t>
      </w:r>
      <w:r>
        <w:tab/>
      </w:r>
      <w:r>
        <w:fldChar w:fldCharType="begin"/>
      </w:r>
      <w:r>
        <w:instrText xml:space="preserve"> PAGEREF _Toc44433460 \h </w:instrText>
      </w:r>
      <w:r>
        <w:fldChar w:fldCharType="separate"/>
      </w:r>
      <w:r w:rsidR="00673A38">
        <w:t>40</w:t>
      </w:r>
      <w:r>
        <w:fldChar w:fldCharType="end"/>
      </w:r>
    </w:p>
    <w:p w14:paraId="33FF5522" w14:textId="52C7318B" w:rsidR="005A1F66" w:rsidRDefault="005A1F66">
      <w:pPr>
        <w:pStyle w:val="31"/>
        <w:rPr>
          <w:rFonts w:asciiTheme="minorHAnsi" w:eastAsiaTheme="minorEastAsia" w:hAnsiTheme="minorHAnsi" w:cstheme="minorBidi"/>
        </w:rPr>
      </w:pPr>
      <w:r w:rsidRPr="00764A67">
        <w:t>2.4.4.</w:t>
      </w:r>
      <w:r>
        <w:rPr>
          <w:rFonts w:asciiTheme="minorHAnsi" w:eastAsiaTheme="minorEastAsia" w:hAnsiTheme="minorHAnsi" w:cstheme="minorBidi"/>
        </w:rPr>
        <w:tab/>
      </w:r>
      <w:r w:rsidRPr="00764A67">
        <w:t>Имущество и иные активы</w:t>
      </w:r>
      <w:bookmarkStart w:id="2" w:name="_GoBack"/>
      <w:bookmarkEnd w:id="2"/>
      <w:r w:rsidRPr="00764A67">
        <w:t xml:space="preserve"> под риском</w:t>
      </w:r>
      <w:r>
        <w:tab/>
      </w:r>
      <w:r>
        <w:fldChar w:fldCharType="begin"/>
      </w:r>
      <w:r>
        <w:instrText xml:space="preserve"> PAGEREF _Toc44433461 \h </w:instrText>
      </w:r>
      <w:r>
        <w:fldChar w:fldCharType="separate"/>
      </w:r>
      <w:r w:rsidR="00673A38">
        <w:t>42</w:t>
      </w:r>
      <w:r>
        <w:fldChar w:fldCharType="end"/>
      </w:r>
    </w:p>
    <w:p w14:paraId="6571CF98" w14:textId="11243648" w:rsidR="005A1F66" w:rsidRDefault="005A1F66">
      <w:pPr>
        <w:pStyle w:val="31"/>
        <w:rPr>
          <w:rFonts w:asciiTheme="minorHAnsi" w:eastAsiaTheme="minorEastAsia" w:hAnsiTheme="minorHAnsi" w:cstheme="minorBidi"/>
        </w:rPr>
      </w:pPr>
      <w:r w:rsidRPr="00764A67">
        <w:t>2.4.5.</w:t>
      </w:r>
      <w:r>
        <w:rPr>
          <w:rFonts w:asciiTheme="minorHAnsi" w:eastAsiaTheme="minorEastAsia" w:hAnsiTheme="minorHAnsi" w:cstheme="minorBidi"/>
        </w:rPr>
        <w:tab/>
      </w:r>
      <w:r w:rsidRPr="00764A67">
        <w:t>Качество выданных гарантий и поручительств</w:t>
      </w:r>
      <w:r>
        <w:tab/>
      </w:r>
      <w:r>
        <w:fldChar w:fldCharType="begin"/>
      </w:r>
      <w:r>
        <w:instrText xml:space="preserve"> PAGEREF _Toc44433462 \h </w:instrText>
      </w:r>
      <w:r>
        <w:fldChar w:fldCharType="separate"/>
      </w:r>
      <w:r w:rsidR="00673A38">
        <w:t>43</w:t>
      </w:r>
      <w:r>
        <w:fldChar w:fldCharType="end"/>
      </w:r>
    </w:p>
    <w:p w14:paraId="5A35D6AE" w14:textId="6BEC577C" w:rsidR="005A1F66" w:rsidRDefault="005A1F66">
      <w:pPr>
        <w:pStyle w:val="31"/>
        <w:rPr>
          <w:rFonts w:asciiTheme="minorHAnsi" w:eastAsiaTheme="minorEastAsia" w:hAnsiTheme="minorHAnsi" w:cstheme="minorBidi"/>
        </w:rPr>
      </w:pPr>
      <w:r w:rsidRPr="00764A67">
        <w:t>2.5.</w:t>
      </w:r>
      <w:r>
        <w:rPr>
          <w:rFonts w:asciiTheme="minorHAnsi" w:eastAsiaTheme="minorEastAsia" w:hAnsiTheme="minorHAnsi" w:cstheme="minorBidi"/>
        </w:rPr>
        <w:tab/>
      </w:r>
      <w:r w:rsidRPr="00764A67">
        <w:t>Прибыльность операций</w:t>
      </w:r>
      <w:r>
        <w:tab/>
      </w:r>
      <w:r>
        <w:fldChar w:fldCharType="begin"/>
      </w:r>
      <w:r>
        <w:instrText xml:space="preserve"> PAGEREF _Toc44433463 \h </w:instrText>
      </w:r>
      <w:r>
        <w:fldChar w:fldCharType="separate"/>
      </w:r>
      <w:r w:rsidR="00673A38">
        <w:t>44</w:t>
      </w:r>
      <w:r>
        <w:fldChar w:fldCharType="end"/>
      </w:r>
    </w:p>
    <w:p w14:paraId="5E79B098" w14:textId="45902EFB" w:rsidR="005A1F66" w:rsidRDefault="005A1F66">
      <w:pPr>
        <w:pStyle w:val="31"/>
        <w:rPr>
          <w:rFonts w:asciiTheme="minorHAnsi" w:eastAsiaTheme="minorEastAsia" w:hAnsiTheme="minorHAnsi" w:cstheme="minorBidi"/>
        </w:rPr>
      </w:pPr>
      <w:r w:rsidRPr="00764A67">
        <w:t>2.6.</w:t>
      </w:r>
      <w:r>
        <w:rPr>
          <w:rFonts w:asciiTheme="minorHAnsi" w:eastAsiaTheme="minorEastAsia" w:hAnsiTheme="minorHAnsi" w:cstheme="minorBidi"/>
        </w:rPr>
        <w:tab/>
      </w:r>
      <w:r w:rsidRPr="00764A67">
        <w:t>Структура ресурсной базы</w:t>
      </w:r>
      <w:r>
        <w:tab/>
      </w:r>
      <w:r>
        <w:fldChar w:fldCharType="begin"/>
      </w:r>
      <w:r>
        <w:instrText xml:space="preserve"> PAGEREF _Toc44433464 \h </w:instrText>
      </w:r>
      <w:r>
        <w:fldChar w:fldCharType="separate"/>
      </w:r>
      <w:r w:rsidR="00673A38">
        <w:t>45</w:t>
      </w:r>
      <w:r>
        <w:fldChar w:fldCharType="end"/>
      </w:r>
    </w:p>
    <w:p w14:paraId="7D7899D2" w14:textId="5EB25445" w:rsidR="005A1F66" w:rsidRDefault="005A1F66">
      <w:pPr>
        <w:pStyle w:val="31"/>
        <w:rPr>
          <w:rFonts w:asciiTheme="minorHAnsi" w:eastAsiaTheme="minorEastAsia" w:hAnsiTheme="minorHAnsi" w:cstheme="minorBidi"/>
        </w:rPr>
      </w:pPr>
      <w:r w:rsidRPr="00764A67">
        <w:t>2.7.</w:t>
      </w:r>
      <w:r>
        <w:rPr>
          <w:rFonts w:asciiTheme="minorHAnsi" w:eastAsiaTheme="minorEastAsia" w:hAnsiTheme="minorHAnsi" w:cstheme="minorBidi"/>
        </w:rPr>
        <w:tab/>
      </w:r>
      <w:r w:rsidRPr="00764A67">
        <w:t>Ликвидность</w:t>
      </w:r>
      <w:r>
        <w:tab/>
      </w:r>
      <w:r>
        <w:fldChar w:fldCharType="begin"/>
      </w:r>
      <w:r>
        <w:instrText xml:space="preserve"> PAGEREF _Toc44433465 \h </w:instrText>
      </w:r>
      <w:r>
        <w:fldChar w:fldCharType="separate"/>
      </w:r>
      <w:r w:rsidR="00673A38">
        <w:t>49</w:t>
      </w:r>
      <w:r>
        <w:fldChar w:fldCharType="end"/>
      </w:r>
    </w:p>
    <w:p w14:paraId="16B20EFE" w14:textId="13310988" w:rsidR="005A1F66" w:rsidRDefault="005A1F66">
      <w:pPr>
        <w:pStyle w:val="31"/>
        <w:rPr>
          <w:rFonts w:asciiTheme="minorHAnsi" w:eastAsiaTheme="minorEastAsia" w:hAnsiTheme="minorHAnsi" w:cstheme="minorBidi"/>
        </w:rPr>
      </w:pPr>
      <w:r w:rsidRPr="00764A67">
        <w:t>2.8.</w:t>
      </w:r>
      <w:r>
        <w:rPr>
          <w:rFonts w:asciiTheme="minorHAnsi" w:eastAsiaTheme="minorEastAsia" w:hAnsiTheme="minorHAnsi" w:cstheme="minorBidi"/>
        </w:rPr>
        <w:tab/>
      </w:r>
      <w:r w:rsidRPr="00764A67">
        <w:t>Рыночные риски</w:t>
      </w:r>
      <w:r>
        <w:tab/>
      </w:r>
      <w:r>
        <w:fldChar w:fldCharType="begin"/>
      </w:r>
      <w:r>
        <w:instrText xml:space="preserve"> PAGEREF _Toc44433466 \h </w:instrText>
      </w:r>
      <w:r>
        <w:fldChar w:fldCharType="separate"/>
      </w:r>
      <w:r w:rsidR="00673A38">
        <w:t>53</w:t>
      </w:r>
      <w:r>
        <w:fldChar w:fldCharType="end"/>
      </w:r>
    </w:p>
    <w:p w14:paraId="47F5E9EF" w14:textId="5D4FADC0" w:rsidR="005A1F66" w:rsidRDefault="005A1F66">
      <w:pPr>
        <w:pStyle w:val="20"/>
        <w:tabs>
          <w:tab w:val="right" w:leader="dot" w:pos="9345"/>
        </w:tabs>
        <w:rPr>
          <w:rFonts w:asciiTheme="minorHAnsi" w:eastAsiaTheme="minorEastAsia" w:hAnsiTheme="minorHAnsi" w:cstheme="minorBidi"/>
          <w:noProof/>
          <w:sz w:val="22"/>
          <w:szCs w:val="22"/>
        </w:rPr>
      </w:pPr>
      <w:r w:rsidRPr="00764A67">
        <w:rPr>
          <w:noProof/>
        </w:rPr>
        <w:t xml:space="preserve">РАЗДЕЛ </w:t>
      </w:r>
      <w:r w:rsidRPr="00764A67">
        <w:rPr>
          <w:noProof/>
          <w:lang w:val="en-US"/>
        </w:rPr>
        <w:t>I</w:t>
      </w:r>
      <w:r w:rsidRPr="00764A67">
        <w:rPr>
          <w:noProof/>
        </w:rPr>
        <w:t>II. УПРАВЛЕНИЕ И РИСК-МЕНЕДЖМЕНТ</w:t>
      </w:r>
      <w:r>
        <w:rPr>
          <w:noProof/>
        </w:rPr>
        <w:tab/>
      </w:r>
      <w:r>
        <w:rPr>
          <w:noProof/>
        </w:rPr>
        <w:fldChar w:fldCharType="begin"/>
      </w:r>
      <w:r>
        <w:rPr>
          <w:noProof/>
        </w:rPr>
        <w:instrText xml:space="preserve"> PAGEREF _Toc44433467 \h </w:instrText>
      </w:r>
      <w:r>
        <w:rPr>
          <w:noProof/>
        </w:rPr>
      </w:r>
      <w:r>
        <w:rPr>
          <w:noProof/>
        </w:rPr>
        <w:fldChar w:fldCharType="separate"/>
      </w:r>
      <w:r w:rsidR="00673A38">
        <w:rPr>
          <w:noProof/>
        </w:rPr>
        <w:t>56</w:t>
      </w:r>
      <w:r>
        <w:rPr>
          <w:noProof/>
        </w:rPr>
        <w:fldChar w:fldCharType="end"/>
      </w:r>
    </w:p>
    <w:p w14:paraId="401C507D" w14:textId="5520511B" w:rsidR="005A1F66" w:rsidRDefault="005A1F66">
      <w:pPr>
        <w:pStyle w:val="31"/>
        <w:rPr>
          <w:rFonts w:asciiTheme="minorHAnsi" w:eastAsiaTheme="minorEastAsia" w:hAnsiTheme="minorHAnsi" w:cstheme="minorBidi"/>
        </w:rPr>
      </w:pPr>
      <w:r w:rsidRPr="00764A67">
        <w:t>3.1</w:t>
      </w:r>
      <w:r>
        <w:rPr>
          <w:rFonts w:asciiTheme="minorHAnsi" w:eastAsiaTheme="minorEastAsia" w:hAnsiTheme="minorHAnsi" w:cstheme="minorBidi"/>
        </w:rPr>
        <w:tab/>
      </w:r>
      <w:r w:rsidRPr="00764A67">
        <w:t>Корпоративное управление, бизнес-процессы и информационная прозрачность</w:t>
      </w:r>
      <w:r>
        <w:tab/>
      </w:r>
      <w:r>
        <w:fldChar w:fldCharType="begin"/>
      </w:r>
      <w:r>
        <w:instrText xml:space="preserve"> PAGEREF _Toc44433468 \h </w:instrText>
      </w:r>
      <w:r>
        <w:fldChar w:fldCharType="separate"/>
      </w:r>
      <w:r w:rsidR="00673A38">
        <w:t>56</w:t>
      </w:r>
      <w:r>
        <w:fldChar w:fldCharType="end"/>
      </w:r>
    </w:p>
    <w:p w14:paraId="19489D02" w14:textId="1522A895" w:rsidR="005A1F66" w:rsidRDefault="005A1F66">
      <w:pPr>
        <w:pStyle w:val="31"/>
        <w:rPr>
          <w:rFonts w:asciiTheme="minorHAnsi" w:eastAsiaTheme="minorEastAsia" w:hAnsiTheme="minorHAnsi" w:cstheme="minorBidi"/>
        </w:rPr>
      </w:pPr>
      <w:r w:rsidRPr="00764A67">
        <w:t>3.2</w:t>
      </w:r>
      <w:r>
        <w:rPr>
          <w:rFonts w:asciiTheme="minorHAnsi" w:eastAsiaTheme="minorEastAsia" w:hAnsiTheme="minorHAnsi" w:cstheme="minorBidi"/>
        </w:rPr>
        <w:tab/>
      </w:r>
      <w:r w:rsidRPr="00764A67">
        <w:t>Структура собственности</w:t>
      </w:r>
      <w:r>
        <w:tab/>
      </w:r>
      <w:r>
        <w:fldChar w:fldCharType="begin"/>
      </w:r>
      <w:r>
        <w:instrText xml:space="preserve"> PAGEREF _Toc44433469 \h </w:instrText>
      </w:r>
      <w:r>
        <w:fldChar w:fldCharType="separate"/>
      </w:r>
      <w:r w:rsidR="00673A38">
        <w:t>59</w:t>
      </w:r>
      <w:r>
        <w:fldChar w:fldCharType="end"/>
      </w:r>
    </w:p>
    <w:p w14:paraId="11BC2827" w14:textId="2F6D8742" w:rsidR="005A1F66" w:rsidRDefault="005A1F66">
      <w:pPr>
        <w:pStyle w:val="31"/>
        <w:rPr>
          <w:rFonts w:asciiTheme="minorHAnsi" w:eastAsiaTheme="minorEastAsia" w:hAnsiTheme="minorHAnsi" w:cstheme="minorBidi"/>
        </w:rPr>
      </w:pPr>
      <w:r w:rsidRPr="00764A67">
        <w:t>3.3</w:t>
      </w:r>
      <w:r>
        <w:rPr>
          <w:rFonts w:asciiTheme="minorHAnsi" w:eastAsiaTheme="minorEastAsia" w:hAnsiTheme="minorHAnsi" w:cstheme="minorBidi"/>
        </w:rPr>
        <w:tab/>
      </w:r>
      <w:r w:rsidRPr="00764A67">
        <w:t>Управление рисками</w:t>
      </w:r>
      <w:r>
        <w:tab/>
      </w:r>
      <w:r>
        <w:fldChar w:fldCharType="begin"/>
      </w:r>
      <w:r>
        <w:instrText xml:space="preserve"> PAGEREF _Toc44433470 \h </w:instrText>
      </w:r>
      <w:r>
        <w:fldChar w:fldCharType="separate"/>
      </w:r>
      <w:r w:rsidR="00673A38">
        <w:t>61</w:t>
      </w:r>
      <w:r>
        <w:fldChar w:fldCharType="end"/>
      </w:r>
    </w:p>
    <w:p w14:paraId="7A5D0C26" w14:textId="24635465" w:rsidR="005A1F66" w:rsidRDefault="005A1F66">
      <w:pPr>
        <w:pStyle w:val="31"/>
        <w:rPr>
          <w:rFonts w:asciiTheme="minorHAnsi" w:eastAsiaTheme="minorEastAsia" w:hAnsiTheme="minorHAnsi" w:cstheme="minorBidi"/>
        </w:rPr>
      </w:pPr>
      <w:r w:rsidRPr="00764A67">
        <w:t>3.4</w:t>
      </w:r>
      <w:r>
        <w:rPr>
          <w:rFonts w:asciiTheme="minorHAnsi" w:eastAsiaTheme="minorEastAsia" w:hAnsiTheme="minorHAnsi" w:cstheme="minorBidi"/>
        </w:rPr>
        <w:tab/>
      </w:r>
      <w:r w:rsidRPr="00764A67">
        <w:t>Стратегическое обеспечение</w:t>
      </w:r>
      <w:r>
        <w:tab/>
      </w:r>
      <w:r>
        <w:fldChar w:fldCharType="begin"/>
      </w:r>
      <w:r>
        <w:instrText xml:space="preserve"> PAGEREF _Toc44433471 \h </w:instrText>
      </w:r>
      <w:r>
        <w:fldChar w:fldCharType="separate"/>
      </w:r>
      <w:r w:rsidR="00673A38">
        <w:t>70</w:t>
      </w:r>
      <w:r>
        <w:fldChar w:fldCharType="end"/>
      </w:r>
    </w:p>
    <w:p w14:paraId="5EA7FF8B" w14:textId="2AA421E5" w:rsidR="005A1F66" w:rsidRPr="005A1F66" w:rsidRDefault="005A1F66">
      <w:pPr>
        <w:pStyle w:val="20"/>
        <w:tabs>
          <w:tab w:val="right" w:leader="dot" w:pos="9345"/>
        </w:tabs>
        <w:rPr>
          <w:rFonts w:asciiTheme="minorHAnsi" w:eastAsiaTheme="minorEastAsia" w:hAnsiTheme="minorHAnsi" w:cstheme="minorBidi"/>
          <w:noProof/>
          <w:sz w:val="22"/>
          <w:szCs w:val="22"/>
        </w:rPr>
      </w:pPr>
      <w:r w:rsidRPr="00764A67">
        <w:rPr>
          <w:b/>
          <w:bCs/>
          <w:iCs/>
          <w:noProof/>
        </w:rPr>
        <w:t>Р</w:t>
      </w:r>
      <w:r w:rsidRPr="005A1F66">
        <w:rPr>
          <w:bCs/>
          <w:iCs/>
          <w:noProof/>
        </w:rPr>
        <w:t xml:space="preserve">АЗДЕЛ </w:t>
      </w:r>
      <w:r w:rsidRPr="005A1F66">
        <w:rPr>
          <w:bCs/>
          <w:iCs/>
          <w:noProof/>
          <w:lang w:val="en-US"/>
        </w:rPr>
        <w:t>IV</w:t>
      </w:r>
      <w:r w:rsidRPr="005A1F66">
        <w:rPr>
          <w:bCs/>
          <w:iCs/>
          <w:noProof/>
        </w:rPr>
        <w:t>. ВНУТРЕННИЕ СТРЕСС-ФАКТОРЫ И ВНУТРЕННИЕ ФАКТОРЫ ПОДДЕРЖКИ</w:t>
      </w:r>
      <w:r w:rsidRPr="005A1F66">
        <w:rPr>
          <w:noProof/>
        </w:rPr>
        <w:tab/>
      </w:r>
      <w:r w:rsidRPr="005A1F66">
        <w:rPr>
          <w:noProof/>
        </w:rPr>
        <w:fldChar w:fldCharType="begin"/>
      </w:r>
      <w:r w:rsidRPr="005A1F66">
        <w:rPr>
          <w:noProof/>
        </w:rPr>
        <w:instrText xml:space="preserve"> PAGEREF _Toc44433472 \h </w:instrText>
      </w:r>
      <w:r w:rsidRPr="005A1F66">
        <w:rPr>
          <w:noProof/>
        </w:rPr>
      </w:r>
      <w:r w:rsidRPr="005A1F66">
        <w:rPr>
          <w:noProof/>
        </w:rPr>
        <w:fldChar w:fldCharType="separate"/>
      </w:r>
      <w:r w:rsidR="00673A38">
        <w:rPr>
          <w:noProof/>
        </w:rPr>
        <w:t>72</w:t>
      </w:r>
      <w:r w:rsidRPr="005A1F66">
        <w:rPr>
          <w:noProof/>
        </w:rPr>
        <w:fldChar w:fldCharType="end"/>
      </w:r>
    </w:p>
    <w:p w14:paraId="6E036D81" w14:textId="411594DB" w:rsidR="005A1F66" w:rsidRDefault="005A1F66">
      <w:pPr>
        <w:pStyle w:val="20"/>
        <w:tabs>
          <w:tab w:val="right" w:leader="dot" w:pos="9345"/>
        </w:tabs>
        <w:rPr>
          <w:rFonts w:asciiTheme="minorHAnsi" w:eastAsiaTheme="minorEastAsia" w:hAnsiTheme="minorHAnsi" w:cstheme="minorBidi"/>
          <w:noProof/>
          <w:sz w:val="22"/>
          <w:szCs w:val="22"/>
        </w:rPr>
      </w:pPr>
      <w:r w:rsidRPr="005A1F66">
        <w:rPr>
          <w:bCs/>
          <w:iCs/>
          <w:noProof/>
        </w:rPr>
        <w:t xml:space="preserve">РАЗДЕЛ </w:t>
      </w:r>
      <w:r w:rsidRPr="005A1F66">
        <w:rPr>
          <w:bCs/>
          <w:iCs/>
          <w:noProof/>
          <w:lang w:val="en-US"/>
        </w:rPr>
        <w:t>V</w:t>
      </w:r>
      <w:r w:rsidRPr="005A1F66">
        <w:rPr>
          <w:bCs/>
          <w:iCs/>
          <w:noProof/>
        </w:rPr>
        <w:t>. ВНЕШНИЕ СТРЕСС-ФАКТОРЫ И ВНЕШНИЕ ФАКТОРЫ ПОДДЕРЖКИ</w:t>
      </w:r>
      <w:r>
        <w:rPr>
          <w:noProof/>
        </w:rPr>
        <w:tab/>
      </w:r>
      <w:r>
        <w:rPr>
          <w:noProof/>
        </w:rPr>
        <w:fldChar w:fldCharType="begin"/>
      </w:r>
      <w:r>
        <w:rPr>
          <w:noProof/>
        </w:rPr>
        <w:instrText xml:space="preserve"> PAGEREF _Toc44433473 \h </w:instrText>
      </w:r>
      <w:r>
        <w:rPr>
          <w:noProof/>
        </w:rPr>
      </w:r>
      <w:r>
        <w:rPr>
          <w:noProof/>
        </w:rPr>
        <w:fldChar w:fldCharType="separate"/>
      </w:r>
      <w:r w:rsidR="00673A38">
        <w:rPr>
          <w:noProof/>
        </w:rPr>
        <w:t>86</w:t>
      </w:r>
      <w:r>
        <w:rPr>
          <w:noProof/>
        </w:rPr>
        <w:fldChar w:fldCharType="end"/>
      </w:r>
    </w:p>
    <w:p w14:paraId="148CF14A" w14:textId="3586F686" w:rsidR="005A1F66" w:rsidRDefault="005A1F66">
      <w:pPr>
        <w:pStyle w:val="12"/>
        <w:tabs>
          <w:tab w:val="left" w:pos="480"/>
          <w:tab w:val="right" w:leader="dot" w:pos="9345"/>
        </w:tabs>
        <w:rPr>
          <w:rFonts w:asciiTheme="minorHAnsi" w:eastAsiaTheme="minorEastAsia" w:hAnsiTheme="minorHAnsi" w:cstheme="minorBidi"/>
          <w:noProof/>
          <w:sz w:val="22"/>
          <w:szCs w:val="22"/>
        </w:rPr>
      </w:pPr>
      <w:r w:rsidRPr="00764A67">
        <w:rPr>
          <w:noProof/>
        </w:rPr>
        <w:t>6.</w:t>
      </w:r>
      <w:r>
        <w:rPr>
          <w:rFonts w:asciiTheme="minorHAnsi" w:eastAsiaTheme="minorEastAsia" w:hAnsiTheme="minorHAnsi" w:cstheme="minorBidi"/>
          <w:noProof/>
          <w:sz w:val="22"/>
          <w:szCs w:val="22"/>
        </w:rPr>
        <w:tab/>
      </w:r>
      <w:r w:rsidRPr="00764A67">
        <w:rPr>
          <w:noProof/>
        </w:rPr>
        <w:t>Порядок определения прогноза по кредитному рейтингу банка</w:t>
      </w:r>
      <w:r>
        <w:rPr>
          <w:noProof/>
        </w:rPr>
        <w:tab/>
      </w:r>
      <w:r>
        <w:rPr>
          <w:noProof/>
        </w:rPr>
        <w:fldChar w:fldCharType="begin"/>
      </w:r>
      <w:r>
        <w:rPr>
          <w:noProof/>
        </w:rPr>
        <w:instrText xml:space="preserve"> PAGEREF _Toc44433474 \h </w:instrText>
      </w:r>
      <w:r>
        <w:rPr>
          <w:noProof/>
        </w:rPr>
      </w:r>
      <w:r>
        <w:rPr>
          <w:noProof/>
        </w:rPr>
        <w:fldChar w:fldCharType="separate"/>
      </w:r>
      <w:r w:rsidR="00673A38">
        <w:rPr>
          <w:noProof/>
        </w:rPr>
        <w:t>90</w:t>
      </w:r>
      <w:r>
        <w:rPr>
          <w:noProof/>
        </w:rPr>
        <w:fldChar w:fldCharType="end"/>
      </w:r>
    </w:p>
    <w:p w14:paraId="7E116E6F" w14:textId="09F58A8D" w:rsidR="005A1F66" w:rsidRDefault="005A1F66">
      <w:pPr>
        <w:pStyle w:val="12"/>
        <w:tabs>
          <w:tab w:val="right" w:leader="dot" w:pos="9345"/>
        </w:tabs>
        <w:rPr>
          <w:rFonts w:asciiTheme="minorHAnsi" w:eastAsiaTheme="minorEastAsia" w:hAnsiTheme="minorHAnsi" w:cstheme="minorBidi"/>
          <w:noProof/>
          <w:sz w:val="22"/>
          <w:szCs w:val="22"/>
        </w:rPr>
      </w:pPr>
      <w:r w:rsidRPr="00764A67">
        <w:rPr>
          <w:noProof/>
        </w:rPr>
        <w:t>7. Бенчмарки по показателям, используемым в методологии присвоения рейтингов кредитоспособности банков</w:t>
      </w:r>
      <w:r>
        <w:rPr>
          <w:noProof/>
        </w:rPr>
        <w:tab/>
      </w:r>
      <w:r>
        <w:rPr>
          <w:noProof/>
        </w:rPr>
        <w:fldChar w:fldCharType="begin"/>
      </w:r>
      <w:r>
        <w:rPr>
          <w:noProof/>
        </w:rPr>
        <w:instrText xml:space="preserve"> PAGEREF _Toc44433475 \h </w:instrText>
      </w:r>
      <w:r>
        <w:rPr>
          <w:noProof/>
        </w:rPr>
      </w:r>
      <w:r>
        <w:rPr>
          <w:noProof/>
        </w:rPr>
        <w:fldChar w:fldCharType="separate"/>
      </w:r>
      <w:r w:rsidR="00673A38">
        <w:rPr>
          <w:noProof/>
        </w:rPr>
        <w:t>91</w:t>
      </w:r>
      <w:r>
        <w:rPr>
          <w:noProof/>
        </w:rPr>
        <w:fldChar w:fldCharType="end"/>
      </w:r>
    </w:p>
    <w:p w14:paraId="50277A17" w14:textId="33E9B69B" w:rsidR="003C7215" w:rsidRPr="005A1F62" w:rsidRDefault="003C7215" w:rsidP="003C7215">
      <w:pPr>
        <w:rPr>
          <w:b/>
          <w:bCs/>
          <w:kern w:val="32"/>
          <w:sz w:val="32"/>
          <w:szCs w:val="32"/>
        </w:rPr>
      </w:pPr>
      <w:r w:rsidRPr="005A1F62">
        <w:fldChar w:fldCharType="end"/>
      </w:r>
      <w:r w:rsidRPr="005A1F62">
        <w:br w:type="page"/>
      </w:r>
    </w:p>
    <w:p w14:paraId="6151E65C" w14:textId="33A00D4D" w:rsidR="009B681E" w:rsidRPr="005A1F62" w:rsidRDefault="009B681E" w:rsidP="00D44657">
      <w:pPr>
        <w:pStyle w:val="1"/>
        <w:numPr>
          <w:ilvl w:val="0"/>
          <w:numId w:val="62"/>
        </w:numPr>
        <w:tabs>
          <w:tab w:val="left" w:pos="709"/>
        </w:tabs>
        <w:spacing w:before="0" w:after="0"/>
        <w:rPr>
          <w:rFonts w:ascii="Times New Roman" w:hAnsi="Times New Roman" w:cs="Times New Roman"/>
          <w:sz w:val="28"/>
          <w:szCs w:val="28"/>
        </w:rPr>
      </w:pPr>
      <w:bookmarkStart w:id="3" w:name="_Toc44433437"/>
      <w:r w:rsidRPr="005A1F62">
        <w:rPr>
          <w:rFonts w:ascii="Times New Roman" w:hAnsi="Times New Roman" w:cs="Times New Roman"/>
          <w:sz w:val="28"/>
          <w:szCs w:val="28"/>
        </w:rPr>
        <w:lastRenderedPageBreak/>
        <w:t>Основные понятия</w:t>
      </w:r>
      <w:bookmarkEnd w:id="1"/>
      <w:bookmarkEnd w:id="3"/>
    </w:p>
    <w:p w14:paraId="491DC8AE" w14:textId="77777777" w:rsidR="006A777B" w:rsidRPr="005A1F62" w:rsidRDefault="006A777B" w:rsidP="006A777B">
      <w:pPr>
        <w:pStyle w:val="af9"/>
        <w:tabs>
          <w:tab w:val="left" w:pos="709"/>
        </w:tabs>
        <w:spacing w:before="0" w:beforeAutospacing="0" w:after="0" w:afterAutospacing="0"/>
        <w:ind w:left="1080"/>
        <w:jc w:val="both"/>
        <w:rPr>
          <w:sz w:val="28"/>
          <w:szCs w:val="28"/>
        </w:rPr>
      </w:pPr>
    </w:p>
    <w:p w14:paraId="1DFF46C5" w14:textId="7916FC4F" w:rsidR="00F53980" w:rsidRPr="005A1F62" w:rsidRDefault="00A4729C" w:rsidP="00D44657">
      <w:pPr>
        <w:pStyle w:val="2"/>
        <w:numPr>
          <w:ilvl w:val="1"/>
          <w:numId w:val="38"/>
        </w:numPr>
        <w:tabs>
          <w:tab w:val="left" w:pos="709"/>
        </w:tabs>
        <w:spacing w:before="0" w:after="0"/>
        <w:ind w:left="0" w:firstLine="567"/>
        <w:rPr>
          <w:rFonts w:ascii="Times New Roman" w:hAnsi="Times New Roman" w:cs="Times New Roman"/>
          <w:i w:val="0"/>
        </w:rPr>
      </w:pPr>
      <w:bookmarkStart w:id="4" w:name="_Toc44433438"/>
      <w:r w:rsidRPr="005A1F62">
        <w:rPr>
          <w:rFonts w:ascii="Times New Roman" w:hAnsi="Times New Roman" w:cs="Times New Roman"/>
          <w:i w:val="0"/>
        </w:rPr>
        <w:t>Область применения методологии</w:t>
      </w:r>
      <w:bookmarkEnd w:id="4"/>
    </w:p>
    <w:p w14:paraId="01DA6DFF" w14:textId="77777777" w:rsidR="00FE3B86" w:rsidRPr="005A1F62" w:rsidRDefault="00FE3B86" w:rsidP="00FE3B86">
      <w:pPr>
        <w:rPr>
          <w:sz w:val="28"/>
          <w:szCs w:val="28"/>
        </w:rPr>
      </w:pPr>
    </w:p>
    <w:p w14:paraId="654AA3E5" w14:textId="7B7E27F2" w:rsidR="00F53980" w:rsidRPr="005A1F62" w:rsidRDefault="00F53980" w:rsidP="00DC2FED">
      <w:pPr>
        <w:tabs>
          <w:tab w:val="left" w:pos="709"/>
        </w:tabs>
        <w:ind w:firstLine="567"/>
        <w:jc w:val="both"/>
      </w:pPr>
      <w:r w:rsidRPr="005A1F62">
        <w:t xml:space="preserve">В соответствии с настоящей методологией кредитное рейтинговое агентство </w:t>
      </w:r>
      <w:r w:rsidR="00446881" w:rsidRPr="005A1F62">
        <w:t xml:space="preserve">АО </w:t>
      </w:r>
      <w:r w:rsidRPr="005A1F62">
        <w:t>«Эксперт РА»</w:t>
      </w:r>
      <w:r w:rsidR="00446881" w:rsidRPr="005A1F62">
        <w:t xml:space="preserve"> (далее </w:t>
      </w:r>
      <w:r w:rsidR="008268F5" w:rsidRPr="005A1F62">
        <w:t xml:space="preserve">– </w:t>
      </w:r>
      <w:r w:rsidR="00446881" w:rsidRPr="005A1F62">
        <w:t xml:space="preserve">Агентство или </w:t>
      </w:r>
      <w:r w:rsidR="00E54B39" w:rsidRPr="005A1F62">
        <w:t>«Эксперт РА»</w:t>
      </w:r>
      <w:r w:rsidR="00446881" w:rsidRPr="005A1F62">
        <w:t>)</w:t>
      </w:r>
      <w:r w:rsidRPr="005A1F62">
        <w:t xml:space="preserve"> присваивает рейтинги</w:t>
      </w:r>
      <w:r w:rsidR="00CD7780" w:rsidRPr="005A1F62">
        <w:t xml:space="preserve"> кредитоспособности</w:t>
      </w:r>
      <w:r w:rsidRPr="005A1F62">
        <w:t xml:space="preserve"> </w:t>
      </w:r>
      <w:r w:rsidR="00492711" w:rsidRPr="005A1F62">
        <w:t xml:space="preserve">(далее – кредитный рейтинг или рейтинг) </w:t>
      </w:r>
      <w:r w:rsidRPr="005A1F62">
        <w:t>банкам и небанковским кредитным организациям</w:t>
      </w:r>
      <w:r w:rsidR="006024F1" w:rsidRPr="005A1F62">
        <w:rPr>
          <w:rStyle w:val="a9"/>
        </w:rPr>
        <w:footnoteReference w:id="2"/>
      </w:r>
      <w:r w:rsidRPr="005A1F62">
        <w:t>, имеющим лицензию на осуществление банковских операций</w:t>
      </w:r>
      <w:r w:rsidR="00AE77C4" w:rsidRPr="005A1F62">
        <w:t xml:space="preserve"> (далее – банк</w:t>
      </w:r>
      <w:r w:rsidR="00F51DE7" w:rsidRPr="005A1F62">
        <w:t xml:space="preserve"> или объект рейтинга</w:t>
      </w:r>
      <w:r w:rsidR="00AE77C4" w:rsidRPr="005A1F62">
        <w:t>)</w:t>
      </w:r>
      <w:r w:rsidRPr="005A1F62">
        <w:t>, выданную Ба</w:t>
      </w:r>
      <w:r w:rsidR="001306EA" w:rsidRPr="005A1F62">
        <w:t>нком России (ЦБ РФ).</w:t>
      </w:r>
    </w:p>
    <w:p w14:paraId="7B7E6819" w14:textId="77777777" w:rsidR="00F53980" w:rsidRPr="005A1F62" w:rsidRDefault="006024F1" w:rsidP="00DC2FED">
      <w:pPr>
        <w:tabs>
          <w:tab w:val="left" w:pos="709"/>
        </w:tabs>
        <w:ind w:firstLine="567"/>
        <w:jc w:val="both"/>
      </w:pPr>
      <w:r w:rsidRPr="005A1F62">
        <w:t>Данная методология не используется при присвоении рейтингов иным</w:t>
      </w:r>
      <w:r w:rsidR="00CD78CF" w:rsidRPr="005A1F62">
        <w:t xml:space="preserve"> </w:t>
      </w:r>
      <w:r w:rsidRPr="005A1F62">
        <w:t>финансовым компаниям (в т</w:t>
      </w:r>
      <w:r w:rsidR="00BE1786" w:rsidRPr="005A1F62">
        <w:t xml:space="preserve">ом </w:t>
      </w:r>
      <w:r w:rsidRPr="005A1F62">
        <w:t>ч</w:t>
      </w:r>
      <w:r w:rsidR="00BE1786" w:rsidRPr="005A1F62">
        <w:t xml:space="preserve">исле </w:t>
      </w:r>
      <w:r w:rsidRPr="005A1F62">
        <w:t>лизинговым, страховым, факторинговым, МФО и т.</w:t>
      </w:r>
      <w:r w:rsidR="00BE1786" w:rsidRPr="005A1F62">
        <w:t> </w:t>
      </w:r>
      <w:r w:rsidRPr="005A1F62">
        <w:t>д.).</w:t>
      </w:r>
    </w:p>
    <w:p w14:paraId="52FB91F9" w14:textId="77777777" w:rsidR="00FE3B86" w:rsidRPr="005A1F62" w:rsidRDefault="00FE3B86" w:rsidP="00DC2FED">
      <w:pPr>
        <w:tabs>
          <w:tab w:val="left" w:pos="709"/>
        </w:tabs>
        <w:ind w:firstLine="567"/>
        <w:jc w:val="both"/>
        <w:rPr>
          <w:b/>
        </w:rPr>
      </w:pPr>
    </w:p>
    <w:p w14:paraId="33FBA60D" w14:textId="3DD3C54E" w:rsidR="00F53980" w:rsidRPr="005A1F62" w:rsidRDefault="00F53980" w:rsidP="00DC2FED">
      <w:pPr>
        <w:pStyle w:val="af9"/>
        <w:tabs>
          <w:tab w:val="left" w:pos="709"/>
        </w:tabs>
        <w:spacing w:before="0" w:beforeAutospacing="0" w:after="0" w:afterAutospacing="0"/>
        <w:ind w:firstLine="567"/>
        <w:jc w:val="both"/>
      </w:pPr>
      <w:r w:rsidRPr="005A1F62">
        <w:rPr>
          <w:b/>
        </w:rPr>
        <w:t>Рейтинг кредитоспособности</w:t>
      </w:r>
      <w:r w:rsidRPr="005A1F62">
        <w:t xml:space="preserve"> банка представляет собой </w:t>
      </w:r>
      <w:r w:rsidRPr="005A1F62">
        <w:rPr>
          <w:rStyle w:val="afe"/>
          <w:b w:val="0"/>
        </w:rPr>
        <w:t>мнение кредитног</w:t>
      </w:r>
      <w:r w:rsidR="009C7FE7" w:rsidRPr="005A1F62">
        <w:rPr>
          <w:rStyle w:val="afe"/>
          <w:b w:val="0"/>
        </w:rPr>
        <w:t xml:space="preserve">о рейтингового агентства </w:t>
      </w:r>
      <w:r w:rsidR="00B843D7" w:rsidRPr="005A1F62">
        <w:rPr>
          <w:rStyle w:val="afe"/>
          <w:b w:val="0"/>
        </w:rPr>
        <w:t>«</w:t>
      </w:r>
      <w:r w:rsidR="003D4DF4" w:rsidRPr="005A1F62">
        <w:rPr>
          <w:rStyle w:val="afe"/>
          <w:b w:val="0"/>
        </w:rPr>
        <w:t>Эксперт РА</w:t>
      </w:r>
      <w:r w:rsidR="00B843D7" w:rsidRPr="005A1F62">
        <w:rPr>
          <w:rStyle w:val="afe"/>
          <w:b w:val="0"/>
        </w:rPr>
        <w:t>»</w:t>
      </w:r>
      <w:r w:rsidRPr="005A1F62">
        <w:t xml:space="preserve"> о способности банка своевременно и в полном объеме выполнять свои </w:t>
      </w:r>
      <w:r w:rsidR="0014658E" w:rsidRPr="005A1F62">
        <w:t xml:space="preserve">старшие необеспеченные </w:t>
      </w:r>
      <w:r w:rsidRPr="005A1F62">
        <w:t xml:space="preserve">финансовые обязательства. </w:t>
      </w:r>
    </w:p>
    <w:p w14:paraId="2E5DFA43" w14:textId="77777777" w:rsidR="00FE3B86" w:rsidRPr="005A1F62" w:rsidRDefault="00FE3B86" w:rsidP="00DC2FED">
      <w:pPr>
        <w:pStyle w:val="af9"/>
        <w:tabs>
          <w:tab w:val="left" w:pos="709"/>
        </w:tabs>
        <w:spacing w:before="0" w:beforeAutospacing="0" w:after="0" w:afterAutospacing="0"/>
        <w:ind w:firstLine="567"/>
        <w:jc w:val="both"/>
      </w:pPr>
    </w:p>
    <w:p w14:paraId="581E1E02" w14:textId="0645CC99" w:rsidR="00F53980" w:rsidRPr="005A1F62" w:rsidRDefault="00F53980" w:rsidP="00DC2FED">
      <w:pPr>
        <w:pStyle w:val="af9"/>
        <w:tabs>
          <w:tab w:val="left" w:pos="709"/>
        </w:tabs>
        <w:spacing w:before="0" w:beforeAutospacing="0" w:after="0" w:afterAutospacing="0"/>
        <w:ind w:firstLine="567"/>
        <w:jc w:val="both"/>
      </w:pPr>
      <w:r w:rsidRPr="005A1F62">
        <w:rPr>
          <w:b/>
        </w:rPr>
        <w:t>Рейтинг самостоятельной кредитоспособности</w:t>
      </w:r>
      <w:r w:rsidRPr="005A1F62">
        <w:t xml:space="preserve"> – мнение кредитного рейтингового агентства </w:t>
      </w:r>
      <w:r w:rsidR="0014658E" w:rsidRPr="005A1F62">
        <w:t xml:space="preserve">«Эксперт РА» </w:t>
      </w:r>
      <w:r w:rsidRPr="005A1F62">
        <w:t xml:space="preserve">о способности банка своевременно и в полном объеме выполнять свои </w:t>
      </w:r>
      <w:r w:rsidR="0014658E" w:rsidRPr="005A1F62">
        <w:t xml:space="preserve">старшие необеспеченные </w:t>
      </w:r>
      <w:r w:rsidRPr="005A1F62">
        <w:t>финансовые обязательства без учета внешних по отношению к банку факторов (поддержки со стороны собственников и органов власти, планируемых изменений в регулировании и т</w:t>
      </w:r>
      <w:r w:rsidR="00A5717B" w:rsidRPr="005A1F62">
        <w:t>. </w:t>
      </w:r>
      <w:r w:rsidRPr="005A1F62">
        <w:t>д.)</w:t>
      </w:r>
      <w:r w:rsidR="006024F1" w:rsidRPr="005A1F62">
        <w:t>.</w:t>
      </w:r>
    </w:p>
    <w:p w14:paraId="6939A3A4" w14:textId="77777777" w:rsidR="00DC2FED" w:rsidRPr="005A1F62" w:rsidRDefault="00DC2FED" w:rsidP="00DC2FED">
      <w:pPr>
        <w:pStyle w:val="af9"/>
        <w:tabs>
          <w:tab w:val="left" w:pos="709"/>
        </w:tabs>
        <w:spacing w:before="0" w:beforeAutospacing="0" w:after="0" w:afterAutospacing="0"/>
        <w:ind w:firstLine="567"/>
        <w:jc w:val="both"/>
      </w:pPr>
    </w:p>
    <w:p w14:paraId="1672120A" w14:textId="3A0CCBCD" w:rsidR="008D335E" w:rsidRPr="005A1F62" w:rsidRDefault="008D335E" w:rsidP="00D44657">
      <w:pPr>
        <w:pStyle w:val="2"/>
        <w:numPr>
          <w:ilvl w:val="1"/>
          <w:numId w:val="38"/>
        </w:numPr>
        <w:tabs>
          <w:tab w:val="left" w:pos="709"/>
        </w:tabs>
        <w:spacing w:before="0" w:after="0"/>
        <w:ind w:left="0" w:firstLine="567"/>
        <w:rPr>
          <w:rFonts w:ascii="Times New Roman" w:hAnsi="Times New Roman" w:cs="Times New Roman"/>
          <w:i w:val="0"/>
        </w:rPr>
      </w:pPr>
      <w:bookmarkStart w:id="5" w:name="_Toc44433439"/>
      <w:r w:rsidRPr="005A1F62">
        <w:rPr>
          <w:rFonts w:ascii="Times New Roman" w:hAnsi="Times New Roman" w:cs="Times New Roman"/>
          <w:i w:val="0"/>
        </w:rPr>
        <w:t>Рейтинговая шкала</w:t>
      </w:r>
      <w:bookmarkEnd w:id="5"/>
    </w:p>
    <w:p w14:paraId="17F352E3" w14:textId="77777777" w:rsidR="00FE3B86" w:rsidRPr="005A1F62" w:rsidRDefault="00FE3B86" w:rsidP="00FE3B86"/>
    <w:p w14:paraId="312ABEE8" w14:textId="77777777" w:rsidR="00F2754E" w:rsidRPr="005A1F62" w:rsidRDefault="00BD2D74" w:rsidP="00DC2FED">
      <w:pPr>
        <w:tabs>
          <w:tab w:val="left" w:pos="709"/>
        </w:tabs>
        <w:ind w:firstLine="567"/>
        <w:jc w:val="both"/>
      </w:pPr>
      <w:r w:rsidRPr="005A1F62">
        <w:t xml:space="preserve">В соответствии с настоящей методологией присваиваются рейтинги по национальной шкале Российской </w:t>
      </w:r>
      <w:r w:rsidR="00A83C56" w:rsidRPr="005A1F62">
        <w:t>Федерации</w:t>
      </w:r>
      <w:r w:rsidR="00F2754E" w:rsidRPr="005A1F62">
        <w:t>.</w:t>
      </w:r>
    </w:p>
    <w:p w14:paraId="6347C6A8" w14:textId="77777777" w:rsidR="00DC2FED" w:rsidRPr="005A1F62" w:rsidRDefault="00DC2FED" w:rsidP="00DC2FED">
      <w:pPr>
        <w:tabs>
          <w:tab w:val="left" w:pos="709"/>
        </w:tabs>
        <w:jc w:val="both"/>
      </w:pPr>
    </w:p>
    <w:p w14:paraId="4FEAA9BD" w14:textId="77EE05C7" w:rsidR="00F83D38" w:rsidRPr="005A1F62" w:rsidRDefault="00F83D38" w:rsidP="00DC2FED">
      <w:pPr>
        <w:jc w:val="both"/>
      </w:pPr>
      <w:r w:rsidRPr="005A1F62">
        <w:rPr>
          <w:bCs/>
        </w:rPr>
        <w:t>Национальная рейтинговая шкала «Эксперт</w:t>
      </w:r>
      <w:r w:rsidR="00A5717B" w:rsidRPr="005A1F62">
        <w:rPr>
          <w:bCs/>
        </w:rPr>
        <w:t>а</w:t>
      </w:r>
      <w:r w:rsidRPr="005A1F62">
        <w:rPr>
          <w:bCs/>
        </w:rPr>
        <w:t xml:space="preserve"> РА» для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2"/>
        <w:gridCol w:w="1084"/>
        <w:gridCol w:w="6989"/>
      </w:tblGrid>
      <w:tr w:rsidR="00F83D38" w:rsidRPr="005A1F62" w14:paraId="336BDDAF" w14:textId="77777777" w:rsidTr="00DF69DC">
        <w:tc>
          <w:tcPr>
            <w:tcW w:w="0" w:type="auto"/>
            <w:tcMar>
              <w:top w:w="0" w:type="dxa"/>
              <w:left w:w="108" w:type="dxa"/>
              <w:bottom w:w="0" w:type="dxa"/>
              <w:right w:w="108" w:type="dxa"/>
            </w:tcMar>
            <w:vAlign w:val="center"/>
            <w:hideMark/>
          </w:tcPr>
          <w:p w14:paraId="787EA13B" w14:textId="77777777" w:rsidR="00F83D38" w:rsidRPr="005A1F62" w:rsidRDefault="00F83D38" w:rsidP="00DC2FED">
            <w:pPr>
              <w:pStyle w:val="RAEXdefault"/>
              <w:rPr>
                <w:rFonts w:cs="Times New Roman"/>
                <w:color w:val="000000"/>
                <w:szCs w:val="24"/>
                <w:lang w:val="ru-RU"/>
              </w:rPr>
            </w:pPr>
            <w:r w:rsidRPr="005A1F62">
              <w:rPr>
                <w:rFonts w:cs="Times New Roman"/>
                <w:color w:val="000000"/>
                <w:szCs w:val="24"/>
                <w:lang w:val="ru-RU"/>
              </w:rPr>
              <w:t>Категория</w:t>
            </w:r>
          </w:p>
        </w:tc>
        <w:tc>
          <w:tcPr>
            <w:tcW w:w="0" w:type="auto"/>
            <w:tcMar>
              <w:top w:w="0" w:type="dxa"/>
              <w:left w:w="108" w:type="dxa"/>
              <w:bottom w:w="0" w:type="dxa"/>
              <w:right w:w="108" w:type="dxa"/>
            </w:tcMar>
            <w:vAlign w:val="center"/>
            <w:hideMark/>
          </w:tcPr>
          <w:p w14:paraId="2CFC5204" w14:textId="77777777" w:rsidR="00F83D38" w:rsidRPr="005A1F62" w:rsidRDefault="00F83D38" w:rsidP="00DC2FED">
            <w:pPr>
              <w:jc w:val="both"/>
              <w:rPr>
                <w:color w:val="000000"/>
              </w:rPr>
            </w:pPr>
            <w:r w:rsidRPr="005A1F62">
              <w:rPr>
                <w:color w:val="000000"/>
              </w:rPr>
              <w:t>Уровень</w:t>
            </w:r>
          </w:p>
        </w:tc>
        <w:tc>
          <w:tcPr>
            <w:tcW w:w="0" w:type="auto"/>
            <w:tcMar>
              <w:top w:w="0" w:type="dxa"/>
              <w:left w:w="108" w:type="dxa"/>
              <w:bottom w:w="0" w:type="dxa"/>
              <w:right w:w="108" w:type="dxa"/>
            </w:tcMar>
            <w:vAlign w:val="center"/>
            <w:hideMark/>
          </w:tcPr>
          <w:p w14:paraId="66E32769" w14:textId="77777777" w:rsidR="00F83D38" w:rsidRPr="005A1F62" w:rsidRDefault="00F83D38" w:rsidP="00DC2FED">
            <w:pPr>
              <w:pStyle w:val="RAEXdefault"/>
              <w:rPr>
                <w:rFonts w:cs="Times New Roman"/>
                <w:szCs w:val="24"/>
                <w:lang w:val="ru-RU"/>
              </w:rPr>
            </w:pPr>
            <w:r w:rsidRPr="005A1F62">
              <w:rPr>
                <w:rFonts w:cs="Times New Roman"/>
                <w:szCs w:val="24"/>
                <w:lang w:val="ru-RU"/>
              </w:rPr>
              <w:t>Определение</w:t>
            </w:r>
          </w:p>
        </w:tc>
      </w:tr>
      <w:tr w:rsidR="00F83D38" w:rsidRPr="005A1F62" w14:paraId="1E1476C3" w14:textId="77777777" w:rsidTr="00DF69DC">
        <w:tc>
          <w:tcPr>
            <w:tcW w:w="0" w:type="auto"/>
            <w:tcMar>
              <w:top w:w="0" w:type="dxa"/>
              <w:left w:w="108" w:type="dxa"/>
              <w:bottom w:w="0" w:type="dxa"/>
              <w:right w:w="108" w:type="dxa"/>
            </w:tcMar>
            <w:vAlign w:val="center"/>
            <w:hideMark/>
          </w:tcPr>
          <w:p w14:paraId="4C2443B0" w14:textId="77777777" w:rsidR="00F83D38" w:rsidRPr="005A1F62" w:rsidRDefault="00F83D38" w:rsidP="00DC2FED">
            <w:pPr>
              <w:pStyle w:val="RAEXdefault"/>
              <w:rPr>
                <w:rFonts w:cs="Times New Roman"/>
                <w:szCs w:val="24"/>
              </w:rPr>
            </w:pPr>
            <w:r w:rsidRPr="005A1F62">
              <w:rPr>
                <w:rFonts w:cs="Times New Roman"/>
                <w:color w:val="000000"/>
                <w:szCs w:val="24"/>
              </w:rPr>
              <w:t>AAA</w:t>
            </w:r>
          </w:p>
        </w:tc>
        <w:tc>
          <w:tcPr>
            <w:tcW w:w="0" w:type="auto"/>
            <w:tcMar>
              <w:top w:w="0" w:type="dxa"/>
              <w:left w:w="108" w:type="dxa"/>
              <w:bottom w:w="0" w:type="dxa"/>
              <w:right w:w="108" w:type="dxa"/>
            </w:tcMar>
            <w:vAlign w:val="center"/>
            <w:hideMark/>
          </w:tcPr>
          <w:p w14:paraId="26458ADC" w14:textId="77777777" w:rsidR="00F83D38" w:rsidRPr="005A1F62" w:rsidRDefault="00F83D38" w:rsidP="00DC2FED">
            <w:pPr>
              <w:jc w:val="both"/>
              <w:rPr>
                <w:color w:val="000000"/>
              </w:rPr>
            </w:pPr>
            <w:r w:rsidRPr="005A1F62">
              <w:rPr>
                <w:color w:val="000000"/>
                <w:lang w:val="en-US"/>
              </w:rPr>
              <w:t>ru</w:t>
            </w:r>
            <w:r w:rsidRPr="005A1F62">
              <w:rPr>
                <w:color w:val="000000"/>
              </w:rPr>
              <w:t>AAA</w:t>
            </w:r>
          </w:p>
        </w:tc>
        <w:tc>
          <w:tcPr>
            <w:tcW w:w="0" w:type="auto"/>
            <w:tcMar>
              <w:top w:w="0" w:type="dxa"/>
              <w:left w:w="108" w:type="dxa"/>
              <w:bottom w:w="0" w:type="dxa"/>
              <w:right w:w="108" w:type="dxa"/>
            </w:tcMar>
            <w:vAlign w:val="center"/>
            <w:hideMark/>
          </w:tcPr>
          <w:p w14:paraId="54ECDE2E" w14:textId="78F4051F" w:rsidR="00F83D38" w:rsidRPr="005A1F62" w:rsidRDefault="00F83D38" w:rsidP="00DC2FED">
            <w:pPr>
              <w:pStyle w:val="RAEXdefault"/>
              <w:rPr>
                <w:rFonts w:cs="Times New Roman"/>
                <w:szCs w:val="24"/>
                <w:lang w:val="ru-RU"/>
              </w:rPr>
            </w:pPr>
            <w:r w:rsidRPr="005A1F62">
              <w:rPr>
                <w:rFonts w:cs="Times New Roman"/>
                <w:szCs w:val="24"/>
                <w:lang w:val="ru-RU"/>
              </w:rPr>
              <w:t>Объект рейтинга характеризуется максимальным уровнем кредитоспособности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надежности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устойчивости. Наивысший уровень кредитоспособности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надежности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устойчивости по национальной шкале для Российской Федерации, по мнению Агентства</w:t>
            </w:r>
          </w:p>
        </w:tc>
      </w:tr>
      <w:tr w:rsidR="00F83D38" w:rsidRPr="005A1F62" w14:paraId="3E3B8F8D" w14:textId="77777777" w:rsidTr="00DF69DC">
        <w:trPr>
          <w:trHeight w:val="367"/>
        </w:trPr>
        <w:tc>
          <w:tcPr>
            <w:tcW w:w="0" w:type="auto"/>
            <w:vMerge w:val="restart"/>
            <w:tcMar>
              <w:top w:w="0" w:type="dxa"/>
              <w:left w:w="108" w:type="dxa"/>
              <w:bottom w:w="0" w:type="dxa"/>
              <w:right w:w="108" w:type="dxa"/>
            </w:tcMar>
            <w:vAlign w:val="center"/>
            <w:hideMark/>
          </w:tcPr>
          <w:p w14:paraId="121CC779" w14:textId="77777777" w:rsidR="00F83D38" w:rsidRPr="005A1F62" w:rsidRDefault="00F83D38" w:rsidP="00DC2FED">
            <w:pPr>
              <w:pStyle w:val="RAEXdefault"/>
              <w:rPr>
                <w:rFonts w:cs="Times New Roman"/>
                <w:szCs w:val="24"/>
              </w:rPr>
            </w:pPr>
            <w:r w:rsidRPr="005A1F62">
              <w:rPr>
                <w:rFonts w:cs="Times New Roman"/>
                <w:color w:val="000000"/>
                <w:szCs w:val="24"/>
              </w:rPr>
              <w:t>AA</w:t>
            </w:r>
          </w:p>
        </w:tc>
        <w:tc>
          <w:tcPr>
            <w:tcW w:w="0" w:type="auto"/>
            <w:tcMar>
              <w:top w:w="0" w:type="dxa"/>
              <w:left w:w="108" w:type="dxa"/>
              <w:bottom w:w="0" w:type="dxa"/>
              <w:right w:w="108" w:type="dxa"/>
            </w:tcMar>
            <w:vAlign w:val="center"/>
            <w:hideMark/>
          </w:tcPr>
          <w:p w14:paraId="751D1C02" w14:textId="77777777" w:rsidR="00F83D38" w:rsidRPr="005A1F62" w:rsidRDefault="00F83D38" w:rsidP="00DC2FED">
            <w:pPr>
              <w:jc w:val="both"/>
              <w:rPr>
                <w:color w:val="000000"/>
              </w:rPr>
            </w:pPr>
            <w:r w:rsidRPr="005A1F62">
              <w:rPr>
                <w:color w:val="000000"/>
                <w:lang w:val="en-US"/>
              </w:rPr>
              <w:t>ru</w:t>
            </w:r>
            <w:r w:rsidRPr="005A1F62">
              <w:rPr>
                <w:color w:val="000000"/>
              </w:rPr>
              <w:t>AA+</w:t>
            </w:r>
          </w:p>
        </w:tc>
        <w:tc>
          <w:tcPr>
            <w:tcW w:w="0" w:type="auto"/>
            <w:vMerge w:val="restart"/>
            <w:tcMar>
              <w:top w:w="0" w:type="dxa"/>
              <w:left w:w="108" w:type="dxa"/>
              <w:bottom w:w="0" w:type="dxa"/>
              <w:right w:w="108" w:type="dxa"/>
            </w:tcMar>
            <w:vAlign w:val="center"/>
            <w:hideMark/>
          </w:tcPr>
          <w:p w14:paraId="78C87BA0" w14:textId="57FE1251" w:rsidR="00F83D38" w:rsidRPr="005A1F62" w:rsidRDefault="00F83D38" w:rsidP="00DC2FED">
            <w:pPr>
              <w:pStyle w:val="RAEXdefault"/>
              <w:rPr>
                <w:rFonts w:cs="Times New Roman"/>
                <w:szCs w:val="24"/>
                <w:lang w:val="ru-RU"/>
              </w:rPr>
            </w:pPr>
            <w:r w:rsidRPr="005A1F62">
              <w:rPr>
                <w:rFonts w:cs="Times New Roman"/>
                <w:szCs w:val="24"/>
                <w:lang w:val="ru-RU"/>
              </w:rPr>
              <w:t>Высокий уровень кредитоспособности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надежности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 xml:space="preserve">финансовой устойчивости по сравнению с другими объектами рейтинга в Российской Федерации, который лишь незначительно ниже, чем у объектов рейтинга в рейтинговой категории </w:t>
            </w:r>
            <w:r w:rsidRPr="005A1F62">
              <w:rPr>
                <w:rFonts w:cs="Times New Roman"/>
                <w:szCs w:val="24"/>
              </w:rPr>
              <w:t>AAA</w:t>
            </w:r>
          </w:p>
        </w:tc>
      </w:tr>
      <w:tr w:rsidR="00F83D38" w:rsidRPr="005A1F62" w14:paraId="3FD5418B" w14:textId="77777777" w:rsidTr="00DF69DC">
        <w:trPr>
          <w:trHeight w:val="543"/>
        </w:trPr>
        <w:tc>
          <w:tcPr>
            <w:tcW w:w="0" w:type="auto"/>
            <w:vMerge/>
            <w:vAlign w:val="center"/>
            <w:hideMark/>
          </w:tcPr>
          <w:p w14:paraId="0DFEF9C1" w14:textId="77777777" w:rsidR="00F83D38" w:rsidRPr="005A1F62" w:rsidRDefault="00F83D38" w:rsidP="00DC2FED">
            <w:pPr>
              <w:jc w:val="both"/>
            </w:pPr>
          </w:p>
        </w:tc>
        <w:tc>
          <w:tcPr>
            <w:tcW w:w="0" w:type="auto"/>
            <w:tcMar>
              <w:top w:w="0" w:type="dxa"/>
              <w:left w:w="108" w:type="dxa"/>
              <w:bottom w:w="0" w:type="dxa"/>
              <w:right w:w="108" w:type="dxa"/>
            </w:tcMar>
            <w:vAlign w:val="center"/>
            <w:hideMark/>
          </w:tcPr>
          <w:p w14:paraId="09C01950" w14:textId="77777777" w:rsidR="00F83D38" w:rsidRPr="005A1F62" w:rsidRDefault="00F83D38" w:rsidP="00DC2FED">
            <w:pPr>
              <w:jc w:val="both"/>
              <w:rPr>
                <w:color w:val="000000"/>
              </w:rPr>
            </w:pPr>
            <w:r w:rsidRPr="005A1F62">
              <w:rPr>
                <w:color w:val="000000"/>
                <w:lang w:val="en-US"/>
              </w:rPr>
              <w:t>ru</w:t>
            </w:r>
            <w:r w:rsidRPr="005A1F62">
              <w:rPr>
                <w:color w:val="000000"/>
              </w:rPr>
              <w:t>AA</w:t>
            </w:r>
          </w:p>
        </w:tc>
        <w:tc>
          <w:tcPr>
            <w:tcW w:w="0" w:type="auto"/>
            <w:vMerge/>
            <w:vAlign w:val="center"/>
            <w:hideMark/>
          </w:tcPr>
          <w:p w14:paraId="2997CE62" w14:textId="77777777" w:rsidR="00F83D38" w:rsidRPr="005A1F62" w:rsidRDefault="00F83D38" w:rsidP="00DC2FED">
            <w:pPr>
              <w:jc w:val="both"/>
            </w:pPr>
          </w:p>
        </w:tc>
      </w:tr>
      <w:tr w:rsidR="00F83D38" w:rsidRPr="005A1F62" w14:paraId="00E3C478" w14:textId="77777777" w:rsidTr="00DF69DC">
        <w:tc>
          <w:tcPr>
            <w:tcW w:w="0" w:type="auto"/>
            <w:vMerge/>
            <w:vAlign w:val="center"/>
            <w:hideMark/>
          </w:tcPr>
          <w:p w14:paraId="73405752" w14:textId="77777777" w:rsidR="00F83D38" w:rsidRPr="005A1F62" w:rsidRDefault="00F83D38" w:rsidP="00DC2FED">
            <w:pPr>
              <w:jc w:val="both"/>
              <w:rPr>
                <w:lang w:val="en-US"/>
              </w:rPr>
            </w:pPr>
          </w:p>
        </w:tc>
        <w:tc>
          <w:tcPr>
            <w:tcW w:w="0" w:type="auto"/>
            <w:tcMar>
              <w:top w:w="0" w:type="dxa"/>
              <w:left w:w="108" w:type="dxa"/>
              <w:bottom w:w="0" w:type="dxa"/>
              <w:right w:w="108" w:type="dxa"/>
            </w:tcMar>
            <w:vAlign w:val="center"/>
            <w:hideMark/>
          </w:tcPr>
          <w:p w14:paraId="0662DF3A" w14:textId="77777777" w:rsidR="00F83D38" w:rsidRPr="005A1F62" w:rsidRDefault="00F83D38" w:rsidP="00DC2FED">
            <w:pPr>
              <w:jc w:val="both"/>
              <w:rPr>
                <w:color w:val="000000"/>
              </w:rPr>
            </w:pPr>
            <w:r w:rsidRPr="005A1F62">
              <w:rPr>
                <w:color w:val="000000"/>
                <w:lang w:val="en-US"/>
              </w:rPr>
              <w:t>ru</w:t>
            </w:r>
            <w:r w:rsidRPr="005A1F62">
              <w:rPr>
                <w:color w:val="000000"/>
              </w:rPr>
              <w:t>AA-</w:t>
            </w:r>
          </w:p>
        </w:tc>
        <w:tc>
          <w:tcPr>
            <w:tcW w:w="0" w:type="auto"/>
            <w:vMerge/>
            <w:vAlign w:val="center"/>
            <w:hideMark/>
          </w:tcPr>
          <w:p w14:paraId="1A1A600E" w14:textId="77777777" w:rsidR="00F83D38" w:rsidRPr="005A1F62" w:rsidRDefault="00F83D38" w:rsidP="00DC2FED">
            <w:pPr>
              <w:jc w:val="both"/>
            </w:pPr>
          </w:p>
        </w:tc>
      </w:tr>
      <w:tr w:rsidR="00F83D38" w:rsidRPr="005A1F62" w14:paraId="12C64B30" w14:textId="77777777" w:rsidTr="00DF69DC">
        <w:tc>
          <w:tcPr>
            <w:tcW w:w="0" w:type="auto"/>
            <w:vMerge w:val="restart"/>
            <w:tcMar>
              <w:top w:w="0" w:type="dxa"/>
              <w:left w:w="108" w:type="dxa"/>
              <w:bottom w:w="0" w:type="dxa"/>
              <w:right w:w="108" w:type="dxa"/>
            </w:tcMar>
            <w:vAlign w:val="center"/>
            <w:hideMark/>
          </w:tcPr>
          <w:p w14:paraId="3CF4D8BB" w14:textId="77777777" w:rsidR="00F83D38" w:rsidRPr="005A1F62" w:rsidRDefault="00F83D38" w:rsidP="00DC2FED">
            <w:pPr>
              <w:pStyle w:val="RAEXdefault"/>
              <w:rPr>
                <w:rFonts w:cs="Times New Roman"/>
                <w:szCs w:val="24"/>
              </w:rPr>
            </w:pPr>
            <w:r w:rsidRPr="005A1F62">
              <w:rPr>
                <w:rFonts w:cs="Times New Roman"/>
                <w:color w:val="000000"/>
                <w:szCs w:val="24"/>
              </w:rPr>
              <w:t>A</w:t>
            </w:r>
          </w:p>
        </w:tc>
        <w:tc>
          <w:tcPr>
            <w:tcW w:w="0" w:type="auto"/>
            <w:tcMar>
              <w:top w:w="0" w:type="dxa"/>
              <w:left w:w="108" w:type="dxa"/>
              <w:bottom w:w="0" w:type="dxa"/>
              <w:right w:w="108" w:type="dxa"/>
            </w:tcMar>
            <w:vAlign w:val="center"/>
            <w:hideMark/>
          </w:tcPr>
          <w:p w14:paraId="182B4D10" w14:textId="77777777" w:rsidR="00F83D38" w:rsidRPr="005A1F62" w:rsidRDefault="00F83D38" w:rsidP="00DC2FED">
            <w:pPr>
              <w:jc w:val="both"/>
              <w:rPr>
                <w:color w:val="000000"/>
              </w:rPr>
            </w:pPr>
            <w:r w:rsidRPr="005A1F62">
              <w:rPr>
                <w:color w:val="000000"/>
                <w:lang w:val="en-US"/>
              </w:rPr>
              <w:t>ru</w:t>
            </w:r>
            <w:r w:rsidRPr="005A1F62">
              <w:rPr>
                <w:color w:val="000000"/>
              </w:rPr>
              <w:t>A+</w:t>
            </w:r>
          </w:p>
        </w:tc>
        <w:tc>
          <w:tcPr>
            <w:tcW w:w="0" w:type="auto"/>
            <w:vMerge w:val="restart"/>
            <w:tcMar>
              <w:top w:w="0" w:type="dxa"/>
              <w:left w:w="108" w:type="dxa"/>
              <w:bottom w:w="0" w:type="dxa"/>
              <w:right w:w="108" w:type="dxa"/>
            </w:tcMar>
            <w:vAlign w:val="center"/>
            <w:hideMark/>
          </w:tcPr>
          <w:p w14:paraId="5038168F" w14:textId="774D144E" w:rsidR="00F83D38" w:rsidRPr="005A1F62" w:rsidRDefault="00F83D38" w:rsidP="00DC2FED">
            <w:pPr>
              <w:pStyle w:val="RAEXdefault"/>
              <w:rPr>
                <w:rFonts w:cs="Times New Roman"/>
                <w:szCs w:val="24"/>
                <w:lang w:val="ru-RU"/>
              </w:rPr>
            </w:pPr>
            <w:r w:rsidRPr="005A1F62">
              <w:rPr>
                <w:rFonts w:cs="Times New Roman"/>
                <w:szCs w:val="24"/>
                <w:lang w:val="ru-RU"/>
              </w:rPr>
              <w:t>Умеренно высокий уровень кредитоспособности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надежности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устойчивости по сравнению с другими объектами рейтинга в Российской Федерации, однако присутствует некоторая чувствительность к воздействию негативных изменений экономической конъюнктуры</w:t>
            </w:r>
          </w:p>
        </w:tc>
      </w:tr>
      <w:tr w:rsidR="00F83D38" w:rsidRPr="005A1F62" w14:paraId="25C4212E" w14:textId="77777777" w:rsidTr="00DF69DC">
        <w:tc>
          <w:tcPr>
            <w:tcW w:w="0" w:type="auto"/>
            <w:vMerge/>
            <w:vAlign w:val="center"/>
            <w:hideMark/>
          </w:tcPr>
          <w:p w14:paraId="5C3F1EBE" w14:textId="77777777" w:rsidR="00F83D38" w:rsidRPr="005A1F62" w:rsidRDefault="00F83D38" w:rsidP="00DC2FED">
            <w:pPr>
              <w:jc w:val="both"/>
            </w:pPr>
          </w:p>
        </w:tc>
        <w:tc>
          <w:tcPr>
            <w:tcW w:w="0" w:type="auto"/>
            <w:tcMar>
              <w:top w:w="0" w:type="dxa"/>
              <w:left w:w="108" w:type="dxa"/>
              <w:bottom w:w="0" w:type="dxa"/>
              <w:right w:w="108" w:type="dxa"/>
            </w:tcMar>
            <w:vAlign w:val="center"/>
            <w:hideMark/>
          </w:tcPr>
          <w:p w14:paraId="7C8B429A" w14:textId="77777777" w:rsidR="00F83D38" w:rsidRPr="005A1F62" w:rsidRDefault="00F83D38" w:rsidP="00DC2FED">
            <w:pPr>
              <w:jc w:val="both"/>
              <w:rPr>
                <w:color w:val="000000"/>
              </w:rPr>
            </w:pPr>
            <w:r w:rsidRPr="005A1F62">
              <w:rPr>
                <w:color w:val="000000"/>
                <w:lang w:val="en-US"/>
              </w:rPr>
              <w:t>ru</w:t>
            </w:r>
            <w:r w:rsidRPr="005A1F62">
              <w:rPr>
                <w:color w:val="000000"/>
              </w:rPr>
              <w:t>A</w:t>
            </w:r>
          </w:p>
        </w:tc>
        <w:tc>
          <w:tcPr>
            <w:tcW w:w="0" w:type="auto"/>
            <w:vMerge/>
            <w:vAlign w:val="center"/>
            <w:hideMark/>
          </w:tcPr>
          <w:p w14:paraId="0586F726" w14:textId="77777777" w:rsidR="00F83D38" w:rsidRPr="005A1F62" w:rsidRDefault="00F83D38" w:rsidP="00DC2FED">
            <w:pPr>
              <w:jc w:val="both"/>
            </w:pPr>
          </w:p>
        </w:tc>
      </w:tr>
      <w:tr w:rsidR="00F83D38" w:rsidRPr="005A1F62" w14:paraId="1AFC99DB" w14:textId="77777777" w:rsidTr="00DF69DC">
        <w:tc>
          <w:tcPr>
            <w:tcW w:w="0" w:type="auto"/>
            <w:vMerge/>
            <w:vAlign w:val="center"/>
            <w:hideMark/>
          </w:tcPr>
          <w:p w14:paraId="7039BA46" w14:textId="77777777" w:rsidR="00F83D38" w:rsidRPr="005A1F62" w:rsidRDefault="00F83D38" w:rsidP="00DC2FED">
            <w:pPr>
              <w:jc w:val="both"/>
              <w:rPr>
                <w:lang w:val="en-US"/>
              </w:rPr>
            </w:pPr>
          </w:p>
        </w:tc>
        <w:tc>
          <w:tcPr>
            <w:tcW w:w="0" w:type="auto"/>
            <w:tcMar>
              <w:top w:w="0" w:type="dxa"/>
              <w:left w:w="108" w:type="dxa"/>
              <w:bottom w:w="0" w:type="dxa"/>
              <w:right w:w="108" w:type="dxa"/>
            </w:tcMar>
            <w:vAlign w:val="center"/>
            <w:hideMark/>
          </w:tcPr>
          <w:p w14:paraId="71AC0417" w14:textId="77777777" w:rsidR="00F83D38" w:rsidRPr="005A1F62" w:rsidRDefault="00F83D38" w:rsidP="00DC2FED">
            <w:pPr>
              <w:jc w:val="both"/>
              <w:rPr>
                <w:color w:val="000000"/>
              </w:rPr>
            </w:pPr>
            <w:r w:rsidRPr="005A1F62">
              <w:rPr>
                <w:color w:val="000000"/>
                <w:lang w:val="en-US"/>
              </w:rPr>
              <w:t>ru</w:t>
            </w:r>
            <w:r w:rsidRPr="005A1F62">
              <w:rPr>
                <w:color w:val="000000"/>
              </w:rPr>
              <w:t>A-</w:t>
            </w:r>
          </w:p>
        </w:tc>
        <w:tc>
          <w:tcPr>
            <w:tcW w:w="0" w:type="auto"/>
            <w:vMerge/>
            <w:vAlign w:val="center"/>
            <w:hideMark/>
          </w:tcPr>
          <w:p w14:paraId="6F25DF83" w14:textId="77777777" w:rsidR="00F83D38" w:rsidRPr="005A1F62" w:rsidRDefault="00F83D38" w:rsidP="00DC2FED">
            <w:pPr>
              <w:jc w:val="both"/>
            </w:pPr>
          </w:p>
        </w:tc>
      </w:tr>
      <w:tr w:rsidR="00F83D38" w:rsidRPr="005A1F62" w14:paraId="115601C3" w14:textId="77777777" w:rsidTr="00DF69DC">
        <w:trPr>
          <w:trHeight w:val="521"/>
        </w:trPr>
        <w:tc>
          <w:tcPr>
            <w:tcW w:w="0" w:type="auto"/>
            <w:vMerge w:val="restart"/>
            <w:tcMar>
              <w:top w:w="0" w:type="dxa"/>
              <w:left w:w="108" w:type="dxa"/>
              <w:bottom w:w="0" w:type="dxa"/>
              <w:right w:w="108" w:type="dxa"/>
            </w:tcMar>
            <w:vAlign w:val="center"/>
            <w:hideMark/>
          </w:tcPr>
          <w:p w14:paraId="67A7245F" w14:textId="77777777" w:rsidR="00F83D38" w:rsidRPr="005A1F62" w:rsidRDefault="00F83D38" w:rsidP="00DC2FED">
            <w:pPr>
              <w:pStyle w:val="RAEXdefault"/>
              <w:rPr>
                <w:rFonts w:cs="Times New Roman"/>
                <w:szCs w:val="24"/>
              </w:rPr>
            </w:pPr>
            <w:r w:rsidRPr="005A1F62">
              <w:rPr>
                <w:rFonts w:cs="Times New Roman"/>
                <w:color w:val="000000"/>
                <w:szCs w:val="24"/>
              </w:rPr>
              <w:t>BBB</w:t>
            </w:r>
          </w:p>
        </w:tc>
        <w:tc>
          <w:tcPr>
            <w:tcW w:w="0" w:type="auto"/>
            <w:tcMar>
              <w:top w:w="0" w:type="dxa"/>
              <w:left w:w="108" w:type="dxa"/>
              <w:bottom w:w="0" w:type="dxa"/>
              <w:right w:w="108" w:type="dxa"/>
            </w:tcMar>
            <w:vAlign w:val="center"/>
            <w:hideMark/>
          </w:tcPr>
          <w:p w14:paraId="122B4B19" w14:textId="77777777" w:rsidR="00F83D38" w:rsidRPr="005A1F62" w:rsidRDefault="00F83D38" w:rsidP="00DC2FED">
            <w:pPr>
              <w:jc w:val="both"/>
              <w:rPr>
                <w:color w:val="000000"/>
              </w:rPr>
            </w:pPr>
            <w:r w:rsidRPr="005A1F62">
              <w:rPr>
                <w:color w:val="000000"/>
                <w:lang w:val="en-US"/>
              </w:rPr>
              <w:t>ru</w:t>
            </w:r>
            <w:r w:rsidRPr="005A1F62">
              <w:rPr>
                <w:color w:val="000000"/>
              </w:rPr>
              <w:t>BBB+</w:t>
            </w:r>
          </w:p>
        </w:tc>
        <w:tc>
          <w:tcPr>
            <w:tcW w:w="0" w:type="auto"/>
            <w:vMerge w:val="restart"/>
            <w:tcMar>
              <w:top w:w="0" w:type="dxa"/>
              <w:left w:w="108" w:type="dxa"/>
              <w:bottom w:w="0" w:type="dxa"/>
              <w:right w:w="108" w:type="dxa"/>
            </w:tcMar>
            <w:vAlign w:val="center"/>
            <w:hideMark/>
          </w:tcPr>
          <w:p w14:paraId="21ECB7DB" w14:textId="4911974D" w:rsidR="00F83D38" w:rsidRPr="005A1F62" w:rsidRDefault="00F83D38" w:rsidP="00DC2FED">
            <w:pPr>
              <w:pStyle w:val="RAEXdefault"/>
              <w:rPr>
                <w:rFonts w:cs="Times New Roman"/>
                <w:szCs w:val="24"/>
                <w:lang w:val="ru-RU"/>
              </w:rPr>
            </w:pPr>
            <w:r w:rsidRPr="005A1F62">
              <w:rPr>
                <w:rFonts w:cs="Times New Roman"/>
                <w:szCs w:val="24"/>
                <w:lang w:val="ru-RU"/>
              </w:rPr>
              <w:t>Умеренный уровень кредитоспособности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надежности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 xml:space="preserve">финансовой устойчивости по сравнению с другими объектами рейтинга в Российской Федерации, при этом присутствует более высокая чувствительность к воздействию негативных изменений экономической конъюнктуры, чем у объектов рейтинга в рейтинговой категории </w:t>
            </w:r>
            <w:r w:rsidRPr="005A1F62">
              <w:rPr>
                <w:rFonts w:cs="Times New Roman"/>
                <w:szCs w:val="24"/>
              </w:rPr>
              <w:t>A</w:t>
            </w:r>
          </w:p>
        </w:tc>
      </w:tr>
      <w:tr w:rsidR="00F83D38" w:rsidRPr="005A1F62" w14:paraId="57A14E88" w14:textId="77777777" w:rsidTr="00DF69DC">
        <w:trPr>
          <w:trHeight w:val="511"/>
        </w:trPr>
        <w:tc>
          <w:tcPr>
            <w:tcW w:w="0" w:type="auto"/>
            <w:vMerge/>
            <w:vAlign w:val="center"/>
            <w:hideMark/>
          </w:tcPr>
          <w:p w14:paraId="2B8E47F8" w14:textId="77777777" w:rsidR="00F83D38" w:rsidRPr="005A1F62" w:rsidRDefault="00F83D38" w:rsidP="00DC2FED">
            <w:pPr>
              <w:jc w:val="both"/>
            </w:pPr>
          </w:p>
        </w:tc>
        <w:tc>
          <w:tcPr>
            <w:tcW w:w="0" w:type="auto"/>
            <w:tcMar>
              <w:top w:w="0" w:type="dxa"/>
              <w:left w:w="108" w:type="dxa"/>
              <w:bottom w:w="0" w:type="dxa"/>
              <w:right w:w="108" w:type="dxa"/>
            </w:tcMar>
            <w:vAlign w:val="center"/>
            <w:hideMark/>
          </w:tcPr>
          <w:p w14:paraId="0C6BBC6E" w14:textId="77777777" w:rsidR="00F83D38" w:rsidRPr="005A1F62" w:rsidRDefault="00F83D38" w:rsidP="00DC2FED">
            <w:pPr>
              <w:jc w:val="both"/>
              <w:rPr>
                <w:color w:val="000000"/>
              </w:rPr>
            </w:pPr>
            <w:r w:rsidRPr="005A1F62">
              <w:rPr>
                <w:color w:val="000000"/>
                <w:lang w:val="en-US"/>
              </w:rPr>
              <w:t>ru</w:t>
            </w:r>
            <w:r w:rsidRPr="005A1F62">
              <w:rPr>
                <w:color w:val="000000"/>
              </w:rPr>
              <w:t>BBB</w:t>
            </w:r>
          </w:p>
        </w:tc>
        <w:tc>
          <w:tcPr>
            <w:tcW w:w="0" w:type="auto"/>
            <w:vMerge/>
            <w:vAlign w:val="center"/>
            <w:hideMark/>
          </w:tcPr>
          <w:p w14:paraId="1C287871" w14:textId="77777777" w:rsidR="00F83D38" w:rsidRPr="005A1F62" w:rsidRDefault="00F83D38" w:rsidP="00DC2FED">
            <w:pPr>
              <w:jc w:val="both"/>
            </w:pPr>
          </w:p>
        </w:tc>
      </w:tr>
      <w:tr w:rsidR="00F83D38" w:rsidRPr="005A1F62" w14:paraId="2FA20783" w14:textId="77777777" w:rsidTr="00DF69DC">
        <w:trPr>
          <w:trHeight w:val="126"/>
        </w:trPr>
        <w:tc>
          <w:tcPr>
            <w:tcW w:w="0" w:type="auto"/>
            <w:vMerge/>
            <w:vAlign w:val="center"/>
            <w:hideMark/>
          </w:tcPr>
          <w:p w14:paraId="624E9C2F" w14:textId="77777777" w:rsidR="00F83D38" w:rsidRPr="005A1F62" w:rsidRDefault="00F83D38" w:rsidP="00DC2FED">
            <w:pPr>
              <w:jc w:val="both"/>
            </w:pPr>
          </w:p>
        </w:tc>
        <w:tc>
          <w:tcPr>
            <w:tcW w:w="0" w:type="auto"/>
            <w:tcMar>
              <w:top w:w="0" w:type="dxa"/>
              <w:left w:w="108" w:type="dxa"/>
              <w:bottom w:w="0" w:type="dxa"/>
              <w:right w:w="108" w:type="dxa"/>
            </w:tcMar>
            <w:vAlign w:val="center"/>
            <w:hideMark/>
          </w:tcPr>
          <w:p w14:paraId="7CCA9CAC" w14:textId="77777777" w:rsidR="00F83D38" w:rsidRPr="005A1F62" w:rsidRDefault="00F83D38" w:rsidP="00DC2FED">
            <w:pPr>
              <w:jc w:val="both"/>
              <w:rPr>
                <w:color w:val="000000"/>
              </w:rPr>
            </w:pPr>
            <w:r w:rsidRPr="005A1F62">
              <w:rPr>
                <w:color w:val="000000"/>
                <w:lang w:val="en-US"/>
              </w:rPr>
              <w:t>ru</w:t>
            </w:r>
            <w:r w:rsidRPr="005A1F62">
              <w:rPr>
                <w:color w:val="000000"/>
              </w:rPr>
              <w:t>BBB-</w:t>
            </w:r>
          </w:p>
        </w:tc>
        <w:tc>
          <w:tcPr>
            <w:tcW w:w="0" w:type="auto"/>
            <w:vMerge/>
            <w:vAlign w:val="center"/>
            <w:hideMark/>
          </w:tcPr>
          <w:p w14:paraId="03E97E61" w14:textId="77777777" w:rsidR="00F83D38" w:rsidRPr="005A1F62" w:rsidRDefault="00F83D38" w:rsidP="00DC2FED">
            <w:pPr>
              <w:jc w:val="both"/>
            </w:pPr>
          </w:p>
        </w:tc>
      </w:tr>
      <w:tr w:rsidR="00F83D38" w:rsidRPr="005A1F62" w14:paraId="3548DE97" w14:textId="77777777" w:rsidTr="00DF69DC">
        <w:trPr>
          <w:trHeight w:val="403"/>
        </w:trPr>
        <w:tc>
          <w:tcPr>
            <w:tcW w:w="0" w:type="auto"/>
            <w:vMerge w:val="restart"/>
            <w:tcMar>
              <w:top w:w="0" w:type="dxa"/>
              <w:left w:w="108" w:type="dxa"/>
              <w:bottom w:w="0" w:type="dxa"/>
              <w:right w:w="108" w:type="dxa"/>
            </w:tcMar>
            <w:vAlign w:val="center"/>
            <w:hideMark/>
          </w:tcPr>
          <w:p w14:paraId="7606EFDF" w14:textId="77777777" w:rsidR="00F83D38" w:rsidRPr="005A1F62" w:rsidRDefault="00F83D38" w:rsidP="00DC2FED">
            <w:pPr>
              <w:pStyle w:val="RAEXdefault"/>
              <w:rPr>
                <w:rFonts w:cs="Times New Roman"/>
                <w:szCs w:val="24"/>
              </w:rPr>
            </w:pPr>
            <w:r w:rsidRPr="005A1F62">
              <w:rPr>
                <w:rFonts w:cs="Times New Roman"/>
                <w:color w:val="000000"/>
                <w:szCs w:val="24"/>
              </w:rPr>
              <w:t>BB</w:t>
            </w:r>
          </w:p>
        </w:tc>
        <w:tc>
          <w:tcPr>
            <w:tcW w:w="0" w:type="auto"/>
            <w:tcMar>
              <w:top w:w="0" w:type="dxa"/>
              <w:left w:w="108" w:type="dxa"/>
              <w:bottom w:w="0" w:type="dxa"/>
              <w:right w:w="108" w:type="dxa"/>
            </w:tcMar>
            <w:vAlign w:val="center"/>
            <w:hideMark/>
          </w:tcPr>
          <w:p w14:paraId="032D4290" w14:textId="77777777" w:rsidR="00F83D38" w:rsidRPr="005A1F62" w:rsidRDefault="00F83D38" w:rsidP="00DC2FED">
            <w:pPr>
              <w:jc w:val="both"/>
              <w:rPr>
                <w:color w:val="000000"/>
              </w:rPr>
            </w:pPr>
            <w:r w:rsidRPr="005A1F62">
              <w:rPr>
                <w:color w:val="000000"/>
                <w:lang w:val="en-US"/>
              </w:rPr>
              <w:t>ru</w:t>
            </w:r>
            <w:r w:rsidRPr="005A1F62">
              <w:rPr>
                <w:color w:val="000000"/>
              </w:rPr>
              <w:t>BB+</w:t>
            </w:r>
          </w:p>
        </w:tc>
        <w:tc>
          <w:tcPr>
            <w:tcW w:w="0" w:type="auto"/>
            <w:vMerge w:val="restart"/>
            <w:tcMar>
              <w:top w:w="0" w:type="dxa"/>
              <w:left w:w="108" w:type="dxa"/>
              <w:bottom w:w="0" w:type="dxa"/>
              <w:right w:w="108" w:type="dxa"/>
            </w:tcMar>
            <w:vAlign w:val="center"/>
            <w:hideMark/>
          </w:tcPr>
          <w:p w14:paraId="7A5F4E39" w14:textId="6619AB40" w:rsidR="00F83D38" w:rsidRPr="005A1F62" w:rsidRDefault="00F83D38" w:rsidP="00DC2FED">
            <w:pPr>
              <w:pStyle w:val="RAEXdefault"/>
              <w:rPr>
                <w:rFonts w:cs="Times New Roman"/>
                <w:szCs w:val="24"/>
                <w:lang w:val="ru-RU"/>
              </w:rPr>
            </w:pPr>
            <w:r w:rsidRPr="005A1F62">
              <w:rPr>
                <w:rFonts w:cs="Times New Roman"/>
                <w:szCs w:val="24"/>
                <w:lang w:val="ru-RU"/>
              </w:rPr>
              <w:t>Умеренно низкий уровень кредитоспособности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надежности</w:t>
            </w:r>
            <w:r w:rsidR="00A5717B" w:rsidRPr="005A1F62">
              <w:rPr>
                <w:rFonts w:cs="Times New Roman"/>
                <w:szCs w:val="24"/>
                <w:lang w:val="ru-RU"/>
              </w:rPr>
              <w:t xml:space="preserve"> </w:t>
            </w:r>
            <w:r w:rsidRPr="005A1F62">
              <w:rPr>
                <w:rFonts w:cs="Times New Roman"/>
                <w:szCs w:val="24"/>
                <w:lang w:val="ru-RU"/>
              </w:rPr>
              <w:t>/</w:t>
            </w:r>
            <w:r w:rsidR="00A5717B" w:rsidRPr="005A1F62">
              <w:rPr>
                <w:rFonts w:cs="Times New Roman"/>
                <w:szCs w:val="24"/>
                <w:lang w:val="ru-RU"/>
              </w:rPr>
              <w:t xml:space="preserve"> </w:t>
            </w:r>
            <w:r w:rsidRPr="005A1F62">
              <w:rPr>
                <w:rFonts w:cs="Times New Roman"/>
                <w:szCs w:val="24"/>
                <w:lang w:val="ru-RU"/>
              </w:rPr>
              <w:t>финансовой устойчивости по сравнению с другими объектами рейтинга в Российской Федерации. Присутствует высокая чувствительность к воздействию негативных изменений экономической конъюнктуры</w:t>
            </w:r>
          </w:p>
        </w:tc>
      </w:tr>
      <w:tr w:rsidR="00F83D38" w:rsidRPr="005A1F62" w14:paraId="07481603" w14:textId="77777777" w:rsidTr="00DF69DC">
        <w:trPr>
          <w:trHeight w:val="535"/>
        </w:trPr>
        <w:tc>
          <w:tcPr>
            <w:tcW w:w="0" w:type="auto"/>
            <w:vMerge/>
            <w:vAlign w:val="center"/>
            <w:hideMark/>
          </w:tcPr>
          <w:p w14:paraId="47901767" w14:textId="77777777" w:rsidR="00F83D38" w:rsidRPr="005A1F62" w:rsidRDefault="00F83D38" w:rsidP="00DC2FED">
            <w:pPr>
              <w:jc w:val="both"/>
            </w:pPr>
          </w:p>
        </w:tc>
        <w:tc>
          <w:tcPr>
            <w:tcW w:w="0" w:type="auto"/>
            <w:tcMar>
              <w:top w:w="0" w:type="dxa"/>
              <w:left w:w="108" w:type="dxa"/>
              <w:bottom w:w="0" w:type="dxa"/>
              <w:right w:w="108" w:type="dxa"/>
            </w:tcMar>
            <w:vAlign w:val="center"/>
            <w:hideMark/>
          </w:tcPr>
          <w:p w14:paraId="7DDEAE5E" w14:textId="77777777" w:rsidR="00F83D38" w:rsidRPr="005A1F62" w:rsidRDefault="00F83D38" w:rsidP="00DC2FED">
            <w:pPr>
              <w:jc w:val="both"/>
              <w:rPr>
                <w:color w:val="000000"/>
              </w:rPr>
            </w:pPr>
            <w:r w:rsidRPr="005A1F62">
              <w:rPr>
                <w:color w:val="000000"/>
                <w:lang w:val="en-US"/>
              </w:rPr>
              <w:t>ru</w:t>
            </w:r>
            <w:r w:rsidRPr="005A1F62">
              <w:rPr>
                <w:color w:val="000000"/>
              </w:rPr>
              <w:t>BB</w:t>
            </w:r>
          </w:p>
        </w:tc>
        <w:tc>
          <w:tcPr>
            <w:tcW w:w="0" w:type="auto"/>
            <w:vMerge/>
            <w:vAlign w:val="center"/>
            <w:hideMark/>
          </w:tcPr>
          <w:p w14:paraId="62D45830" w14:textId="77777777" w:rsidR="00F83D38" w:rsidRPr="005A1F62" w:rsidRDefault="00F83D38" w:rsidP="00DC2FED">
            <w:pPr>
              <w:jc w:val="both"/>
            </w:pPr>
          </w:p>
        </w:tc>
      </w:tr>
      <w:tr w:rsidR="00F83D38" w:rsidRPr="005A1F62" w14:paraId="38E5BEC8" w14:textId="77777777" w:rsidTr="00DF69DC">
        <w:tc>
          <w:tcPr>
            <w:tcW w:w="0" w:type="auto"/>
            <w:vMerge/>
            <w:vAlign w:val="center"/>
            <w:hideMark/>
          </w:tcPr>
          <w:p w14:paraId="73812C21" w14:textId="77777777" w:rsidR="00F83D38" w:rsidRPr="005A1F62" w:rsidRDefault="00F83D38" w:rsidP="00DC2FED">
            <w:pPr>
              <w:jc w:val="both"/>
              <w:rPr>
                <w:lang w:val="en-US"/>
              </w:rPr>
            </w:pPr>
          </w:p>
        </w:tc>
        <w:tc>
          <w:tcPr>
            <w:tcW w:w="0" w:type="auto"/>
            <w:tcMar>
              <w:top w:w="0" w:type="dxa"/>
              <w:left w:w="108" w:type="dxa"/>
              <w:bottom w:w="0" w:type="dxa"/>
              <w:right w:w="108" w:type="dxa"/>
            </w:tcMar>
            <w:vAlign w:val="center"/>
            <w:hideMark/>
          </w:tcPr>
          <w:p w14:paraId="3D86F349" w14:textId="77777777" w:rsidR="00F83D38" w:rsidRPr="005A1F62" w:rsidRDefault="00F83D38" w:rsidP="00DC2FED">
            <w:pPr>
              <w:jc w:val="both"/>
              <w:rPr>
                <w:color w:val="000000"/>
              </w:rPr>
            </w:pPr>
            <w:r w:rsidRPr="005A1F62">
              <w:rPr>
                <w:color w:val="000000"/>
                <w:lang w:val="en-US"/>
              </w:rPr>
              <w:t>ru</w:t>
            </w:r>
            <w:r w:rsidRPr="005A1F62">
              <w:rPr>
                <w:color w:val="000000"/>
              </w:rPr>
              <w:t>BB-</w:t>
            </w:r>
          </w:p>
        </w:tc>
        <w:tc>
          <w:tcPr>
            <w:tcW w:w="0" w:type="auto"/>
            <w:vMerge/>
            <w:vAlign w:val="center"/>
            <w:hideMark/>
          </w:tcPr>
          <w:p w14:paraId="7D3016C0" w14:textId="77777777" w:rsidR="00F83D38" w:rsidRPr="005A1F62" w:rsidRDefault="00F83D38" w:rsidP="00DC2FED">
            <w:pPr>
              <w:jc w:val="both"/>
            </w:pPr>
          </w:p>
        </w:tc>
      </w:tr>
      <w:tr w:rsidR="00F83D38" w:rsidRPr="005A1F62" w14:paraId="1B7F08D9" w14:textId="77777777" w:rsidTr="00DF69DC">
        <w:trPr>
          <w:trHeight w:val="565"/>
        </w:trPr>
        <w:tc>
          <w:tcPr>
            <w:tcW w:w="0" w:type="auto"/>
            <w:vMerge w:val="restart"/>
            <w:tcMar>
              <w:top w:w="0" w:type="dxa"/>
              <w:left w:w="108" w:type="dxa"/>
              <w:bottom w:w="0" w:type="dxa"/>
              <w:right w:w="108" w:type="dxa"/>
            </w:tcMar>
            <w:vAlign w:val="center"/>
            <w:hideMark/>
          </w:tcPr>
          <w:p w14:paraId="60D4E262" w14:textId="77777777" w:rsidR="00F83D38" w:rsidRPr="005A1F62" w:rsidRDefault="00F83D38" w:rsidP="00DC2FED">
            <w:pPr>
              <w:pStyle w:val="RAEXdefault"/>
              <w:rPr>
                <w:rFonts w:cs="Times New Roman"/>
                <w:szCs w:val="24"/>
              </w:rPr>
            </w:pPr>
            <w:r w:rsidRPr="005A1F62">
              <w:rPr>
                <w:rFonts w:cs="Times New Roman"/>
                <w:color w:val="000000"/>
                <w:szCs w:val="24"/>
              </w:rPr>
              <w:t>B</w:t>
            </w:r>
          </w:p>
        </w:tc>
        <w:tc>
          <w:tcPr>
            <w:tcW w:w="0" w:type="auto"/>
            <w:tcMar>
              <w:top w:w="0" w:type="dxa"/>
              <w:left w:w="108" w:type="dxa"/>
              <w:bottom w:w="0" w:type="dxa"/>
              <w:right w:w="108" w:type="dxa"/>
            </w:tcMar>
            <w:vAlign w:val="center"/>
            <w:hideMark/>
          </w:tcPr>
          <w:p w14:paraId="61FDC0BC" w14:textId="77777777" w:rsidR="00F83D38" w:rsidRPr="005A1F62" w:rsidRDefault="00F83D38" w:rsidP="00DC2FED">
            <w:pPr>
              <w:jc w:val="both"/>
              <w:rPr>
                <w:color w:val="000000"/>
              </w:rPr>
            </w:pPr>
            <w:r w:rsidRPr="005A1F62">
              <w:rPr>
                <w:color w:val="000000"/>
                <w:lang w:val="en-US"/>
              </w:rPr>
              <w:t>ru</w:t>
            </w:r>
            <w:r w:rsidRPr="005A1F62">
              <w:rPr>
                <w:color w:val="000000"/>
              </w:rPr>
              <w:t>B+</w:t>
            </w:r>
          </w:p>
        </w:tc>
        <w:tc>
          <w:tcPr>
            <w:tcW w:w="0" w:type="auto"/>
            <w:vMerge w:val="restart"/>
            <w:tcMar>
              <w:top w:w="0" w:type="dxa"/>
              <w:left w:w="108" w:type="dxa"/>
              <w:bottom w:w="0" w:type="dxa"/>
              <w:right w:w="108" w:type="dxa"/>
            </w:tcMar>
            <w:vAlign w:val="center"/>
            <w:hideMark/>
          </w:tcPr>
          <w:p w14:paraId="5ED7E528" w14:textId="2FA9C1BF" w:rsidR="00F83D38" w:rsidRPr="005A1F62" w:rsidRDefault="00F83D38" w:rsidP="00DC2FED">
            <w:pPr>
              <w:pStyle w:val="Default"/>
              <w:jc w:val="both"/>
              <w:rPr>
                <w:rFonts w:ascii="Times New Roman" w:hAnsi="Times New Roman" w:cs="Times New Roman"/>
              </w:rPr>
            </w:pPr>
            <w:r w:rsidRPr="005A1F62">
              <w:rPr>
                <w:rFonts w:ascii="Times New Roman" w:hAnsi="Times New Roman" w:cs="Times New Roman"/>
              </w:rPr>
              <w:t>Низкий уровень кредитоспособности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надежности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устойчивости по сравнению с другими объектами рейтинга в Российской Федерации. В настоящее время сохраняется возможность исполнения финансовых обязательств в срок и в полном объеме, однако при этом запас прочности ограничен. Способность выполнять обязательства является уязвимой в случае ухудшения экономической конъюнктуры</w:t>
            </w:r>
          </w:p>
        </w:tc>
      </w:tr>
      <w:tr w:rsidR="00F83D38" w:rsidRPr="005A1F62" w14:paraId="44D00A6A" w14:textId="77777777" w:rsidTr="00DF69DC">
        <w:trPr>
          <w:trHeight w:val="697"/>
        </w:trPr>
        <w:tc>
          <w:tcPr>
            <w:tcW w:w="0" w:type="auto"/>
            <w:vMerge/>
            <w:vAlign w:val="center"/>
            <w:hideMark/>
          </w:tcPr>
          <w:p w14:paraId="73833416" w14:textId="77777777" w:rsidR="00F83D38" w:rsidRPr="005A1F62" w:rsidRDefault="00F83D38" w:rsidP="00DC2FED">
            <w:pPr>
              <w:jc w:val="both"/>
            </w:pPr>
          </w:p>
        </w:tc>
        <w:tc>
          <w:tcPr>
            <w:tcW w:w="0" w:type="auto"/>
            <w:tcMar>
              <w:top w:w="0" w:type="dxa"/>
              <w:left w:w="108" w:type="dxa"/>
              <w:bottom w:w="0" w:type="dxa"/>
              <w:right w:w="108" w:type="dxa"/>
            </w:tcMar>
            <w:vAlign w:val="center"/>
            <w:hideMark/>
          </w:tcPr>
          <w:p w14:paraId="0B72263C" w14:textId="77777777" w:rsidR="00F83D38" w:rsidRPr="005A1F62" w:rsidRDefault="00F83D38" w:rsidP="00DC2FED">
            <w:pPr>
              <w:jc w:val="both"/>
              <w:rPr>
                <w:color w:val="000000"/>
              </w:rPr>
            </w:pPr>
            <w:r w:rsidRPr="005A1F62">
              <w:rPr>
                <w:color w:val="000000"/>
                <w:lang w:val="en-US"/>
              </w:rPr>
              <w:t>ru</w:t>
            </w:r>
            <w:r w:rsidRPr="005A1F62">
              <w:rPr>
                <w:color w:val="000000"/>
              </w:rPr>
              <w:t>B</w:t>
            </w:r>
          </w:p>
        </w:tc>
        <w:tc>
          <w:tcPr>
            <w:tcW w:w="0" w:type="auto"/>
            <w:vMerge/>
            <w:vAlign w:val="center"/>
            <w:hideMark/>
          </w:tcPr>
          <w:p w14:paraId="35317130" w14:textId="77777777" w:rsidR="00F83D38" w:rsidRPr="005A1F62" w:rsidRDefault="00F83D38" w:rsidP="00DC2FED">
            <w:pPr>
              <w:jc w:val="both"/>
              <w:rPr>
                <w:color w:val="000000"/>
              </w:rPr>
            </w:pPr>
          </w:p>
        </w:tc>
      </w:tr>
      <w:tr w:rsidR="00F83D38" w:rsidRPr="005A1F62" w14:paraId="12210E67" w14:textId="77777777" w:rsidTr="00DF69DC">
        <w:tc>
          <w:tcPr>
            <w:tcW w:w="0" w:type="auto"/>
            <w:vMerge/>
            <w:vAlign w:val="center"/>
            <w:hideMark/>
          </w:tcPr>
          <w:p w14:paraId="7C2C6563" w14:textId="77777777" w:rsidR="00F83D38" w:rsidRPr="005A1F62" w:rsidRDefault="00F83D38" w:rsidP="00DC2FED">
            <w:pPr>
              <w:jc w:val="both"/>
              <w:rPr>
                <w:lang w:val="en-US"/>
              </w:rPr>
            </w:pPr>
          </w:p>
        </w:tc>
        <w:tc>
          <w:tcPr>
            <w:tcW w:w="0" w:type="auto"/>
            <w:tcMar>
              <w:top w:w="0" w:type="dxa"/>
              <w:left w:w="108" w:type="dxa"/>
              <w:bottom w:w="0" w:type="dxa"/>
              <w:right w:w="108" w:type="dxa"/>
            </w:tcMar>
            <w:vAlign w:val="center"/>
            <w:hideMark/>
          </w:tcPr>
          <w:p w14:paraId="4E3A81D9" w14:textId="77777777" w:rsidR="00F83D38" w:rsidRPr="005A1F62" w:rsidRDefault="00F83D38" w:rsidP="00DC2FED">
            <w:pPr>
              <w:jc w:val="both"/>
              <w:rPr>
                <w:color w:val="000000"/>
              </w:rPr>
            </w:pPr>
            <w:r w:rsidRPr="005A1F62">
              <w:rPr>
                <w:color w:val="000000"/>
                <w:lang w:val="en-US"/>
              </w:rPr>
              <w:t>ru</w:t>
            </w:r>
            <w:r w:rsidRPr="005A1F62">
              <w:rPr>
                <w:color w:val="000000"/>
              </w:rPr>
              <w:t>B-</w:t>
            </w:r>
          </w:p>
        </w:tc>
        <w:tc>
          <w:tcPr>
            <w:tcW w:w="0" w:type="auto"/>
            <w:vMerge/>
            <w:vAlign w:val="center"/>
            <w:hideMark/>
          </w:tcPr>
          <w:p w14:paraId="3594377A" w14:textId="77777777" w:rsidR="00F83D38" w:rsidRPr="005A1F62" w:rsidRDefault="00F83D38" w:rsidP="00DC2FED">
            <w:pPr>
              <w:jc w:val="both"/>
              <w:rPr>
                <w:color w:val="000000"/>
              </w:rPr>
            </w:pPr>
          </w:p>
        </w:tc>
      </w:tr>
      <w:tr w:rsidR="00F83D38" w:rsidRPr="005A1F62" w14:paraId="37F2E07B" w14:textId="77777777" w:rsidTr="00DF69DC">
        <w:tc>
          <w:tcPr>
            <w:tcW w:w="0" w:type="auto"/>
            <w:tcMar>
              <w:top w:w="0" w:type="dxa"/>
              <w:left w:w="108" w:type="dxa"/>
              <w:bottom w:w="0" w:type="dxa"/>
              <w:right w:w="108" w:type="dxa"/>
            </w:tcMar>
            <w:vAlign w:val="center"/>
            <w:hideMark/>
          </w:tcPr>
          <w:p w14:paraId="1932390C" w14:textId="77777777" w:rsidR="00F83D38" w:rsidRPr="005A1F62" w:rsidRDefault="00F83D38" w:rsidP="00DC2FED">
            <w:pPr>
              <w:pStyle w:val="RAEXdefault"/>
              <w:rPr>
                <w:rFonts w:cs="Times New Roman"/>
                <w:szCs w:val="24"/>
              </w:rPr>
            </w:pPr>
            <w:r w:rsidRPr="005A1F62">
              <w:rPr>
                <w:rFonts w:cs="Times New Roman"/>
                <w:color w:val="000000"/>
                <w:szCs w:val="24"/>
              </w:rPr>
              <w:t>CCC</w:t>
            </w:r>
          </w:p>
        </w:tc>
        <w:tc>
          <w:tcPr>
            <w:tcW w:w="0" w:type="auto"/>
            <w:tcMar>
              <w:top w:w="0" w:type="dxa"/>
              <w:left w:w="108" w:type="dxa"/>
              <w:bottom w:w="0" w:type="dxa"/>
              <w:right w:w="108" w:type="dxa"/>
            </w:tcMar>
            <w:vAlign w:val="center"/>
            <w:hideMark/>
          </w:tcPr>
          <w:p w14:paraId="36C33A9B" w14:textId="77777777" w:rsidR="00F83D38" w:rsidRPr="005A1F62" w:rsidRDefault="00F83D38" w:rsidP="00DC2FED">
            <w:pPr>
              <w:jc w:val="both"/>
              <w:rPr>
                <w:color w:val="000000"/>
              </w:rPr>
            </w:pPr>
            <w:r w:rsidRPr="005A1F62">
              <w:rPr>
                <w:color w:val="000000"/>
                <w:lang w:val="en-US"/>
              </w:rPr>
              <w:t>ru</w:t>
            </w:r>
            <w:r w:rsidRPr="005A1F62">
              <w:rPr>
                <w:color w:val="000000"/>
              </w:rPr>
              <w:t>CCC</w:t>
            </w:r>
          </w:p>
        </w:tc>
        <w:tc>
          <w:tcPr>
            <w:tcW w:w="0" w:type="auto"/>
            <w:tcMar>
              <w:top w:w="0" w:type="dxa"/>
              <w:left w:w="108" w:type="dxa"/>
              <w:bottom w:w="0" w:type="dxa"/>
              <w:right w:w="108" w:type="dxa"/>
            </w:tcMar>
            <w:vAlign w:val="center"/>
            <w:hideMark/>
          </w:tcPr>
          <w:p w14:paraId="7AAC1D74" w14:textId="32FDBEE5" w:rsidR="00F83D38" w:rsidRPr="005A1F62" w:rsidRDefault="00F83D38" w:rsidP="00DC2FED">
            <w:pPr>
              <w:pStyle w:val="Default"/>
              <w:jc w:val="both"/>
              <w:rPr>
                <w:rFonts w:ascii="Times New Roman" w:hAnsi="Times New Roman" w:cs="Times New Roman"/>
              </w:rPr>
            </w:pPr>
            <w:r w:rsidRPr="005A1F62">
              <w:rPr>
                <w:rFonts w:ascii="Times New Roman" w:hAnsi="Times New Roman" w:cs="Times New Roman"/>
              </w:rPr>
              <w:t>Очень низкий уровень кредитоспособности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надежности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устойчивости по сравнению с другими объектами рейтинга в Российской Федерации. Существует значительная вероятность невыполнения объектом рейтинга своих финансовых обязательств уже в краткосрочной перспективе</w:t>
            </w:r>
          </w:p>
        </w:tc>
      </w:tr>
      <w:tr w:rsidR="00F83D38" w:rsidRPr="005A1F62" w14:paraId="26DB3D43" w14:textId="77777777" w:rsidTr="00DF69DC">
        <w:tc>
          <w:tcPr>
            <w:tcW w:w="0" w:type="auto"/>
            <w:tcMar>
              <w:top w:w="0" w:type="dxa"/>
              <w:left w:w="108" w:type="dxa"/>
              <w:bottom w:w="0" w:type="dxa"/>
              <w:right w:w="108" w:type="dxa"/>
            </w:tcMar>
            <w:vAlign w:val="center"/>
            <w:hideMark/>
          </w:tcPr>
          <w:p w14:paraId="7B9A938A" w14:textId="77777777" w:rsidR="00F83D38" w:rsidRPr="005A1F62" w:rsidRDefault="00F83D38" w:rsidP="00DC2FED">
            <w:pPr>
              <w:pStyle w:val="RAEXdefault"/>
              <w:rPr>
                <w:rFonts w:cs="Times New Roman"/>
                <w:szCs w:val="24"/>
              </w:rPr>
            </w:pPr>
            <w:r w:rsidRPr="005A1F62">
              <w:rPr>
                <w:rFonts w:cs="Times New Roman"/>
                <w:color w:val="000000"/>
                <w:szCs w:val="24"/>
              </w:rPr>
              <w:t>CC</w:t>
            </w:r>
          </w:p>
        </w:tc>
        <w:tc>
          <w:tcPr>
            <w:tcW w:w="0" w:type="auto"/>
            <w:tcMar>
              <w:top w:w="0" w:type="dxa"/>
              <w:left w:w="108" w:type="dxa"/>
              <w:bottom w:w="0" w:type="dxa"/>
              <w:right w:w="108" w:type="dxa"/>
            </w:tcMar>
            <w:vAlign w:val="center"/>
            <w:hideMark/>
          </w:tcPr>
          <w:p w14:paraId="741B128F" w14:textId="77777777" w:rsidR="00F83D38" w:rsidRPr="005A1F62" w:rsidRDefault="00F83D38" w:rsidP="00DC2FED">
            <w:pPr>
              <w:jc w:val="both"/>
              <w:rPr>
                <w:color w:val="000000"/>
              </w:rPr>
            </w:pPr>
            <w:r w:rsidRPr="005A1F62">
              <w:rPr>
                <w:color w:val="000000"/>
                <w:lang w:val="en-US"/>
              </w:rPr>
              <w:t>ru</w:t>
            </w:r>
            <w:r w:rsidRPr="005A1F62">
              <w:rPr>
                <w:color w:val="000000"/>
              </w:rPr>
              <w:t>CC</w:t>
            </w:r>
          </w:p>
        </w:tc>
        <w:tc>
          <w:tcPr>
            <w:tcW w:w="0" w:type="auto"/>
            <w:tcMar>
              <w:top w:w="0" w:type="dxa"/>
              <w:left w:w="108" w:type="dxa"/>
              <w:bottom w:w="0" w:type="dxa"/>
              <w:right w:w="108" w:type="dxa"/>
            </w:tcMar>
            <w:vAlign w:val="center"/>
            <w:hideMark/>
          </w:tcPr>
          <w:p w14:paraId="4DA3FAD9" w14:textId="1A88DBF5" w:rsidR="00F83D38" w:rsidRPr="005A1F62" w:rsidRDefault="00F83D38" w:rsidP="00DC2FED">
            <w:pPr>
              <w:pStyle w:val="Default"/>
              <w:jc w:val="both"/>
              <w:rPr>
                <w:rFonts w:ascii="Times New Roman" w:hAnsi="Times New Roman" w:cs="Times New Roman"/>
              </w:rPr>
            </w:pPr>
            <w:r w:rsidRPr="005A1F62">
              <w:rPr>
                <w:rFonts w:ascii="Times New Roman" w:hAnsi="Times New Roman" w:cs="Times New Roman"/>
              </w:rPr>
              <w:t>Очень низкий уровень кредитоспособности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надежности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устойчивости по сравнению с другими объектами рейтинга в Российской Федерации. Существует повышенная вероятность невыполнения объектом рейтинга своих финансовых обязательств уже в краткосрочной перспективе</w:t>
            </w:r>
          </w:p>
        </w:tc>
      </w:tr>
      <w:tr w:rsidR="00F83D38" w:rsidRPr="005A1F62" w14:paraId="6EE9951C" w14:textId="77777777" w:rsidTr="00DF69DC">
        <w:tc>
          <w:tcPr>
            <w:tcW w:w="0" w:type="auto"/>
            <w:tcMar>
              <w:top w:w="0" w:type="dxa"/>
              <w:left w:w="108" w:type="dxa"/>
              <w:bottom w:w="0" w:type="dxa"/>
              <w:right w:w="108" w:type="dxa"/>
            </w:tcMar>
            <w:vAlign w:val="center"/>
            <w:hideMark/>
          </w:tcPr>
          <w:p w14:paraId="43C9F26E" w14:textId="77777777" w:rsidR="00F83D38" w:rsidRPr="005A1F62" w:rsidRDefault="00F83D38" w:rsidP="00DC2FED">
            <w:pPr>
              <w:pStyle w:val="RAEXdefault"/>
              <w:rPr>
                <w:rFonts w:cs="Times New Roman"/>
                <w:szCs w:val="24"/>
              </w:rPr>
            </w:pPr>
            <w:r w:rsidRPr="005A1F62">
              <w:rPr>
                <w:rFonts w:cs="Times New Roman"/>
                <w:color w:val="000000"/>
                <w:szCs w:val="24"/>
              </w:rPr>
              <w:t>C</w:t>
            </w:r>
          </w:p>
        </w:tc>
        <w:tc>
          <w:tcPr>
            <w:tcW w:w="0" w:type="auto"/>
            <w:tcMar>
              <w:top w:w="0" w:type="dxa"/>
              <w:left w:w="108" w:type="dxa"/>
              <w:bottom w:w="0" w:type="dxa"/>
              <w:right w:w="108" w:type="dxa"/>
            </w:tcMar>
            <w:vAlign w:val="center"/>
            <w:hideMark/>
          </w:tcPr>
          <w:p w14:paraId="35663D8E" w14:textId="77777777" w:rsidR="00F83D38" w:rsidRPr="005A1F62" w:rsidRDefault="00F83D38" w:rsidP="00DC2FED">
            <w:pPr>
              <w:jc w:val="both"/>
              <w:rPr>
                <w:color w:val="000000"/>
              </w:rPr>
            </w:pPr>
            <w:r w:rsidRPr="005A1F62">
              <w:rPr>
                <w:color w:val="000000"/>
                <w:lang w:val="en-US"/>
              </w:rPr>
              <w:t>ru</w:t>
            </w:r>
            <w:r w:rsidRPr="005A1F62">
              <w:rPr>
                <w:color w:val="000000"/>
              </w:rPr>
              <w:t>C</w:t>
            </w:r>
          </w:p>
        </w:tc>
        <w:tc>
          <w:tcPr>
            <w:tcW w:w="0" w:type="auto"/>
            <w:tcMar>
              <w:top w:w="0" w:type="dxa"/>
              <w:left w:w="108" w:type="dxa"/>
              <w:bottom w:w="0" w:type="dxa"/>
              <w:right w:w="108" w:type="dxa"/>
            </w:tcMar>
            <w:vAlign w:val="center"/>
            <w:hideMark/>
          </w:tcPr>
          <w:p w14:paraId="2E543107" w14:textId="6F363EAC" w:rsidR="00F83D38" w:rsidRPr="005A1F62" w:rsidRDefault="00F83D38" w:rsidP="00DC2FED">
            <w:pPr>
              <w:pStyle w:val="Default"/>
              <w:jc w:val="both"/>
              <w:rPr>
                <w:rFonts w:ascii="Times New Roman" w:hAnsi="Times New Roman" w:cs="Times New Roman"/>
              </w:rPr>
            </w:pPr>
            <w:r w:rsidRPr="005A1F62">
              <w:rPr>
                <w:rFonts w:ascii="Times New Roman" w:hAnsi="Times New Roman" w:cs="Times New Roman"/>
              </w:rPr>
              <w:t>Очень низкий уровень кредитоспособности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надежности</w:t>
            </w:r>
            <w:r w:rsidR="00A5717B" w:rsidRPr="005A1F62">
              <w:rPr>
                <w:rFonts w:ascii="Times New Roman" w:hAnsi="Times New Roman" w:cs="Times New Roman"/>
              </w:rPr>
              <w:t xml:space="preserve"> </w:t>
            </w:r>
            <w:r w:rsidRPr="005A1F62">
              <w:rPr>
                <w:rFonts w:ascii="Times New Roman" w:hAnsi="Times New Roman" w:cs="Times New Roman"/>
              </w:rPr>
              <w:t>/</w:t>
            </w:r>
            <w:r w:rsidR="00A5717B" w:rsidRPr="005A1F62">
              <w:rPr>
                <w:rFonts w:ascii="Times New Roman" w:hAnsi="Times New Roman" w:cs="Times New Roman"/>
              </w:rPr>
              <w:t xml:space="preserve"> </w:t>
            </w:r>
            <w:r w:rsidRPr="005A1F62">
              <w:rPr>
                <w:rFonts w:ascii="Times New Roman" w:hAnsi="Times New Roman" w:cs="Times New Roman"/>
              </w:rPr>
              <w:t>финансовой устойчивости по сравнению с другими объектами рейтинга в Российской Федерации. Существует очень высокая вероятность невыполнения объектом рейтинга своих финансовых обязательств уже в краткосрочной перспективе. Своевременное выполнение финансовых обязательств крайне маловероятно</w:t>
            </w:r>
          </w:p>
        </w:tc>
      </w:tr>
      <w:tr w:rsidR="00F83D38" w:rsidRPr="005A1F62" w14:paraId="68452269" w14:textId="77777777" w:rsidTr="00DF69DC">
        <w:tc>
          <w:tcPr>
            <w:tcW w:w="0" w:type="auto"/>
            <w:tcMar>
              <w:top w:w="0" w:type="dxa"/>
              <w:left w:w="108" w:type="dxa"/>
              <w:bottom w:w="0" w:type="dxa"/>
              <w:right w:w="108" w:type="dxa"/>
            </w:tcMar>
            <w:vAlign w:val="center"/>
            <w:hideMark/>
          </w:tcPr>
          <w:p w14:paraId="120A3C86" w14:textId="77777777" w:rsidR="00F83D38" w:rsidRPr="005A1F62" w:rsidRDefault="00F83D38" w:rsidP="00DC2FED">
            <w:pPr>
              <w:pStyle w:val="RAEXdefault"/>
              <w:rPr>
                <w:rFonts w:cs="Times New Roman"/>
                <w:szCs w:val="24"/>
              </w:rPr>
            </w:pPr>
            <w:r w:rsidRPr="005A1F62">
              <w:rPr>
                <w:rFonts w:cs="Times New Roman"/>
                <w:color w:val="000000"/>
                <w:szCs w:val="24"/>
              </w:rPr>
              <w:t>RD</w:t>
            </w:r>
          </w:p>
        </w:tc>
        <w:tc>
          <w:tcPr>
            <w:tcW w:w="0" w:type="auto"/>
            <w:tcMar>
              <w:top w:w="0" w:type="dxa"/>
              <w:left w:w="108" w:type="dxa"/>
              <w:bottom w:w="0" w:type="dxa"/>
              <w:right w:w="108" w:type="dxa"/>
            </w:tcMar>
            <w:vAlign w:val="center"/>
            <w:hideMark/>
          </w:tcPr>
          <w:p w14:paraId="2DC0A324" w14:textId="77777777" w:rsidR="00F83D38" w:rsidRPr="005A1F62" w:rsidRDefault="00F83D38" w:rsidP="00DC2FED">
            <w:pPr>
              <w:jc w:val="both"/>
              <w:rPr>
                <w:color w:val="000000"/>
              </w:rPr>
            </w:pPr>
            <w:r w:rsidRPr="005A1F62">
              <w:rPr>
                <w:color w:val="000000"/>
                <w:lang w:val="en-US"/>
              </w:rPr>
              <w:t>ru</w:t>
            </w:r>
            <w:r w:rsidRPr="005A1F62">
              <w:rPr>
                <w:color w:val="000000"/>
              </w:rPr>
              <w:t>RD</w:t>
            </w:r>
          </w:p>
        </w:tc>
        <w:tc>
          <w:tcPr>
            <w:tcW w:w="0" w:type="auto"/>
            <w:tcMar>
              <w:top w:w="0" w:type="dxa"/>
              <w:left w:w="108" w:type="dxa"/>
              <w:bottom w:w="0" w:type="dxa"/>
              <w:right w:w="108" w:type="dxa"/>
            </w:tcMar>
            <w:vAlign w:val="center"/>
            <w:hideMark/>
          </w:tcPr>
          <w:p w14:paraId="523F7A56" w14:textId="32E3CCDF" w:rsidR="00F83D38" w:rsidRPr="005A1F62" w:rsidRDefault="00F83D38" w:rsidP="00DC2FED">
            <w:pPr>
              <w:pStyle w:val="Default"/>
              <w:jc w:val="both"/>
              <w:rPr>
                <w:rFonts w:ascii="Times New Roman" w:hAnsi="Times New Roman" w:cs="Times New Roman"/>
              </w:rPr>
            </w:pPr>
            <w:r w:rsidRPr="005A1F62">
              <w:rPr>
                <w:rFonts w:ascii="Times New Roman" w:hAnsi="Times New Roman" w:cs="Times New Roman"/>
              </w:rPr>
              <w:t>Объект рейтинга находится под надзором органов государственного регулирования, которые могут определять приоритетность одних обязательств перед другими. При этом дефолт Агентством не зафиксирован</w:t>
            </w:r>
          </w:p>
        </w:tc>
      </w:tr>
      <w:tr w:rsidR="00F83D38" w:rsidRPr="005A1F62" w14:paraId="1D001F32" w14:textId="77777777" w:rsidTr="00DF69DC">
        <w:tc>
          <w:tcPr>
            <w:tcW w:w="0" w:type="auto"/>
            <w:tcMar>
              <w:top w:w="0" w:type="dxa"/>
              <w:left w:w="108" w:type="dxa"/>
              <w:bottom w:w="0" w:type="dxa"/>
              <w:right w:w="108" w:type="dxa"/>
            </w:tcMar>
            <w:vAlign w:val="center"/>
            <w:hideMark/>
          </w:tcPr>
          <w:p w14:paraId="3F4608EF" w14:textId="77777777" w:rsidR="00F83D38" w:rsidRPr="005A1F62" w:rsidRDefault="00F83D38" w:rsidP="00DC2FED">
            <w:pPr>
              <w:pStyle w:val="RAEXdefault"/>
              <w:rPr>
                <w:rFonts w:cs="Times New Roman"/>
                <w:szCs w:val="24"/>
              </w:rPr>
            </w:pPr>
            <w:r w:rsidRPr="005A1F62">
              <w:rPr>
                <w:rFonts w:cs="Times New Roman"/>
                <w:color w:val="000000"/>
                <w:szCs w:val="24"/>
              </w:rPr>
              <w:t>D</w:t>
            </w:r>
          </w:p>
        </w:tc>
        <w:tc>
          <w:tcPr>
            <w:tcW w:w="0" w:type="auto"/>
            <w:tcMar>
              <w:top w:w="0" w:type="dxa"/>
              <w:left w:w="108" w:type="dxa"/>
              <w:bottom w:w="0" w:type="dxa"/>
              <w:right w:w="108" w:type="dxa"/>
            </w:tcMar>
            <w:vAlign w:val="center"/>
            <w:hideMark/>
          </w:tcPr>
          <w:p w14:paraId="7CD19D26" w14:textId="77777777" w:rsidR="00F83D38" w:rsidRPr="005A1F62" w:rsidRDefault="00F83D38" w:rsidP="00DC2FED">
            <w:pPr>
              <w:jc w:val="both"/>
              <w:rPr>
                <w:color w:val="000000"/>
              </w:rPr>
            </w:pPr>
            <w:r w:rsidRPr="005A1F62">
              <w:rPr>
                <w:color w:val="000000"/>
                <w:lang w:val="en-US"/>
              </w:rPr>
              <w:t>ru</w:t>
            </w:r>
            <w:r w:rsidRPr="005A1F62">
              <w:rPr>
                <w:color w:val="000000"/>
              </w:rPr>
              <w:t>D</w:t>
            </w:r>
          </w:p>
        </w:tc>
        <w:tc>
          <w:tcPr>
            <w:tcW w:w="0" w:type="auto"/>
            <w:tcMar>
              <w:top w:w="0" w:type="dxa"/>
              <w:left w:w="108" w:type="dxa"/>
              <w:bottom w:w="0" w:type="dxa"/>
              <w:right w:w="108" w:type="dxa"/>
            </w:tcMar>
            <w:vAlign w:val="center"/>
            <w:hideMark/>
          </w:tcPr>
          <w:p w14:paraId="1086C354" w14:textId="63D5106E" w:rsidR="00F83D38" w:rsidRPr="005A1F62" w:rsidRDefault="00F83D38" w:rsidP="00DC2FED">
            <w:pPr>
              <w:pStyle w:val="Default"/>
              <w:jc w:val="both"/>
              <w:rPr>
                <w:rFonts w:ascii="Times New Roman" w:hAnsi="Times New Roman" w:cs="Times New Roman"/>
              </w:rPr>
            </w:pPr>
            <w:r w:rsidRPr="005A1F62">
              <w:rPr>
                <w:rFonts w:ascii="Times New Roman" w:hAnsi="Times New Roman" w:cs="Times New Roman"/>
              </w:rPr>
              <w:t>Объект рейтинга находится в состоянии дефолта</w:t>
            </w:r>
          </w:p>
        </w:tc>
      </w:tr>
    </w:tbl>
    <w:p w14:paraId="70320CED" w14:textId="77777777" w:rsidR="00DC568B" w:rsidRPr="005A1F62" w:rsidRDefault="00DC568B" w:rsidP="00DC2FED">
      <w:pPr>
        <w:tabs>
          <w:tab w:val="left" w:pos="709"/>
        </w:tabs>
        <w:ind w:firstLine="567"/>
      </w:pPr>
    </w:p>
    <w:p w14:paraId="4B26CBB2" w14:textId="6FA6E691" w:rsidR="00F53980" w:rsidRPr="005A1F62" w:rsidRDefault="00F53980" w:rsidP="00D44657">
      <w:pPr>
        <w:pStyle w:val="2"/>
        <w:numPr>
          <w:ilvl w:val="1"/>
          <w:numId w:val="38"/>
        </w:numPr>
        <w:tabs>
          <w:tab w:val="left" w:pos="709"/>
        </w:tabs>
        <w:spacing w:before="0" w:after="0"/>
        <w:ind w:left="0" w:firstLine="567"/>
        <w:rPr>
          <w:rFonts w:ascii="Times New Roman" w:hAnsi="Times New Roman" w:cs="Times New Roman"/>
          <w:i w:val="0"/>
        </w:rPr>
      </w:pPr>
      <w:bookmarkStart w:id="6" w:name="_Toc44433440"/>
      <w:r w:rsidRPr="005A1F62">
        <w:rPr>
          <w:rFonts w:ascii="Times New Roman" w:hAnsi="Times New Roman" w:cs="Times New Roman"/>
          <w:i w:val="0"/>
        </w:rPr>
        <w:t>Определение дефолта</w:t>
      </w:r>
      <w:bookmarkEnd w:id="6"/>
    </w:p>
    <w:p w14:paraId="70E84B7F" w14:textId="77777777" w:rsidR="00FE3B86" w:rsidRPr="005A1F62" w:rsidRDefault="00FE3B86" w:rsidP="00FE3B86"/>
    <w:p w14:paraId="6FC2C265" w14:textId="77777777" w:rsidR="00A4729C" w:rsidRPr="005A1F62" w:rsidRDefault="00A4729C" w:rsidP="00DC2FED">
      <w:pPr>
        <w:pStyle w:val="af9"/>
        <w:tabs>
          <w:tab w:val="left" w:pos="709"/>
        </w:tabs>
        <w:spacing w:before="0" w:beforeAutospacing="0" w:after="0" w:afterAutospacing="0"/>
        <w:ind w:firstLine="567"/>
        <w:jc w:val="both"/>
      </w:pPr>
      <w:r w:rsidRPr="005A1F62">
        <w:t>Агентство трактует как наступление дефолта любое из следующих событий:</w:t>
      </w:r>
    </w:p>
    <w:p w14:paraId="1DA89D59" w14:textId="4A478B2F" w:rsidR="00A4729C" w:rsidRPr="005A1F62" w:rsidRDefault="00FA622D" w:rsidP="00D44657">
      <w:pPr>
        <w:pStyle w:val="RAEXdefault"/>
        <w:numPr>
          <w:ilvl w:val="0"/>
          <w:numId w:val="75"/>
        </w:numPr>
        <w:rPr>
          <w:rFonts w:cs="Times New Roman"/>
          <w:lang w:val="ru-RU"/>
        </w:rPr>
      </w:pPr>
      <w:r w:rsidRPr="005A1F62">
        <w:rPr>
          <w:rFonts w:cs="Times New Roman"/>
          <w:lang w:val="ru-RU"/>
        </w:rPr>
        <w:t xml:space="preserve">неисполнение </w:t>
      </w:r>
      <w:r w:rsidR="00A4729C" w:rsidRPr="005A1F62">
        <w:rPr>
          <w:rFonts w:cs="Times New Roman"/>
          <w:lang w:val="ru-RU"/>
        </w:rPr>
        <w:t xml:space="preserve">обязательств по </w:t>
      </w:r>
      <w:r w:rsidR="0014658E" w:rsidRPr="005A1F62">
        <w:rPr>
          <w:rFonts w:cs="Times New Roman"/>
          <w:lang w:val="ru-RU"/>
        </w:rPr>
        <w:t xml:space="preserve">старшим </w:t>
      </w:r>
      <w:r w:rsidR="00A4729C" w:rsidRPr="005A1F62">
        <w:rPr>
          <w:rFonts w:cs="Times New Roman"/>
          <w:lang w:val="ru-RU"/>
        </w:rPr>
        <w:t>облигациям по истечении технического дефолта (более 10 рабочих дней</w:t>
      </w:r>
      <w:r w:rsidR="0014658E" w:rsidRPr="005A1F62">
        <w:rPr>
          <w:rFonts w:cs="Times New Roman"/>
          <w:lang w:val="ru-RU"/>
        </w:rPr>
        <w:t xml:space="preserve"> / более короткого срока, если он определен условиями выпуска облигаций</w:t>
      </w:r>
      <w:r w:rsidR="00A4729C" w:rsidRPr="005A1F62">
        <w:rPr>
          <w:rFonts w:cs="Times New Roman"/>
          <w:lang w:val="ru-RU"/>
        </w:rPr>
        <w:t>), включая невыплату очередного процентного дохода (купона) по облигациям, непогашение номинальной стоимости облигации, неисполнение обязательства по приобретению облигаций, если такое обязательство предусмотрено условиями выпуска (выкуп по оферте);</w:t>
      </w:r>
    </w:p>
    <w:p w14:paraId="68A90E29" w14:textId="78422925" w:rsidR="00A4729C" w:rsidRPr="005A1F62" w:rsidRDefault="00FA622D" w:rsidP="00D44657">
      <w:pPr>
        <w:pStyle w:val="RAEXdefault"/>
        <w:numPr>
          <w:ilvl w:val="0"/>
          <w:numId w:val="75"/>
        </w:numPr>
        <w:rPr>
          <w:rFonts w:cs="Times New Roman"/>
          <w:szCs w:val="24"/>
          <w:lang w:val="ru-RU"/>
        </w:rPr>
      </w:pPr>
      <w:r w:rsidRPr="005A1F62">
        <w:rPr>
          <w:rFonts w:cs="Times New Roman"/>
          <w:szCs w:val="24"/>
          <w:lang w:val="ru-RU"/>
        </w:rPr>
        <w:lastRenderedPageBreak/>
        <w:t xml:space="preserve">неисполнение </w:t>
      </w:r>
      <w:r w:rsidR="00A4729C" w:rsidRPr="005A1F62">
        <w:rPr>
          <w:rFonts w:cs="Times New Roman"/>
          <w:szCs w:val="24"/>
          <w:lang w:val="ru-RU"/>
        </w:rPr>
        <w:t xml:space="preserve">иных </w:t>
      </w:r>
      <w:r w:rsidR="0014658E" w:rsidRPr="005A1F62">
        <w:rPr>
          <w:rFonts w:cs="Times New Roman"/>
          <w:szCs w:val="24"/>
          <w:lang w:val="ru-RU"/>
        </w:rPr>
        <w:t xml:space="preserve">старших </w:t>
      </w:r>
      <w:r w:rsidR="00A4729C" w:rsidRPr="005A1F62">
        <w:rPr>
          <w:rFonts w:cs="Times New Roman"/>
          <w:szCs w:val="24"/>
          <w:lang w:val="ru-RU"/>
        </w:rPr>
        <w:t>финансовых обязательств, имеющих возвратную и платную природу (более 10 рабочих дней);</w:t>
      </w:r>
    </w:p>
    <w:p w14:paraId="0E8C059A" w14:textId="2862B383" w:rsidR="0014658E" w:rsidRPr="005A1F62" w:rsidRDefault="0014658E" w:rsidP="00D44657">
      <w:pPr>
        <w:pStyle w:val="RAEXdefault"/>
        <w:numPr>
          <w:ilvl w:val="0"/>
          <w:numId w:val="75"/>
        </w:numPr>
        <w:rPr>
          <w:rFonts w:cs="Times New Roman"/>
          <w:szCs w:val="24"/>
          <w:lang w:val="ru-RU"/>
        </w:rPr>
      </w:pPr>
      <w:r w:rsidRPr="005A1F62">
        <w:rPr>
          <w:rFonts w:cs="Times New Roman"/>
          <w:szCs w:val="24"/>
          <w:lang w:val="ru-RU"/>
        </w:rPr>
        <w:t>неисполнение финансовых обязательств, платный характер которых формально не определен, по прошествии 10 рабочих дней с момента вступления в силу соответствующего решения суда;</w:t>
      </w:r>
    </w:p>
    <w:p w14:paraId="33DA7F2E" w14:textId="1726CFB6" w:rsidR="00A4729C" w:rsidRPr="005A1F62" w:rsidRDefault="00FA622D" w:rsidP="00D44657">
      <w:pPr>
        <w:pStyle w:val="RAEXdefault"/>
        <w:numPr>
          <w:ilvl w:val="0"/>
          <w:numId w:val="75"/>
        </w:numPr>
        <w:rPr>
          <w:rFonts w:cs="Times New Roman"/>
          <w:szCs w:val="24"/>
          <w:lang w:val="ru-RU"/>
        </w:rPr>
      </w:pPr>
      <w:r w:rsidRPr="005A1F62">
        <w:rPr>
          <w:rFonts w:cs="Times New Roman"/>
          <w:szCs w:val="24"/>
          <w:lang w:val="ru-RU"/>
        </w:rPr>
        <w:t xml:space="preserve">отзыв </w:t>
      </w:r>
      <w:r w:rsidR="00A4729C" w:rsidRPr="005A1F62">
        <w:rPr>
          <w:rFonts w:cs="Times New Roman"/>
          <w:szCs w:val="24"/>
          <w:lang w:val="ru-RU"/>
        </w:rPr>
        <w:t>лицензии или невозобновление действия лицензии, выданной на определенный срок</w:t>
      </w:r>
      <w:r w:rsidR="00CD7780" w:rsidRPr="005A1F62">
        <w:rPr>
          <w:rFonts w:cs="Times New Roman"/>
          <w:szCs w:val="24"/>
          <w:lang w:val="ru-RU"/>
        </w:rPr>
        <w:t>, без которой невозможно осуществление основной деятельности</w:t>
      </w:r>
      <w:r w:rsidRPr="005A1F62">
        <w:rPr>
          <w:rFonts w:cs="Times New Roman"/>
          <w:szCs w:val="24"/>
          <w:lang w:val="ru-RU"/>
        </w:rPr>
        <w:t>, п</w:t>
      </w:r>
      <w:r w:rsidR="00A4729C" w:rsidRPr="005A1F62">
        <w:rPr>
          <w:rFonts w:cs="Times New Roman"/>
          <w:szCs w:val="24"/>
          <w:lang w:val="ru-RU"/>
        </w:rPr>
        <w:t xml:space="preserve">ри этом отзыв лицензии по инициативе </w:t>
      </w:r>
      <w:r w:rsidR="0014658E" w:rsidRPr="005A1F62">
        <w:rPr>
          <w:rFonts w:cs="Times New Roman"/>
          <w:szCs w:val="24"/>
          <w:lang w:val="ru-RU"/>
        </w:rPr>
        <w:t>самого банка не трактуется как дефолт, если у Агентства имеются основания полагать, что все старшие финансовые обязательства будут исполнены банком в полном объеме в срок</w:t>
      </w:r>
      <w:r w:rsidR="00A4729C" w:rsidRPr="005A1F62">
        <w:rPr>
          <w:rFonts w:cs="Times New Roman"/>
          <w:szCs w:val="24"/>
          <w:lang w:val="ru-RU"/>
        </w:rPr>
        <w:t xml:space="preserve">; </w:t>
      </w:r>
    </w:p>
    <w:p w14:paraId="604DE512" w14:textId="2D4690C1" w:rsidR="00A4729C" w:rsidRPr="005A1F62" w:rsidRDefault="00FA622D" w:rsidP="00D44657">
      <w:pPr>
        <w:pStyle w:val="RAEXdefault"/>
        <w:numPr>
          <w:ilvl w:val="0"/>
          <w:numId w:val="75"/>
        </w:numPr>
        <w:rPr>
          <w:rFonts w:cs="Times New Roman"/>
          <w:szCs w:val="24"/>
          <w:lang w:val="ru-RU"/>
        </w:rPr>
      </w:pPr>
      <w:r w:rsidRPr="005A1F62">
        <w:rPr>
          <w:rFonts w:cs="Times New Roman"/>
          <w:szCs w:val="24"/>
          <w:lang w:val="ru-RU"/>
        </w:rPr>
        <w:t xml:space="preserve">произошедшая </w:t>
      </w:r>
      <w:r w:rsidR="00A4729C" w:rsidRPr="005A1F62">
        <w:rPr>
          <w:rFonts w:cs="Times New Roman"/>
          <w:szCs w:val="24"/>
          <w:lang w:val="ru-RU"/>
        </w:rPr>
        <w:t xml:space="preserve">в течение последних </w:t>
      </w:r>
      <w:r w:rsidRPr="005A1F62">
        <w:rPr>
          <w:rFonts w:cs="Times New Roman"/>
          <w:szCs w:val="24"/>
          <w:lang w:val="ru-RU"/>
        </w:rPr>
        <w:t>дву</w:t>
      </w:r>
      <w:r w:rsidR="00A4729C" w:rsidRPr="005A1F62">
        <w:rPr>
          <w:rFonts w:cs="Times New Roman"/>
          <w:szCs w:val="24"/>
          <w:lang w:val="ru-RU"/>
        </w:rPr>
        <w:t xml:space="preserve">х месяцев реструктуризация </w:t>
      </w:r>
      <w:r w:rsidR="0014658E" w:rsidRPr="005A1F62">
        <w:rPr>
          <w:rFonts w:cs="Times New Roman"/>
          <w:szCs w:val="24"/>
          <w:lang w:val="ru-RU"/>
        </w:rPr>
        <w:t xml:space="preserve">старших </w:t>
      </w:r>
      <w:r w:rsidR="00A4729C" w:rsidRPr="005A1F62">
        <w:rPr>
          <w:rFonts w:cs="Times New Roman"/>
          <w:szCs w:val="24"/>
          <w:lang w:val="ru-RU"/>
        </w:rPr>
        <w:t>долговых обязательств, при которой инвесторы получают менее привлекательные условия в сравнении с теми, которые были предусмотрены первоначальным договором по эти</w:t>
      </w:r>
      <w:r w:rsidRPr="005A1F62">
        <w:rPr>
          <w:rFonts w:cs="Times New Roman"/>
          <w:szCs w:val="24"/>
          <w:lang w:val="ru-RU"/>
        </w:rPr>
        <w:t>м</w:t>
      </w:r>
      <w:r w:rsidR="00A4729C" w:rsidRPr="005A1F62">
        <w:rPr>
          <w:rFonts w:cs="Times New Roman"/>
          <w:szCs w:val="24"/>
          <w:lang w:val="ru-RU"/>
        </w:rPr>
        <w:t xml:space="preserve"> обязательствам</w:t>
      </w:r>
      <w:r w:rsidR="0014658E" w:rsidRPr="005A1F62">
        <w:rPr>
          <w:rStyle w:val="a9"/>
          <w:rFonts w:cs="Times New Roman"/>
          <w:szCs w:val="24"/>
        </w:rPr>
        <w:footnoteReference w:id="3"/>
      </w:r>
      <w:r w:rsidR="00A4729C" w:rsidRPr="005A1F62">
        <w:rPr>
          <w:rFonts w:cs="Times New Roman"/>
          <w:szCs w:val="24"/>
          <w:lang w:val="ru-RU"/>
        </w:rPr>
        <w:t>;</w:t>
      </w:r>
    </w:p>
    <w:p w14:paraId="2759C9D1" w14:textId="77777777" w:rsidR="00A4729C" w:rsidRPr="005A1F62" w:rsidRDefault="00FA622D" w:rsidP="00D44657">
      <w:pPr>
        <w:pStyle w:val="RAEXdefault"/>
        <w:numPr>
          <w:ilvl w:val="0"/>
          <w:numId w:val="75"/>
        </w:numPr>
        <w:rPr>
          <w:rFonts w:cs="Times New Roman"/>
          <w:szCs w:val="24"/>
          <w:lang w:val="ru-RU"/>
        </w:rPr>
      </w:pPr>
      <w:r w:rsidRPr="005A1F62">
        <w:rPr>
          <w:rFonts w:cs="Times New Roman"/>
          <w:szCs w:val="24"/>
          <w:lang w:val="ru-RU"/>
        </w:rPr>
        <w:t xml:space="preserve">положительное </w:t>
      </w:r>
      <w:r w:rsidR="00A4729C" w:rsidRPr="005A1F62">
        <w:rPr>
          <w:rFonts w:cs="Times New Roman"/>
          <w:szCs w:val="24"/>
          <w:lang w:val="ru-RU"/>
        </w:rPr>
        <w:t xml:space="preserve">решение суда по вопросу признания </w:t>
      </w:r>
      <w:r w:rsidR="008D7E87" w:rsidRPr="005A1F62">
        <w:rPr>
          <w:rFonts w:cs="Times New Roman"/>
          <w:szCs w:val="24"/>
          <w:lang w:val="ru-RU"/>
        </w:rPr>
        <w:t>банка</w:t>
      </w:r>
      <w:r w:rsidR="00A4729C" w:rsidRPr="005A1F62">
        <w:rPr>
          <w:rFonts w:cs="Times New Roman"/>
          <w:szCs w:val="24"/>
          <w:lang w:val="ru-RU"/>
        </w:rPr>
        <w:t xml:space="preserve"> банкротом.</w:t>
      </w:r>
    </w:p>
    <w:p w14:paraId="6753EEB6" w14:textId="77777777" w:rsidR="007227C0" w:rsidRPr="005A1F62" w:rsidRDefault="007227C0" w:rsidP="00DC2FED">
      <w:pPr>
        <w:tabs>
          <w:tab w:val="left" w:pos="709"/>
        </w:tabs>
        <w:ind w:firstLine="567"/>
        <w:jc w:val="both"/>
      </w:pPr>
      <w:bookmarkStart w:id="7" w:name="_Hlk3308397"/>
    </w:p>
    <w:p w14:paraId="6AB668CE" w14:textId="70F44DA7" w:rsidR="008B30DB" w:rsidRPr="005A1F62" w:rsidRDefault="008B30DB" w:rsidP="00DC2FED">
      <w:pPr>
        <w:tabs>
          <w:tab w:val="left" w:pos="709"/>
        </w:tabs>
        <w:ind w:firstLine="567"/>
        <w:jc w:val="both"/>
      </w:pPr>
      <w:r w:rsidRPr="005A1F62">
        <w:t xml:space="preserve">Агентство может не трактовать как дефолт неисполнение </w:t>
      </w:r>
      <w:r w:rsidR="00327CD1" w:rsidRPr="005A1F62">
        <w:t>банком своих договорных обязательств</w:t>
      </w:r>
      <w:r w:rsidR="002A78AD" w:rsidRPr="005A1F62">
        <w:t xml:space="preserve">, обусловленное </w:t>
      </w:r>
      <w:r w:rsidR="00327CD1" w:rsidRPr="005A1F62">
        <w:t>директивами органов государственной власти и (или) регулятора.</w:t>
      </w:r>
    </w:p>
    <w:bookmarkEnd w:id="7"/>
    <w:p w14:paraId="4BFFABEB" w14:textId="7419A96B" w:rsidR="00DC2FED" w:rsidRPr="005A1F62" w:rsidRDefault="0014658E" w:rsidP="00DC2FED">
      <w:pPr>
        <w:tabs>
          <w:tab w:val="left" w:pos="709"/>
        </w:tabs>
        <w:ind w:firstLine="567"/>
        <w:jc w:val="both"/>
      </w:pPr>
      <w:r w:rsidRPr="005A1F62">
        <w:t>Датой наступления дефолта считается дата наступления первого (либо единственного) из указанных выше событий. При этом датой наступления событий 1-3 считается первый день после истечения соответствующего срока с первого зафиксированного Агентством дня неисполнения обязательств.</w:t>
      </w:r>
    </w:p>
    <w:p w14:paraId="17855400" w14:textId="77777777" w:rsidR="007227C0" w:rsidRPr="005A1F62" w:rsidRDefault="007227C0" w:rsidP="00DC2FED">
      <w:pPr>
        <w:tabs>
          <w:tab w:val="left" w:pos="709"/>
        </w:tabs>
        <w:ind w:firstLine="567"/>
        <w:jc w:val="both"/>
      </w:pPr>
    </w:p>
    <w:p w14:paraId="2E2284E3" w14:textId="1AA54D09" w:rsidR="00F53980" w:rsidRPr="005A1F62" w:rsidRDefault="00A1631B" w:rsidP="00D44657">
      <w:pPr>
        <w:pStyle w:val="2"/>
        <w:numPr>
          <w:ilvl w:val="1"/>
          <w:numId w:val="38"/>
        </w:numPr>
        <w:tabs>
          <w:tab w:val="left" w:pos="709"/>
        </w:tabs>
        <w:spacing w:before="0" w:after="0"/>
        <w:ind w:left="0" w:firstLine="567"/>
        <w:rPr>
          <w:rFonts w:ascii="Times New Roman" w:hAnsi="Times New Roman" w:cs="Times New Roman"/>
          <w:i w:val="0"/>
        </w:rPr>
      </w:pPr>
      <w:bookmarkStart w:id="8" w:name="_Toc44433441"/>
      <w:r w:rsidRPr="005A1F62">
        <w:rPr>
          <w:rFonts w:ascii="Times New Roman" w:hAnsi="Times New Roman" w:cs="Times New Roman"/>
          <w:i w:val="0"/>
        </w:rPr>
        <w:t>Ключевые рейтинговые предположения, п</w:t>
      </w:r>
      <w:r w:rsidR="00F53980" w:rsidRPr="005A1F62">
        <w:rPr>
          <w:rFonts w:ascii="Times New Roman" w:hAnsi="Times New Roman" w:cs="Times New Roman"/>
          <w:i w:val="0"/>
        </w:rPr>
        <w:t>редпосылки и допущения</w:t>
      </w:r>
      <w:bookmarkEnd w:id="8"/>
    </w:p>
    <w:p w14:paraId="52891C86" w14:textId="77777777" w:rsidR="00FE3B86" w:rsidRPr="005A1F62" w:rsidRDefault="00FE3B86" w:rsidP="00FE3B86"/>
    <w:p w14:paraId="7D50B827" w14:textId="77777777" w:rsidR="002B5C8E" w:rsidRPr="005A1F62" w:rsidRDefault="002B5C8E" w:rsidP="00DC2FED">
      <w:pPr>
        <w:pStyle w:val="ConsPlusNormal"/>
        <w:tabs>
          <w:tab w:val="left" w:pos="709"/>
        </w:tabs>
        <w:ind w:firstLine="567"/>
        <w:jc w:val="both"/>
      </w:pPr>
      <w:r w:rsidRPr="005A1F62">
        <w:t>Ключевые рейтинговые предположения, предпосылки и допущения:</w:t>
      </w:r>
    </w:p>
    <w:p w14:paraId="1CB59925" w14:textId="77777777" w:rsidR="002B5C8E" w:rsidRPr="005A1F62" w:rsidRDefault="002B5C8E" w:rsidP="00D44657">
      <w:pPr>
        <w:pStyle w:val="ConsPlusNormal"/>
        <w:numPr>
          <w:ilvl w:val="0"/>
          <w:numId w:val="40"/>
        </w:numPr>
        <w:tabs>
          <w:tab w:val="left" w:pos="709"/>
        </w:tabs>
        <w:ind w:left="0" w:firstLine="567"/>
        <w:jc w:val="both"/>
      </w:pPr>
      <w:r w:rsidRPr="005A1F62">
        <w:t xml:space="preserve">Существует устойчивая причинно-следственная связь между </w:t>
      </w:r>
      <w:r w:rsidR="009C7483" w:rsidRPr="005A1F62">
        <w:t>кредитоспособностью (уровнем рейтинга)</w:t>
      </w:r>
      <w:r w:rsidR="002F449E" w:rsidRPr="005A1F62">
        <w:t xml:space="preserve"> </w:t>
      </w:r>
      <w:r w:rsidRPr="005A1F62">
        <w:t xml:space="preserve">объекта рейтинга и количественными и качественными факторами, перечисленными в настоящей методологии. </w:t>
      </w:r>
    </w:p>
    <w:p w14:paraId="7DC0E659" w14:textId="77777777" w:rsidR="002B5C8E" w:rsidRPr="005A1F62" w:rsidRDefault="002B5C8E" w:rsidP="00D44657">
      <w:pPr>
        <w:pStyle w:val="ConsPlusNormal"/>
        <w:numPr>
          <w:ilvl w:val="0"/>
          <w:numId w:val="40"/>
        </w:numPr>
        <w:tabs>
          <w:tab w:val="left" w:pos="709"/>
        </w:tabs>
        <w:ind w:left="0" w:firstLine="567"/>
        <w:jc w:val="both"/>
      </w:pPr>
      <w:r w:rsidRPr="005A1F62">
        <w:t xml:space="preserve">Количественные и качественные факторы, используемые в методологии, могут влиять на кредитоспособность линейно и нелинейно, зависимость может быть прямой и обратной. Нелинейность зависимости отдельных факторов выражается в использовании степенной функции при определении балла (например, чем ниже достаточность капитала банка к нормативному минимуму, тем быстрее балл за этот показатель приближается к -1) и в использовании стресс-факторов и факторов поддержки, которые оказывают значительное влияние на рейтинг. </w:t>
      </w:r>
    </w:p>
    <w:p w14:paraId="6C51D03A" w14:textId="77777777" w:rsidR="002B5C8E" w:rsidRPr="005A1F62" w:rsidRDefault="002B5C8E" w:rsidP="00D44657">
      <w:pPr>
        <w:pStyle w:val="ConsPlusNormal"/>
        <w:numPr>
          <w:ilvl w:val="0"/>
          <w:numId w:val="40"/>
        </w:numPr>
        <w:tabs>
          <w:tab w:val="left" w:pos="709"/>
        </w:tabs>
        <w:ind w:left="0" w:firstLine="567"/>
        <w:jc w:val="both"/>
      </w:pPr>
      <w:r w:rsidRPr="005A1F62">
        <w:lastRenderedPageBreak/>
        <w:t xml:space="preserve">Вес каждого фактора методологии </w:t>
      </w:r>
      <w:r w:rsidR="002519C7" w:rsidRPr="005A1F62">
        <w:t>определяется</w:t>
      </w:r>
      <w:r w:rsidRPr="005A1F62">
        <w:t xml:space="preserve"> на основании </w:t>
      </w:r>
      <w:r w:rsidR="009C7483" w:rsidRPr="005A1F62">
        <w:t xml:space="preserve">степени </w:t>
      </w:r>
      <w:r w:rsidRPr="005A1F62">
        <w:t>его влияния на кредитоспособность. Итоговое рейтинговое число получается путем взвешивания баллов за каждый фактор и весов соответствующих факторов.</w:t>
      </w:r>
      <w:r w:rsidR="00CD78CF" w:rsidRPr="005A1F62">
        <w:t xml:space="preserve"> </w:t>
      </w:r>
    </w:p>
    <w:p w14:paraId="19AE307E" w14:textId="6DCF3491" w:rsidR="002B5C8E" w:rsidRPr="005A1F62" w:rsidRDefault="00055726" w:rsidP="00D44657">
      <w:pPr>
        <w:pStyle w:val="ConsPlusNormal"/>
        <w:numPr>
          <w:ilvl w:val="0"/>
          <w:numId w:val="40"/>
        </w:numPr>
        <w:tabs>
          <w:tab w:val="left" w:pos="709"/>
        </w:tabs>
        <w:ind w:left="0" w:firstLine="567"/>
        <w:jc w:val="both"/>
      </w:pPr>
      <w:r w:rsidRPr="005A1F62">
        <w:t xml:space="preserve">Показатели могут иметь интервал «чувствительности», за пределами которой изменение показателя не </w:t>
      </w:r>
      <w:r w:rsidR="00A5717B" w:rsidRPr="005A1F62">
        <w:t xml:space="preserve">оказывает </w:t>
      </w:r>
      <w:r w:rsidRPr="005A1F62">
        <w:t>влияния на кредитоспособность. Так, п</w:t>
      </w:r>
      <w:r w:rsidR="002B5C8E" w:rsidRPr="005A1F62">
        <w:t xml:space="preserve">ревышение значения показателя </w:t>
      </w:r>
      <w:r w:rsidR="00F24750" w:rsidRPr="005A1F62">
        <w:t>бенчмарка</w:t>
      </w:r>
      <w:r w:rsidR="002519C7" w:rsidRPr="005A1F62">
        <w:t>, соответствующего</w:t>
      </w:r>
      <w:r w:rsidR="002B5C8E" w:rsidRPr="005A1F62">
        <w:t xml:space="preserve"> максимальн</w:t>
      </w:r>
      <w:r w:rsidR="002519C7" w:rsidRPr="005A1F62">
        <w:t>ой</w:t>
      </w:r>
      <w:r w:rsidR="002B5C8E" w:rsidRPr="005A1F62">
        <w:t xml:space="preserve"> оценк</w:t>
      </w:r>
      <w:r w:rsidR="002519C7" w:rsidRPr="005A1F62">
        <w:t>е</w:t>
      </w:r>
      <w:r w:rsidR="002B5C8E" w:rsidRPr="005A1F62">
        <w:t xml:space="preserve"> (для показателей, имеющих </w:t>
      </w:r>
      <w:r w:rsidR="002519C7" w:rsidRPr="005A1F62">
        <w:t>положительную корреляцию</w:t>
      </w:r>
      <w:r w:rsidR="002B5C8E" w:rsidRPr="005A1F62">
        <w:t xml:space="preserve"> с кредитоспособностью)</w:t>
      </w:r>
      <w:r w:rsidR="00A5717B" w:rsidRPr="005A1F62">
        <w:t>,</w:t>
      </w:r>
      <w:r w:rsidR="002B5C8E" w:rsidRPr="005A1F62">
        <w:t xml:space="preserve"> не оказывает позитивного влияния на кредитоспособность. </w:t>
      </w:r>
      <w:r w:rsidR="00464C1C" w:rsidRPr="005A1F62">
        <w:t>Если значение показателя ниже б</w:t>
      </w:r>
      <w:r w:rsidR="00F24750" w:rsidRPr="005A1F62">
        <w:t>е</w:t>
      </w:r>
      <w:r w:rsidR="00464C1C" w:rsidRPr="005A1F62">
        <w:t>нчмарка</w:t>
      </w:r>
      <w:r w:rsidR="00614F25" w:rsidRPr="005A1F62">
        <w:t>, соответствующего максимальной оценке (для показателей, имеющих отрицательную корреляцию с кредитоспособностью)</w:t>
      </w:r>
      <w:r w:rsidR="00464C1C" w:rsidRPr="005A1F62">
        <w:t>, то оно</w:t>
      </w:r>
      <w:r w:rsidR="00614F25" w:rsidRPr="005A1F62">
        <w:t xml:space="preserve"> не оказывает позитивного влияния на кредитоспособность. </w:t>
      </w:r>
      <w:r w:rsidR="00464C1C" w:rsidRPr="005A1F62">
        <w:t>Если</w:t>
      </w:r>
      <w:r w:rsidR="00614F25" w:rsidRPr="005A1F62">
        <w:t xml:space="preserve"> значени</w:t>
      </w:r>
      <w:r w:rsidR="00464C1C" w:rsidRPr="005A1F62">
        <w:t>е</w:t>
      </w:r>
      <w:r w:rsidR="00614F25" w:rsidRPr="005A1F62">
        <w:t xml:space="preserve"> показателя</w:t>
      </w:r>
      <w:r w:rsidR="00464C1C" w:rsidRPr="005A1F62">
        <w:t xml:space="preserve"> ниже</w:t>
      </w:r>
      <w:r w:rsidR="00614F25" w:rsidRPr="005A1F62">
        <w:t xml:space="preserve"> б</w:t>
      </w:r>
      <w:r w:rsidR="00F24750" w:rsidRPr="005A1F62">
        <w:t>е</w:t>
      </w:r>
      <w:r w:rsidR="00614F25" w:rsidRPr="005A1F62">
        <w:t>нчмарка, соответствующего минимальной оценке (для показателей, имеющих положительную корреляцию с кредитоспособностью</w:t>
      </w:r>
      <w:r w:rsidR="00E113F5" w:rsidRPr="005A1F62">
        <w:t>)</w:t>
      </w:r>
      <w:r w:rsidR="00464C1C" w:rsidRPr="005A1F62">
        <w:t>, то оно</w:t>
      </w:r>
      <w:r w:rsidR="00614F25" w:rsidRPr="005A1F62">
        <w:t xml:space="preserve"> не оказывает отрицательного влияния на кредитоспособность </w:t>
      </w:r>
      <w:r w:rsidR="002B5C8E" w:rsidRPr="005A1F62">
        <w:t xml:space="preserve">для показателей, для которых не предусмотрены стресс-факторы. </w:t>
      </w:r>
      <w:r w:rsidR="00464C1C" w:rsidRPr="005A1F62">
        <w:t>Превышение значения показателя б</w:t>
      </w:r>
      <w:r w:rsidR="00F24750" w:rsidRPr="005A1F62">
        <w:t>е</w:t>
      </w:r>
      <w:r w:rsidR="00464C1C" w:rsidRPr="005A1F62">
        <w:t>нчмарка, соответствующего минимальной оценке (для показателей, имеющих отрицательную корреляцию с кредитоспособностью)</w:t>
      </w:r>
      <w:r w:rsidR="002E5444" w:rsidRPr="005A1F62">
        <w:t>,</w:t>
      </w:r>
      <w:r w:rsidR="00464C1C" w:rsidRPr="005A1F62">
        <w:t xml:space="preserve"> не оказывает негативного влияния на кредитоспособность, если для показателя не предусмотрен стресс-фактор.</w:t>
      </w:r>
    </w:p>
    <w:p w14:paraId="4A870925" w14:textId="2088CCF9" w:rsidR="0098419A" w:rsidRPr="005A1F62" w:rsidRDefault="0098419A" w:rsidP="00D44657">
      <w:pPr>
        <w:pStyle w:val="ConsPlusNormal"/>
        <w:numPr>
          <w:ilvl w:val="0"/>
          <w:numId w:val="40"/>
        </w:numPr>
        <w:tabs>
          <w:tab w:val="left" w:pos="709"/>
        </w:tabs>
        <w:ind w:left="0" w:firstLine="567"/>
        <w:jc w:val="both"/>
      </w:pPr>
      <w:r w:rsidRPr="005A1F62">
        <w:t>Макроэкономическая ситуация относительно стабильна, ее динамика близка к равновесным процессам. В частности, отсутствуют факторы, которые могли бы спровоцировать внезапную гиперинфляцию, массовые банкротства, социальную нестабильность. Также отсутствуют факторы форс</w:t>
      </w:r>
      <w:r w:rsidR="00984204" w:rsidRPr="005A1F62">
        <w:t>-</w:t>
      </w:r>
      <w:r w:rsidRPr="005A1F62">
        <w:t>мажора: масштабные природные и техногенные катастрофы, затрагивающие значительную часть страны, широкомасштабные вооруженные конфликты и т.</w:t>
      </w:r>
      <w:r w:rsidR="002E5444" w:rsidRPr="005A1F62">
        <w:t xml:space="preserve"> </w:t>
      </w:r>
      <w:r w:rsidRPr="005A1F62">
        <w:t>п.</w:t>
      </w:r>
    </w:p>
    <w:p w14:paraId="2A73365B" w14:textId="77777777" w:rsidR="00DC2FED" w:rsidRPr="005A1F62" w:rsidRDefault="00DC2FED" w:rsidP="00DC2FED">
      <w:pPr>
        <w:pStyle w:val="ConsPlusNormal"/>
        <w:tabs>
          <w:tab w:val="left" w:pos="709"/>
        </w:tabs>
        <w:ind w:left="567"/>
        <w:jc w:val="both"/>
      </w:pPr>
    </w:p>
    <w:p w14:paraId="3976B333" w14:textId="71181ABE" w:rsidR="00CD7780" w:rsidRPr="005A1F62" w:rsidRDefault="00CD7780" w:rsidP="00D44657">
      <w:pPr>
        <w:pStyle w:val="2"/>
        <w:numPr>
          <w:ilvl w:val="1"/>
          <w:numId w:val="38"/>
        </w:numPr>
        <w:tabs>
          <w:tab w:val="left" w:pos="709"/>
        </w:tabs>
        <w:spacing w:before="0" w:after="0"/>
        <w:ind w:left="0" w:firstLine="567"/>
        <w:rPr>
          <w:rFonts w:ascii="Times New Roman" w:hAnsi="Times New Roman" w:cs="Times New Roman"/>
          <w:i w:val="0"/>
        </w:rPr>
      </w:pPr>
      <w:bookmarkStart w:id="9" w:name="_Toc44433442"/>
      <w:r w:rsidRPr="005A1F62">
        <w:rPr>
          <w:rFonts w:ascii="Times New Roman" w:hAnsi="Times New Roman" w:cs="Times New Roman"/>
          <w:i w:val="0"/>
        </w:rPr>
        <w:t>Общие положения</w:t>
      </w:r>
      <w:bookmarkEnd w:id="9"/>
    </w:p>
    <w:p w14:paraId="44C6D19A" w14:textId="77777777" w:rsidR="00FE3B86" w:rsidRPr="005A1F62" w:rsidRDefault="00FE3B86" w:rsidP="00FE3B86"/>
    <w:p w14:paraId="19C56E71" w14:textId="77777777" w:rsidR="001D4AB3" w:rsidRPr="005A1F62" w:rsidRDefault="001D4AB3" w:rsidP="00DC2FED">
      <w:pPr>
        <w:pStyle w:val="af9"/>
        <w:tabs>
          <w:tab w:val="left" w:pos="709"/>
        </w:tabs>
        <w:spacing w:before="0" w:beforeAutospacing="0" w:after="0" w:afterAutospacing="0"/>
        <w:ind w:firstLine="567"/>
        <w:jc w:val="both"/>
      </w:pPr>
      <w:r w:rsidRPr="005A1F62">
        <w:t>В соответствии с Федеральным законом Российской Федерации от 13 июля 2015 г</w:t>
      </w:r>
      <w:r w:rsidR="00FA622D" w:rsidRPr="005A1F62">
        <w:t>ода №</w:t>
      </w:r>
      <w:r w:rsidRPr="005A1F62">
        <w:t xml:space="preserve">222-ФЗ </w:t>
      </w:r>
      <w:r w:rsidR="00FA622D" w:rsidRPr="005A1F62">
        <w:t>«</w:t>
      </w:r>
      <w:r w:rsidRPr="005A1F62">
        <w:t xml:space="preserve">О деятельности кредитных рейтинговых агентств в Российской Федерации» </w:t>
      </w:r>
      <w:r w:rsidR="00924855" w:rsidRPr="005A1F62">
        <w:t xml:space="preserve">кредитное </w:t>
      </w:r>
      <w:r w:rsidRPr="005A1F62">
        <w:t>рейт</w:t>
      </w:r>
      <w:r w:rsidR="009C7FE7" w:rsidRPr="005A1F62">
        <w:t>инговое агентство «Эксперт РА»</w:t>
      </w:r>
      <w:r w:rsidRPr="005A1F62">
        <w:t xml:space="preserve"> не допускает отступлений от применяемой методологии на систематической основе.</w:t>
      </w:r>
    </w:p>
    <w:p w14:paraId="462AA065" w14:textId="77777777" w:rsidR="001D4AB3" w:rsidRPr="005A1F62" w:rsidRDefault="001D4AB3" w:rsidP="00DC2FED">
      <w:pPr>
        <w:pStyle w:val="af9"/>
        <w:tabs>
          <w:tab w:val="left" w:pos="709"/>
        </w:tabs>
        <w:spacing w:before="0" w:beforeAutospacing="0" w:after="0" w:afterAutospacing="0"/>
        <w:ind w:firstLine="567"/>
        <w:jc w:val="both"/>
      </w:pPr>
      <w:r w:rsidRPr="005A1F62">
        <w:t xml:space="preserve">Методологии </w:t>
      </w:r>
      <w:r w:rsidR="00924855" w:rsidRPr="005A1F62">
        <w:t xml:space="preserve">кредитного рейтингового </w:t>
      </w:r>
      <w:r w:rsidRPr="005A1F62">
        <w:t>агентства предусматривают сопоставимость кредитных рейтингов между собой</w:t>
      </w:r>
      <w:r w:rsidR="00212238" w:rsidRPr="005A1F62">
        <w:t xml:space="preserve">. </w:t>
      </w:r>
    </w:p>
    <w:p w14:paraId="6C581722" w14:textId="77777777" w:rsidR="001D4AB3" w:rsidRPr="005A1F62" w:rsidRDefault="001D4AB3" w:rsidP="00DC2FED">
      <w:pPr>
        <w:pStyle w:val="af9"/>
        <w:tabs>
          <w:tab w:val="left" w:pos="709"/>
        </w:tabs>
        <w:spacing w:before="0" w:beforeAutospacing="0" w:after="0" w:afterAutospacing="0"/>
        <w:ind w:firstLine="567"/>
        <w:jc w:val="both"/>
      </w:pPr>
      <w:r w:rsidRPr="005A1F62">
        <w:t xml:space="preserve">Настоящая методология предусматривает системное применение </w:t>
      </w:r>
      <w:r w:rsidR="00223178" w:rsidRPr="005A1F62">
        <w:t xml:space="preserve">методологии, моделей, </w:t>
      </w:r>
      <w:r w:rsidRPr="005A1F62">
        <w:t>ключевых рейтинговых предположений как единого комплекса. Никакие заключения, сделанные на основании части настоящей методологии, не могут рассматриваться в качестве полноценных выводов</w:t>
      </w:r>
      <w:r w:rsidR="008E71AB" w:rsidRPr="005A1F62">
        <w:t xml:space="preserve"> – </w:t>
      </w:r>
      <w:r w:rsidRPr="005A1F62">
        <w:t xml:space="preserve">данная методология может использоваться только системно. Рейтинг может быть присвоен только на основании анализа всех </w:t>
      </w:r>
      <w:r w:rsidR="00212238" w:rsidRPr="005A1F62">
        <w:t xml:space="preserve">ключевых </w:t>
      </w:r>
      <w:r w:rsidRPr="005A1F62">
        <w:t>показателей, используемых в настоящей методологии.</w:t>
      </w:r>
    </w:p>
    <w:p w14:paraId="0A7C6865" w14:textId="77777777" w:rsidR="001D4AB3" w:rsidRPr="005A1F62" w:rsidRDefault="001D4AB3" w:rsidP="00DC2FED">
      <w:pPr>
        <w:pStyle w:val="af9"/>
        <w:tabs>
          <w:tab w:val="left" w:pos="709"/>
        </w:tabs>
        <w:spacing w:before="0" w:beforeAutospacing="0" w:after="0" w:afterAutospacing="0"/>
        <w:ind w:firstLine="567"/>
        <w:jc w:val="both"/>
      </w:pPr>
      <w:r w:rsidRPr="005A1F62">
        <w:t>Данная методология должна быть пересмотрена методологическим комитетом в следующих случаях:</w:t>
      </w:r>
    </w:p>
    <w:p w14:paraId="61BD93AD" w14:textId="77777777" w:rsidR="001D4AB3" w:rsidRPr="005A1F62" w:rsidRDefault="008E71AB" w:rsidP="00D44657">
      <w:pPr>
        <w:numPr>
          <w:ilvl w:val="0"/>
          <w:numId w:val="43"/>
        </w:numPr>
        <w:jc w:val="both"/>
      </w:pPr>
      <w:r w:rsidRPr="005A1F62">
        <w:t xml:space="preserve">в </w:t>
      </w:r>
      <w:r w:rsidR="001D4AB3" w:rsidRPr="005A1F62">
        <w:t xml:space="preserve">случае отступления от настоящей методологии более трех раз в календарный квартал, если применяемая методология не учитывает или учитывает некорректно особенности объекта рейтинга и следование применяемой методологии может привести к искажению кредитного рейтинга и (или) прогноза по </w:t>
      </w:r>
      <w:r w:rsidR="006060FE" w:rsidRPr="005A1F62">
        <w:t xml:space="preserve">кредитному </w:t>
      </w:r>
      <w:r w:rsidR="001D4AB3" w:rsidRPr="005A1F62">
        <w:t>рейтингу;</w:t>
      </w:r>
    </w:p>
    <w:p w14:paraId="40D73B66" w14:textId="77777777" w:rsidR="001D4AB3" w:rsidRPr="005A1F62" w:rsidRDefault="00CB2E96" w:rsidP="00D44657">
      <w:pPr>
        <w:numPr>
          <w:ilvl w:val="0"/>
          <w:numId w:val="43"/>
        </w:numPr>
        <w:jc w:val="both"/>
      </w:pPr>
      <w:r w:rsidRPr="005A1F62">
        <w:t xml:space="preserve">изменения </w:t>
      </w:r>
      <w:r w:rsidR="001D4AB3" w:rsidRPr="005A1F62">
        <w:t>нормативной базы, которые могут оказать существенное влияние на объекты рейтинг</w:t>
      </w:r>
      <w:r w:rsidR="00071EE7" w:rsidRPr="005A1F62">
        <w:t>а</w:t>
      </w:r>
      <w:r w:rsidR="001D4AB3" w:rsidRPr="005A1F62">
        <w:t xml:space="preserve"> (ухудшить конкурентные позиции, уменьшить размер собственных средств, потребовать значительных капитальных вложений и т.</w:t>
      </w:r>
      <w:r w:rsidRPr="005A1F62">
        <w:t> </w:t>
      </w:r>
      <w:r w:rsidR="001D4AB3" w:rsidRPr="005A1F62">
        <w:t>д.);</w:t>
      </w:r>
    </w:p>
    <w:p w14:paraId="1C0E92F2" w14:textId="77777777" w:rsidR="001D4AB3" w:rsidRPr="005A1F62" w:rsidRDefault="00CB2E96" w:rsidP="00D44657">
      <w:pPr>
        <w:numPr>
          <w:ilvl w:val="0"/>
          <w:numId w:val="43"/>
        </w:numPr>
        <w:jc w:val="both"/>
      </w:pPr>
      <w:r w:rsidRPr="005A1F62">
        <w:t xml:space="preserve">истечение </w:t>
      </w:r>
      <w:r w:rsidR="001D4AB3" w:rsidRPr="005A1F62">
        <w:t>12 месяцев с даты последнего пересмотра настоящей методологии;</w:t>
      </w:r>
    </w:p>
    <w:p w14:paraId="76280E0D" w14:textId="77777777" w:rsidR="00F035AB" w:rsidRPr="005A1F62" w:rsidRDefault="00CB2E96" w:rsidP="00D44657">
      <w:pPr>
        <w:numPr>
          <w:ilvl w:val="0"/>
          <w:numId w:val="43"/>
        </w:numPr>
        <w:jc w:val="both"/>
      </w:pPr>
      <w:r w:rsidRPr="005A1F62">
        <w:lastRenderedPageBreak/>
        <w:t xml:space="preserve">необходимость </w:t>
      </w:r>
      <w:r w:rsidR="00F035AB" w:rsidRPr="005A1F62">
        <w:t xml:space="preserve">пересмотра на основании </w:t>
      </w:r>
      <w:r w:rsidR="005811B2" w:rsidRPr="005A1F62">
        <w:t>мониторинга</w:t>
      </w:r>
      <w:r w:rsidR="00F035AB" w:rsidRPr="005A1F62">
        <w:t xml:space="preserve"> применения методологии, проводимого сотрудниками методологического отдела;</w:t>
      </w:r>
    </w:p>
    <w:p w14:paraId="79AFF524" w14:textId="3F1DAE48" w:rsidR="00C946FB" w:rsidRPr="005A1F62" w:rsidRDefault="00CB2E96" w:rsidP="00D44657">
      <w:pPr>
        <w:numPr>
          <w:ilvl w:val="0"/>
          <w:numId w:val="43"/>
        </w:numPr>
        <w:jc w:val="both"/>
      </w:pPr>
      <w:r w:rsidRPr="005A1F62">
        <w:t xml:space="preserve">выявление </w:t>
      </w:r>
      <w:r w:rsidR="00C946FB" w:rsidRPr="005A1F62">
        <w:t>несоответствия требованиям Федерального закона от 13</w:t>
      </w:r>
      <w:r w:rsidR="002E5444" w:rsidRPr="005A1F62">
        <w:t xml:space="preserve"> июля </w:t>
      </w:r>
      <w:r w:rsidR="00C946FB" w:rsidRPr="005A1F62">
        <w:t>2015</w:t>
      </w:r>
      <w:r w:rsidRPr="005A1F62">
        <w:t xml:space="preserve"> года</w:t>
      </w:r>
      <w:r w:rsidR="00C946FB" w:rsidRPr="005A1F62">
        <w:t xml:space="preserve"> </w:t>
      </w:r>
      <w:r w:rsidRPr="005A1F62">
        <w:t>№</w:t>
      </w:r>
      <w:r w:rsidR="00C946FB" w:rsidRPr="005A1F62">
        <w:t xml:space="preserve">222-ФЗ «О деятельности кредитных рейтинговых агентств в Российской Федерации, о внесении изменения в статью 76.1 Федерального закона </w:t>
      </w:r>
      <w:r w:rsidRPr="005A1F62">
        <w:t>«</w:t>
      </w:r>
      <w:r w:rsidR="00C946FB" w:rsidRPr="005A1F62">
        <w:t>О Центральном банке Российской Федерации (Банке России</w:t>
      </w:r>
      <w:r w:rsidRPr="005A1F62">
        <w:t xml:space="preserve">)» </w:t>
      </w:r>
      <w:r w:rsidR="00C946FB" w:rsidRPr="005A1F62">
        <w:t>и признании утратившими силу отдельных положений законодательных актов Российской Федерации»</w:t>
      </w:r>
      <w:r w:rsidR="008E71AB" w:rsidRPr="005A1F62">
        <w:t>.</w:t>
      </w:r>
    </w:p>
    <w:p w14:paraId="6E5C5FFC" w14:textId="77777777" w:rsidR="00C946FB" w:rsidRPr="005A1F62" w:rsidRDefault="00C946FB" w:rsidP="00DC2FED">
      <w:pPr>
        <w:shd w:val="clear" w:color="auto" w:fill="FFFFFF"/>
        <w:tabs>
          <w:tab w:val="left" w:pos="709"/>
        </w:tabs>
        <w:ind w:firstLine="567"/>
        <w:jc w:val="both"/>
      </w:pPr>
      <w:r w:rsidRPr="005A1F62">
        <w:t xml:space="preserve">При использовании данной методологии каждый случай отступления от нее документируется и раскрывается на официальном сайте </w:t>
      </w:r>
      <w:hyperlink r:id="rId9" w:history="1">
        <w:r w:rsidRPr="005A1F62">
          <w:rPr>
            <w:rStyle w:val="aa"/>
            <w:color w:val="auto"/>
          </w:rPr>
          <w:t>www.</w:t>
        </w:r>
        <w:r w:rsidRPr="005A1F62">
          <w:rPr>
            <w:rStyle w:val="aa"/>
            <w:color w:val="auto"/>
            <w:lang w:val="en-US"/>
          </w:rPr>
          <w:t>raexpert</w:t>
        </w:r>
        <w:r w:rsidRPr="005A1F62">
          <w:rPr>
            <w:rStyle w:val="aa"/>
            <w:color w:val="auto"/>
          </w:rPr>
          <w:t>.</w:t>
        </w:r>
        <w:r w:rsidRPr="005A1F62">
          <w:rPr>
            <w:rStyle w:val="aa"/>
            <w:color w:val="auto"/>
            <w:lang w:val="en-US"/>
          </w:rPr>
          <w:t>ru</w:t>
        </w:r>
      </w:hyperlink>
      <w:r w:rsidRPr="005A1F62">
        <w:t xml:space="preserve"> при опубликовании кредитного рейтинга или прогноза по кредитному рейтингу с указанием причины такого отступления.</w:t>
      </w:r>
    </w:p>
    <w:p w14:paraId="68DB34C4" w14:textId="786ABEF0" w:rsidR="00C946FB" w:rsidRPr="005A1F62" w:rsidRDefault="00C946FB" w:rsidP="00DC2FED">
      <w:pPr>
        <w:shd w:val="clear" w:color="auto" w:fill="FFFFFF"/>
        <w:tabs>
          <w:tab w:val="left" w:pos="709"/>
        </w:tabs>
        <w:ind w:firstLine="567"/>
        <w:jc w:val="both"/>
      </w:pPr>
      <w:r w:rsidRPr="005A1F62">
        <w:t>При обнаружении в данной методологии ошибок, которые повлияли или могут повлиять на кредитные рейтинги и</w:t>
      </w:r>
      <w:r w:rsidR="005346B5" w:rsidRPr="005A1F62">
        <w:t xml:space="preserve"> (</w:t>
      </w:r>
      <w:r w:rsidRPr="005A1F62">
        <w:t>или</w:t>
      </w:r>
      <w:r w:rsidR="005346B5" w:rsidRPr="005A1F62">
        <w:t>)</w:t>
      </w:r>
      <w:r w:rsidRPr="005A1F62">
        <w:t xml:space="preserve"> прогноз</w:t>
      </w:r>
      <w:r w:rsidR="009C7FE7" w:rsidRPr="005A1F62">
        <w:t>ы по кредитным рейтингам, «Эксперт РА»</w:t>
      </w:r>
      <w:r w:rsidRPr="005A1F62">
        <w:t xml:space="preserve"> проводит ее анализ и пересмотр в соответствии с установленными внутренними процедурами. Информация о данных действиях и новая версия методологии направляются в Банк России в установленном </w:t>
      </w:r>
      <w:r w:rsidR="002E5444" w:rsidRPr="005A1F62">
        <w:t xml:space="preserve">им </w:t>
      </w:r>
      <w:r w:rsidRPr="005A1F62">
        <w:t xml:space="preserve">порядке. Если выявленные ошибки методологии оказывают влияние на присвоенные </w:t>
      </w:r>
      <w:r w:rsidR="009C7FE7" w:rsidRPr="005A1F62">
        <w:t>ранее кредитные рейтинги, «Эксперт РА»</w:t>
      </w:r>
      <w:r w:rsidRPr="005A1F62">
        <w:t xml:space="preserve"> раскрывает данную информацию на официальном сайте </w:t>
      </w:r>
      <w:hyperlink r:id="rId10" w:history="1">
        <w:r w:rsidRPr="005A1F62">
          <w:rPr>
            <w:rStyle w:val="aa"/>
            <w:color w:val="auto"/>
          </w:rPr>
          <w:t>www.</w:t>
        </w:r>
        <w:r w:rsidRPr="005A1F62">
          <w:rPr>
            <w:rStyle w:val="aa"/>
            <w:color w:val="auto"/>
            <w:lang w:val="en-US"/>
          </w:rPr>
          <w:t>raexpert</w:t>
        </w:r>
        <w:r w:rsidRPr="005A1F62">
          <w:rPr>
            <w:rStyle w:val="aa"/>
            <w:color w:val="auto"/>
          </w:rPr>
          <w:t>.ru</w:t>
        </w:r>
      </w:hyperlink>
      <w:r w:rsidRPr="005A1F62">
        <w:t>.</w:t>
      </w:r>
    </w:p>
    <w:p w14:paraId="3C842489" w14:textId="77777777" w:rsidR="00C946FB" w:rsidRPr="005A1F62" w:rsidRDefault="00C946FB" w:rsidP="00DC2FED">
      <w:pPr>
        <w:shd w:val="clear" w:color="auto" w:fill="FFFFFF"/>
        <w:tabs>
          <w:tab w:val="left" w:pos="709"/>
        </w:tabs>
        <w:ind w:firstLine="567"/>
        <w:jc w:val="both"/>
      </w:pPr>
      <w:r w:rsidRPr="005A1F62">
        <w:t>Если планируемые изменения данной методологии являются существенными и оказывают или могут оказать влияние на действ</w:t>
      </w:r>
      <w:r w:rsidR="009C7FE7" w:rsidRPr="005A1F62">
        <w:t>ующие кредитные рейтинги, «Эксперт РА»</w:t>
      </w:r>
      <w:r w:rsidR="00CB2E96" w:rsidRPr="005A1F62">
        <w:t xml:space="preserve"> принимает следующие меры</w:t>
      </w:r>
      <w:r w:rsidRPr="005A1F62">
        <w:t>:</w:t>
      </w:r>
    </w:p>
    <w:p w14:paraId="347A73BD" w14:textId="77777777" w:rsidR="00C946FB" w:rsidRPr="005A1F62" w:rsidRDefault="00C946FB" w:rsidP="00D44657">
      <w:pPr>
        <w:numPr>
          <w:ilvl w:val="0"/>
          <w:numId w:val="41"/>
        </w:numPr>
        <w:shd w:val="clear" w:color="auto" w:fill="FFFFFF"/>
        <w:tabs>
          <w:tab w:val="left" w:pos="709"/>
        </w:tabs>
        <w:ind w:left="0" w:firstLine="567"/>
        <w:jc w:val="both"/>
      </w:pPr>
      <w:r w:rsidRPr="005A1F62">
        <w:t xml:space="preserve">направляет в Банк России, а также размещает на своем официальном сайте </w:t>
      </w:r>
      <w:hyperlink r:id="rId11" w:history="1">
        <w:r w:rsidRPr="005A1F62">
          <w:rPr>
            <w:rStyle w:val="aa"/>
            <w:color w:val="auto"/>
          </w:rPr>
          <w:t>www.</w:t>
        </w:r>
        <w:r w:rsidRPr="005A1F62">
          <w:rPr>
            <w:rStyle w:val="aa"/>
            <w:color w:val="auto"/>
            <w:lang w:val="en-US"/>
          </w:rPr>
          <w:t>raexpert</w:t>
        </w:r>
        <w:r w:rsidRPr="005A1F62">
          <w:rPr>
            <w:rStyle w:val="aa"/>
            <w:color w:val="auto"/>
          </w:rPr>
          <w:t>.ru</w:t>
        </w:r>
      </w:hyperlink>
      <w:r w:rsidRPr="005A1F62">
        <w:t xml:space="preserve"> информацию о планируемых изменениях применяемой методологии с указанием причин и последствий таких изменений, в том числе для кредитных рейтингов, присвоенных в соответствии с данной методологией;</w:t>
      </w:r>
    </w:p>
    <w:p w14:paraId="58B6D693" w14:textId="77777777" w:rsidR="00C946FB" w:rsidRPr="005A1F62" w:rsidRDefault="00C946FB" w:rsidP="00D44657">
      <w:pPr>
        <w:numPr>
          <w:ilvl w:val="0"/>
          <w:numId w:val="41"/>
        </w:numPr>
        <w:shd w:val="clear" w:color="auto" w:fill="FFFFFF"/>
        <w:tabs>
          <w:tab w:val="left" w:pos="709"/>
        </w:tabs>
        <w:ind w:left="0" w:firstLine="567"/>
        <w:jc w:val="both"/>
      </w:pPr>
      <w:r w:rsidRPr="005A1F62">
        <w:t>не позднее шести месяцев со дня изменения применяемой методологии осуществляет оценку необходимости пересмотра всех кредитных рейтингов, присвоенных в соответствии с данной методологией;</w:t>
      </w:r>
    </w:p>
    <w:p w14:paraId="7952B917" w14:textId="53F14979" w:rsidR="00C946FB" w:rsidRPr="005A1F62" w:rsidRDefault="00C946FB" w:rsidP="00D44657">
      <w:pPr>
        <w:numPr>
          <w:ilvl w:val="0"/>
          <w:numId w:val="41"/>
        </w:numPr>
        <w:shd w:val="clear" w:color="auto" w:fill="FFFFFF"/>
        <w:tabs>
          <w:tab w:val="left" w:pos="709"/>
        </w:tabs>
        <w:ind w:left="0" w:firstLine="567"/>
        <w:jc w:val="both"/>
      </w:pPr>
      <w:r w:rsidRPr="005A1F62">
        <w:t xml:space="preserve">в срок не более шести месяцев со дня </w:t>
      </w:r>
      <w:r w:rsidR="00F535A1" w:rsidRPr="005A1F62">
        <w:t xml:space="preserve">осуществления оценки необходимости пересмотра всех кредитных рейтингов, присвоенных в соответствии с данной методологией (п. 2), </w:t>
      </w:r>
      <w:r w:rsidRPr="005A1F62">
        <w:t>осуществляет пересмотр кредитных рейтингов, если по результатам сделанной оценки выявлена необходимость их пересмотра.</w:t>
      </w:r>
    </w:p>
    <w:p w14:paraId="75939293" w14:textId="77777777" w:rsidR="001D4AB3" w:rsidRPr="005A1F62" w:rsidRDefault="001D4AB3" w:rsidP="00DC2FED">
      <w:pPr>
        <w:pStyle w:val="af9"/>
        <w:tabs>
          <w:tab w:val="left" w:pos="709"/>
        </w:tabs>
        <w:spacing w:before="0" w:beforeAutospacing="0" w:after="0" w:afterAutospacing="0"/>
        <w:ind w:firstLine="709"/>
        <w:jc w:val="both"/>
      </w:pPr>
      <w:r w:rsidRPr="005A1F62">
        <w:t xml:space="preserve">Данная методология предусматривает непрерывность ее применения в рамках </w:t>
      </w:r>
      <w:r w:rsidR="009C7FE7" w:rsidRPr="005A1F62">
        <w:t>рейтинговой деятельности. «Эксперт РА»</w:t>
      </w:r>
      <w:r w:rsidRPr="005A1F62">
        <w:t xml:space="preserve"> </w:t>
      </w:r>
      <w:r w:rsidR="00FF3E7E" w:rsidRPr="005A1F62">
        <w:t xml:space="preserve">непрерывно </w:t>
      </w:r>
      <w:r w:rsidR="00011214" w:rsidRPr="005A1F62">
        <w:t>проводит мониторинг</w:t>
      </w:r>
      <w:r w:rsidRPr="005A1F62">
        <w:t xml:space="preserve"> присвоенных рейтингов на основе данной методологии. Настоящая методология применяется на постоянной основе до утверждения методологическим комитетом новой версии</w:t>
      </w:r>
      <w:r w:rsidR="0090416E" w:rsidRPr="005A1F62">
        <w:t xml:space="preserve"> соответствующей</w:t>
      </w:r>
      <w:r w:rsidRPr="005A1F62">
        <w:t xml:space="preserve"> методологии.</w:t>
      </w:r>
    </w:p>
    <w:p w14:paraId="396B0EE8" w14:textId="77777777" w:rsidR="001D4AB3" w:rsidRPr="005A1F62" w:rsidRDefault="001D4AB3" w:rsidP="00DC2FED">
      <w:pPr>
        <w:pStyle w:val="af9"/>
        <w:tabs>
          <w:tab w:val="left" w:pos="709"/>
        </w:tabs>
        <w:spacing w:before="0" w:beforeAutospacing="0" w:after="0" w:afterAutospacing="0"/>
        <w:ind w:firstLine="709"/>
        <w:jc w:val="both"/>
      </w:pPr>
      <w:r w:rsidRPr="005A1F62">
        <w:t>Все параметры, используемы</w:t>
      </w:r>
      <w:r w:rsidR="00CB2E96" w:rsidRPr="005A1F62">
        <w:t>е</w:t>
      </w:r>
      <w:r w:rsidRPr="005A1F62">
        <w:t xml:space="preserve"> в методологии</w:t>
      </w:r>
      <w:r w:rsidR="00CB2E96" w:rsidRPr="005A1F62">
        <w:t>,</w:t>
      </w:r>
      <w:r w:rsidRPr="005A1F62">
        <w:t xml:space="preserve"> за исключением стресс-факторов и факторов поддержки, </w:t>
      </w:r>
      <w:r w:rsidR="00223178" w:rsidRPr="005A1F62">
        <w:t xml:space="preserve">масштабируются и </w:t>
      </w:r>
      <w:r w:rsidRPr="005A1F62">
        <w:t>оцениваются по шкале от 1 до -1. При этом, чем более позитивно влияние фактора на рейтинг, тем ближе оценка к 1</w:t>
      </w:r>
      <w:r w:rsidR="00CB2E96" w:rsidRPr="005A1F62">
        <w:t>,</w:t>
      </w:r>
      <w:r w:rsidRPr="005A1F62">
        <w:t xml:space="preserve"> и наоборот: чем негативнее</w:t>
      </w:r>
      <w:r w:rsidR="00CB2E96" w:rsidRPr="005A1F62">
        <w:t>,</w:t>
      </w:r>
      <w:r w:rsidRPr="005A1F62">
        <w:t xml:space="preserve"> тем ближе к -1. </w:t>
      </w:r>
    </w:p>
    <w:p w14:paraId="4814ABCC" w14:textId="71F0DB64" w:rsidR="00240007" w:rsidRPr="005A1F62" w:rsidRDefault="001D4AB3" w:rsidP="00DC2FED">
      <w:pPr>
        <w:tabs>
          <w:tab w:val="left" w:pos="709"/>
        </w:tabs>
        <w:ind w:firstLine="567"/>
        <w:jc w:val="both"/>
      </w:pPr>
      <w:r w:rsidRPr="005A1F62">
        <w:t xml:space="preserve">Стресс-факторы оказывают значительное негативное влияние на рейтинги, которое в зависимости от силы стресс-фактора и всех параметров в модели может привести к снижению рейтинга на </w:t>
      </w:r>
      <w:r w:rsidR="00FB741C" w:rsidRPr="005A1F62">
        <w:t>один</w:t>
      </w:r>
      <w:r w:rsidR="00593E41" w:rsidRPr="005A1F62">
        <w:t>-девять</w:t>
      </w:r>
      <w:r w:rsidR="00FB741C" w:rsidRPr="005A1F62">
        <w:t xml:space="preserve"> уровн</w:t>
      </w:r>
      <w:r w:rsidR="00593E41" w:rsidRPr="005A1F62">
        <w:t>ей</w:t>
      </w:r>
      <w:r w:rsidRPr="005A1F62">
        <w:t>. Аналогичным образом факторы поддержки могут привести к повышению рейтинга на</w:t>
      </w:r>
      <w:r w:rsidR="00FB741C" w:rsidRPr="005A1F62">
        <w:t xml:space="preserve"> один</w:t>
      </w:r>
      <w:r w:rsidR="00F159E5" w:rsidRPr="005A1F62">
        <w:t>-девять</w:t>
      </w:r>
      <w:r w:rsidR="00FB741C" w:rsidRPr="005A1F62">
        <w:t xml:space="preserve"> уровн</w:t>
      </w:r>
      <w:r w:rsidR="00F159E5" w:rsidRPr="005A1F62">
        <w:t>ей</w:t>
      </w:r>
      <w:r w:rsidRPr="005A1F62">
        <w:t>.</w:t>
      </w:r>
    </w:p>
    <w:p w14:paraId="7B0B0D47" w14:textId="7209610A" w:rsidR="00DC2FED" w:rsidRPr="005A1F62" w:rsidRDefault="00DC2FED">
      <w:r w:rsidRPr="005A1F62">
        <w:br w:type="page"/>
      </w:r>
    </w:p>
    <w:p w14:paraId="7E56A5F1" w14:textId="45340CEE" w:rsidR="00240007" w:rsidRPr="005A1F62" w:rsidRDefault="00240007" w:rsidP="00D44657">
      <w:pPr>
        <w:pStyle w:val="1"/>
        <w:numPr>
          <w:ilvl w:val="0"/>
          <w:numId w:val="62"/>
        </w:numPr>
        <w:tabs>
          <w:tab w:val="left" w:pos="709"/>
        </w:tabs>
        <w:spacing w:before="0" w:after="0"/>
        <w:rPr>
          <w:rFonts w:ascii="Times New Roman" w:hAnsi="Times New Roman" w:cs="Times New Roman"/>
          <w:sz w:val="28"/>
        </w:rPr>
      </w:pPr>
      <w:bookmarkStart w:id="10" w:name="_Toc496088835"/>
      <w:bookmarkStart w:id="11" w:name="_Toc44433443"/>
      <w:r w:rsidRPr="005A1F62">
        <w:rPr>
          <w:rFonts w:ascii="Times New Roman" w:hAnsi="Times New Roman" w:cs="Times New Roman"/>
          <w:sz w:val="28"/>
        </w:rPr>
        <w:lastRenderedPageBreak/>
        <w:t>Веса значимости показателей</w:t>
      </w:r>
      <w:bookmarkEnd w:id="10"/>
      <w:bookmarkEnd w:id="11"/>
    </w:p>
    <w:p w14:paraId="5D2917AB" w14:textId="77777777" w:rsidR="00240007" w:rsidRPr="005A1F62" w:rsidRDefault="00240007" w:rsidP="00DC2FED"/>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20"/>
        <w:gridCol w:w="1839"/>
        <w:gridCol w:w="1839"/>
        <w:gridCol w:w="1837"/>
      </w:tblGrid>
      <w:tr w:rsidR="00240007" w:rsidRPr="005A1F62" w14:paraId="4DCED466"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7DE48C" w14:textId="77777777" w:rsidR="00240007" w:rsidRPr="005A1F62" w:rsidRDefault="00240007" w:rsidP="00DC2FED">
            <w:pPr>
              <w:rPr>
                <w:sz w:val="20"/>
                <w:szCs w:val="20"/>
              </w:rPr>
            </w:pPr>
            <w:r w:rsidRPr="005A1F62">
              <w:rPr>
                <w:sz w:val="20"/>
                <w:szCs w:val="20"/>
              </w:rPr>
              <w:t xml:space="preserve">Показатель </w:t>
            </w:r>
          </w:p>
        </w:tc>
        <w:tc>
          <w:tcPr>
            <w:tcW w:w="9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4B59823" w14:textId="77777777" w:rsidR="00240007" w:rsidRPr="005A1F62" w:rsidRDefault="00240007" w:rsidP="00DC2FED">
            <w:pPr>
              <w:jc w:val="center"/>
              <w:rPr>
                <w:sz w:val="20"/>
                <w:szCs w:val="20"/>
              </w:rPr>
            </w:pPr>
            <w:r w:rsidRPr="005A1F62">
              <w:rPr>
                <w:sz w:val="20"/>
                <w:szCs w:val="20"/>
              </w:rPr>
              <w:t>Весовой коэффициент</w:t>
            </w:r>
          </w:p>
          <w:p w14:paraId="559A6947" w14:textId="77777777" w:rsidR="00240007" w:rsidRPr="005A1F62" w:rsidRDefault="00240007" w:rsidP="00DC2FED">
            <w:pPr>
              <w:jc w:val="center"/>
              <w:rPr>
                <w:sz w:val="20"/>
                <w:szCs w:val="20"/>
              </w:rPr>
            </w:pPr>
            <w:r w:rsidRPr="005A1F62">
              <w:rPr>
                <w:sz w:val="20"/>
                <w:szCs w:val="20"/>
              </w:rPr>
              <w:t>для банков с универсальной лицензией, %</w:t>
            </w:r>
          </w:p>
        </w:tc>
        <w:tc>
          <w:tcPr>
            <w:tcW w:w="985" w:type="pct"/>
            <w:tcBorders>
              <w:top w:val="single" w:sz="8" w:space="0" w:color="auto"/>
              <w:left w:val="single" w:sz="8" w:space="0" w:color="auto"/>
              <w:bottom w:val="single" w:sz="8" w:space="0" w:color="auto"/>
              <w:right w:val="single" w:sz="8" w:space="0" w:color="auto"/>
            </w:tcBorders>
            <w:shd w:val="clear" w:color="auto" w:fill="auto"/>
            <w:vAlign w:val="center"/>
          </w:tcPr>
          <w:p w14:paraId="1FC5BE95" w14:textId="77777777" w:rsidR="00240007" w:rsidRPr="005A1F62" w:rsidRDefault="00240007" w:rsidP="00DC2FED">
            <w:pPr>
              <w:jc w:val="center"/>
              <w:rPr>
                <w:sz w:val="20"/>
                <w:szCs w:val="20"/>
              </w:rPr>
            </w:pPr>
            <w:r w:rsidRPr="005A1F62">
              <w:rPr>
                <w:sz w:val="20"/>
                <w:szCs w:val="20"/>
              </w:rPr>
              <w:t>Весовой коэффициент</w:t>
            </w:r>
          </w:p>
          <w:p w14:paraId="002D224A" w14:textId="77777777" w:rsidR="00240007" w:rsidRPr="005A1F62" w:rsidRDefault="00240007" w:rsidP="00DC2FED">
            <w:pPr>
              <w:jc w:val="center"/>
              <w:rPr>
                <w:sz w:val="20"/>
                <w:szCs w:val="20"/>
              </w:rPr>
            </w:pPr>
            <w:r w:rsidRPr="005A1F62">
              <w:rPr>
                <w:sz w:val="20"/>
                <w:szCs w:val="20"/>
              </w:rPr>
              <w:t>для банков с базовой лицензией, %</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5E892149" w14:textId="77777777" w:rsidR="00240007" w:rsidRPr="005A1F62" w:rsidRDefault="00240007" w:rsidP="00DC2FED">
            <w:pPr>
              <w:jc w:val="center"/>
              <w:rPr>
                <w:sz w:val="20"/>
                <w:szCs w:val="20"/>
              </w:rPr>
            </w:pPr>
            <w:r w:rsidRPr="005A1F62">
              <w:rPr>
                <w:sz w:val="20"/>
                <w:szCs w:val="20"/>
              </w:rPr>
              <w:t>Правила взвешивания</w:t>
            </w:r>
          </w:p>
        </w:tc>
      </w:tr>
      <w:tr w:rsidR="00240007" w:rsidRPr="005A1F62" w14:paraId="0C699DF2"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B71DFB" w14:textId="77777777" w:rsidR="00240007" w:rsidRPr="005A1F62" w:rsidRDefault="00240007" w:rsidP="00DC2FED">
            <w:pPr>
              <w:jc w:val="center"/>
              <w:rPr>
                <w:bCs/>
                <w:sz w:val="20"/>
                <w:szCs w:val="20"/>
              </w:rPr>
            </w:pPr>
            <w:r w:rsidRPr="005A1F62">
              <w:rPr>
                <w:bCs/>
                <w:sz w:val="20"/>
                <w:szCs w:val="20"/>
              </w:rPr>
              <w:t>РАЗДЕЛ I. РЫНОЧНЫЕ ПОЗИЦИИ</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605E042" w14:textId="77777777" w:rsidR="00240007" w:rsidRPr="005A1F62" w:rsidRDefault="00240007" w:rsidP="00DC2FED">
            <w:pPr>
              <w:jc w:val="center"/>
              <w:rPr>
                <w:bCs/>
                <w:sz w:val="20"/>
                <w:szCs w:val="20"/>
              </w:rPr>
            </w:pPr>
            <w:r w:rsidRPr="005A1F62">
              <w:rPr>
                <w:bCs/>
                <w:sz w:val="20"/>
                <w:szCs w:val="20"/>
              </w:rPr>
              <w:t>16</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7A78EEAF" w14:textId="77777777" w:rsidR="00240007" w:rsidRPr="005A1F62" w:rsidRDefault="00240007" w:rsidP="00DC2FED">
            <w:pPr>
              <w:jc w:val="center"/>
              <w:rPr>
                <w:bCs/>
                <w:sz w:val="20"/>
                <w:szCs w:val="20"/>
              </w:rPr>
            </w:pPr>
          </w:p>
        </w:tc>
      </w:tr>
      <w:tr w:rsidR="00240007" w:rsidRPr="005A1F62" w14:paraId="2679F78C"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DD15D2" w14:textId="77777777" w:rsidR="00240007" w:rsidRPr="005A1F62" w:rsidRDefault="00240007" w:rsidP="00DC2FED">
            <w:pPr>
              <w:rPr>
                <w:b/>
                <w:sz w:val="20"/>
                <w:szCs w:val="20"/>
              </w:rPr>
            </w:pPr>
            <w:r w:rsidRPr="005A1F62">
              <w:rPr>
                <w:b/>
                <w:sz w:val="20"/>
                <w:szCs w:val="20"/>
              </w:rPr>
              <w:t xml:space="preserve">Деловая репутация </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AE904" w14:textId="77777777" w:rsidR="00240007" w:rsidRPr="005A1F62" w:rsidRDefault="00240007" w:rsidP="00DC2FED">
            <w:pPr>
              <w:jc w:val="center"/>
              <w:rPr>
                <w:sz w:val="20"/>
                <w:szCs w:val="20"/>
              </w:rPr>
            </w:pPr>
            <w:r w:rsidRPr="005A1F62">
              <w:rPr>
                <w:sz w:val="20"/>
                <w:szCs w:val="20"/>
              </w:rPr>
              <w:t>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37E9FC1F" w14:textId="0C738F55"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42B3419E"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1A77DF" w14:textId="77777777" w:rsidR="00240007" w:rsidRPr="005A1F62" w:rsidRDefault="00240007" w:rsidP="00DC2FED">
            <w:pPr>
              <w:rPr>
                <w:b/>
                <w:sz w:val="20"/>
                <w:szCs w:val="20"/>
              </w:rPr>
            </w:pPr>
            <w:r w:rsidRPr="005A1F62">
              <w:rPr>
                <w:b/>
                <w:sz w:val="20"/>
                <w:szCs w:val="20"/>
              </w:rPr>
              <w:t>Специализация и кэптивность</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580D4" w14:textId="77777777" w:rsidR="00240007" w:rsidRPr="005A1F62" w:rsidRDefault="00240007" w:rsidP="00DC2FED">
            <w:pPr>
              <w:jc w:val="center"/>
              <w:rPr>
                <w:sz w:val="20"/>
                <w:szCs w:val="20"/>
              </w:rPr>
            </w:pPr>
            <w:r w:rsidRPr="005A1F62">
              <w:rPr>
                <w:sz w:val="20"/>
                <w:szCs w:val="20"/>
              </w:rPr>
              <w:t>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70DBFE2F" w14:textId="0A275230"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3D4DE4FF"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1E93492" w14:textId="77777777" w:rsidR="00240007" w:rsidRPr="005A1F62" w:rsidRDefault="00240007" w:rsidP="00DC2FED">
            <w:pPr>
              <w:rPr>
                <w:b/>
                <w:sz w:val="20"/>
                <w:szCs w:val="20"/>
              </w:rPr>
            </w:pPr>
            <w:r w:rsidRPr="005A1F62">
              <w:rPr>
                <w:b/>
                <w:sz w:val="20"/>
                <w:szCs w:val="20"/>
              </w:rPr>
              <w:t xml:space="preserve">Конкурентные позиции </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2ADA4" w14:textId="77777777" w:rsidR="00240007" w:rsidRPr="005A1F62" w:rsidRDefault="00240007" w:rsidP="00DC2FED">
            <w:pPr>
              <w:jc w:val="center"/>
              <w:rPr>
                <w:sz w:val="20"/>
                <w:szCs w:val="20"/>
              </w:rPr>
            </w:pPr>
            <w:r w:rsidRPr="005A1F62">
              <w:rPr>
                <w:sz w:val="20"/>
                <w:szCs w:val="20"/>
              </w:rPr>
              <w:t>6</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081C35F0" w14:textId="5387B491"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73183AA5"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56D5F0" w14:textId="77777777" w:rsidR="00240007" w:rsidRPr="005A1F62" w:rsidRDefault="00240007" w:rsidP="00DC2FED">
            <w:pPr>
              <w:jc w:val="center"/>
              <w:rPr>
                <w:bCs/>
                <w:sz w:val="20"/>
                <w:szCs w:val="20"/>
              </w:rPr>
            </w:pPr>
            <w:r w:rsidRPr="005A1F62">
              <w:rPr>
                <w:bCs/>
                <w:sz w:val="20"/>
                <w:szCs w:val="20"/>
              </w:rPr>
              <w:t>РАЗДЕЛ II. ФИНАНСОВЫЙ АНАЛИЗ</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A4715" w14:textId="2890CA8F" w:rsidR="00240007" w:rsidRPr="005A1F62" w:rsidRDefault="00161F31" w:rsidP="00DC2FED">
            <w:pPr>
              <w:jc w:val="center"/>
              <w:rPr>
                <w:bCs/>
                <w:sz w:val="20"/>
                <w:szCs w:val="20"/>
              </w:rPr>
            </w:pPr>
            <w:r w:rsidRPr="005A1F62">
              <w:rPr>
                <w:bCs/>
                <w:sz w:val="20"/>
                <w:szCs w:val="20"/>
              </w:rPr>
              <w:t>70</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7865C3DF" w14:textId="77777777" w:rsidR="00240007" w:rsidRPr="005A1F62" w:rsidRDefault="00240007" w:rsidP="00DC2FED">
            <w:pPr>
              <w:jc w:val="center"/>
              <w:rPr>
                <w:bCs/>
                <w:sz w:val="20"/>
                <w:szCs w:val="20"/>
              </w:rPr>
            </w:pPr>
          </w:p>
        </w:tc>
      </w:tr>
      <w:tr w:rsidR="00240007" w:rsidRPr="005A1F62" w14:paraId="3B9090A1"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8EB6DE" w14:textId="77777777" w:rsidR="00240007" w:rsidRPr="005A1F62" w:rsidRDefault="00240007" w:rsidP="00DC2FED">
            <w:pPr>
              <w:rPr>
                <w:b/>
                <w:bCs/>
                <w:sz w:val="20"/>
                <w:szCs w:val="20"/>
              </w:rPr>
            </w:pPr>
            <w:r w:rsidRPr="005A1F62">
              <w:rPr>
                <w:b/>
                <w:bCs/>
                <w:sz w:val="20"/>
                <w:szCs w:val="20"/>
              </w:rPr>
              <w:t xml:space="preserve">Достаточность и качество капитала </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A1DEB" w14:textId="77777777" w:rsidR="00240007" w:rsidRPr="005A1F62" w:rsidRDefault="00240007" w:rsidP="00DC2FED">
            <w:pPr>
              <w:jc w:val="center"/>
              <w:rPr>
                <w:bCs/>
                <w:sz w:val="20"/>
                <w:szCs w:val="20"/>
              </w:rPr>
            </w:pPr>
            <w:r w:rsidRPr="005A1F62">
              <w:rPr>
                <w:bCs/>
                <w:sz w:val="20"/>
                <w:szCs w:val="20"/>
              </w:rPr>
              <w:t>8</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402A8DD9" w14:textId="6BF5DBD6" w:rsidR="00240007" w:rsidRPr="005A1F62" w:rsidRDefault="002E5444" w:rsidP="00DC2FED">
            <w:pPr>
              <w:jc w:val="center"/>
              <w:rPr>
                <w:bCs/>
                <w:sz w:val="20"/>
                <w:szCs w:val="20"/>
              </w:rPr>
            </w:pPr>
            <w:r w:rsidRPr="005A1F62">
              <w:rPr>
                <w:sz w:val="20"/>
                <w:szCs w:val="20"/>
              </w:rPr>
              <w:t xml:space="preserve">С </w:t>
            </w:r>
            <w:r w:rsidR="005A5B91" w:rsidRPr="005A1F62">
              <w:rPr>
                <w:sz w:val="20"/>
                <w:szCs w:val="20"/>
              </w:rPr>
              <w:t>«</w:t>
            </w:r>
            <w:r w:rsidR="00240007" w:rsidRPr="005A1F62">
              <w:rPr>
                <w:sz w:val="20"/>
                <w:szCs w:val="20"/>
              </w:rPr>
              <w:t>длинным хвостом»</w:t>
            </w:r>
          </w:p>
        </w:tc>
      </w:tr>
      <w:tr w:rsidR="00240007" w:rsidRPr="005A1F62" w14:paraId="6AD7416F"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34093F50" w14:textId="77777777" w:rsidR="00240007" w:rsidRPr="005A1F62" w:rsidRDefault="00240007" w:rsidP="00DC2FED">
            <w:pPr>
              <w:rPr>
                <w:b/>
                <w:bCs/>
                <w:sz w:val="20"/>
                <w:szCs w:val="20"/>
              </w:rPr>
            </w:pPr>
            <w:r w:rsidRPr="005A1F62">
              <w:rPr>
                <w:b/>
                <w:bCs/>
                <w:sz w:val="20"/>
                <w:szCs w:val="20"/>
              </w:rPr>
              <w:t>Устойчивость капитала к реализации кредитных и рыночных рисков</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1CEBD32" w14:textId="77777777" w:rsidR="00240007" w:rsidRPr="005A1F62" w:rsidRDefault="00240007" w:rsidP="00DC2FED">
            <w:pPr>
              <w:jc w:val="center"/>
              <w:rPr>
                <w:bCs/>
                <w:sz w:val="20"/>
                <w:szCs w:val="20"/>
              </w:rPr>
            </w:pPr>
            <w:r w:rsidRPr="005A1F62">
              <w:rPr>
                <w:sz w:val="20"/>
                <w:szCs w:val="20"/>
              </w:rPr>
              <w:t>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533D1EE6" w14:textId="68FEB437" w:rsidR="00240007" w:rsidRPr="005A1F62" w:rsidRDefault="002E5444" w:rsidP="00DC2FED">
            <w:pPr>
              <w:jc w:val="center"/>
              <w:rPr>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непрерывным коротким хвостом»</w:t>
            </w:r>
          </w:p>
        </w:tc>
      </w:tr>
      <w:tr w:rsidR="00240007" w:rsidRPr="005A1F62" w14:paraId="00A2E69B"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5EF61E08" w14:textId="77777777" w:rsidR="00240007" w:rsidRPr="005A1F62" w:rsidRDefault="00240007" w:rsidP="00DC2FED">
            <w:pPr>
              <w:pStyle w:val="3"/>
              <w:tabs>
                <w:tab w:val="left" w:pos="709"/>
              </w:tabs>
              <w:spacing w:before="0" w:after="0"/>
              <w:rPr>
                <w:rFonts w:ascii="Times New Roman" w:hAnsi="Times New Roman" w:cs="Times New Roman"/>
                <w:b w:val="0"/>
                <w:bCs w:val="0"/>
                <w:sz w:val="20"/>
                <w:szCs w:val="20"/>
              </w:rPr>
            </w:pPr>
            <w:bookmarkStart w:id="12" w:name="_Toc44433444"/>
            <w:r w:rsidRPr="005A1F62">
              <w:rPr>
                <w:rFonts w:ascii="Times New Roman" w:hAnsi="Times New Roman" w:cs="Times New Roman"/>
                <w:sz w:val="20"/>
                <w:szCs w:val="20"/>
              </w:rPr>
              <w:t>Концентрация кредитных рисков на клиентах</w:t>
            </w:r>
            <w:bookmarkEnd w:id="12"/>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2EB0987" w14:textId="77777777" w:rsidR="00240007" w:rsidRPr="005A1F62" w:rsidRDefault="00240007" w:rsidP="00DC2FED">
            <w:pPr>
              <w:jc w:val="center"/>
              <w:rPr>
                <w:bCs/>
                <w:sz w:val="20"/>
                <w:szCs w:val="20"/>
              </w:rPr>
            </w:pPr>
            <w:r w:rsidRPr="005A1F62">
              <w:rPr>
                <w:bCs/>
                <w:sz w:val="20"/>
                <w:szCs w:val="20"/>
              </w:rPr>
              <w:t>7</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DD933BF" w14:textId="20004DD7" w:rsidR="00240007" w:rsidRPr="005A1F62" w:rsidRDefault="002E5444" w:rsidP="00DC2FED">
            <w:pPr>
              <w:jc w:val="center"/>
              <w:rPr>
                <w:bCs/>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длинным хвостом»</w:t>
            </w:r>
          </w:p>
        </w:tc>
      </w:tr>
      <w:tr w:rsidR="00240007" w:rsidRPr="005A1F62" w14:paraId="759829FE"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04756EFA" w14:textId="77777777" w:rsidR="00240007" w:rsidRPr="005A1F62" w:rsidRDefault="00240007" w:rsidP="00DC2FED">
            <w:pPr>
              <w:pStyle w:val="3"/>
              <w:tabs>
                <w:tab w:val="left" w:pos="709"/>
              </w:tabs>
              <w:spacing w:before="0" w:after="0"/>
              <w:rPr>
                <w:rFonts w:ascii="Times New Roman" w:hAnsi="Times New Roman" w:cs="Times New Roman"/>
                <w:b w:val="0"/>
                <w:bCs w:val="0"/>
                <w:sz w:val="20"/>
                <w:szCs w:val="20"/>
              </w:rPr>
            </w:pPr>
            <w:bookmarkStart w:id="13" w:name="_Toc44433445"/>
            <w:r w:rsidRPr="005A1F62">
              <w:rPr>
                <w:rFonts w:ascii="Times New Roman" w:hAnsi="Times New Roman" w:cs="Times New Roman"/>
                <w:sz w:val="20"/>
                <w:szCs w:val="20"/>
              </w:rPr>
              <w:t>Качество активов и внебалансовых обязательств под риском</w:t>
            </w:r>
            <w:bookmarkEnd w:id="13"/>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82F15CF" w14:textId="6A9C8EB1" w:rsidR="00240007" w:rsidRPr="005A1F62" w:rsidRDefault="006C6519" w:rsidP="00DC2FED">
            <w:pPr>
              <w:jc w:val="center"/>
              <w:rPr>
                <w:bCs/>
                <w:sz w:val="20"/>
                <w:szCs w:val="20"/>
              </w:rPr>
            </w:pPr>
            <w:r w:rsidRPr="005A1F62">
              <w:rPr>
                <w:bCs/>
                <w:sz w:val="20"/>
                <w:szCs w:val="20"/>
              </w:rPr>
              <w:t>17</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316472E3" w14:textId="77777777" w:rsidR="00240007" w:rsidRPr="005A1F62" w:rsidRDefault="00240007" w:rsidP="00DC2FED">
            <w:pPr>
              <w:jc w:val="center"/>
              <w:rPr>
                <w:sz w:val="20"/>
                <w:szCs w:val="20"/>
              </w:rPr>
            </w:pPr>
          </w:p>
        </w:tc>
      </w:tr>
      <w:tr w:rsidR="00240007" w:rsidRPr="005A1F62" w14:paraId="257DA091"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698FEE51" w14:textId="77777777" w:rsidR="00240007" w:rsidRPr="005A1F62" w:rsidRDefault="00240007" w:rsidP="00DC2FED">
            <w:pPr>
              <w:rPr>
                <w:bCs/>
                <w:sz w:val="20"/>
                <w:szCs w:val="20"/>
              </w:rPr>
            </w:pPr>
            <w:r w:rsidRPr="005A1F62">
              <w:rPr>
                <w:sz w:val="20"/>
                <w:szCs w:val="20"/>
              </w:rPr>
              <w:t>Качество ссудного портфеля</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1B69761" w14:textId="131B1BD5" w:rsidR="00240007" w:rsidRPr="005A1F62" w:rsidRDefault="006C6519" w:rsidP="00DC2FED">
            <w:pPr>
              <w:jc w:val="center"/>
              <w:rPr>
                <w:bCs/>
                <w:sz w:val="20"/>
                <w:szCs w:val="20"/>
              </w:rPr>
            </w:pPr>
            <w:r w:rsidRPr="005A1F62">
              <w:rPr>
                <w:bCs/>
                <w:sz w:val="20"/>
                <w:szCs w:val="20"/>
              </w:rPr>
              <w:t>17</w:t>
            </w:r>
            <w:r w:rsidR="00216019" w:rsidRPr="005A1F62">
              <w:rPr>
                <w:bCs/>
                <w:sz w:val="20"/>
                <w:szCs w:val="20"/>
              </w:rPr>
              <w:t>*доля</w:t>
            </w:r>
            <w:r w:rsidR="00240007" w:rsidRPr="005A1F62">
              <w:rPr>
                <w:sz w:val="20"/>
                <w:szCs w:val="20"/>
              </w:rPr>
              <w:t xml:space="preserve"> ссуд без учета МБК в активах и внебалансовых обязательствах под риском</w:t>
            </w:r>
            <w:r w:rsidR="007804FF" w:rsidRPr="005A1F62">
              <w:rPr>
                <w:sz w:val="20"/>
                <w:szCs w:val="20"/>
              </w:rPr>
              <w:t>, умноженных на коэффициент 0,5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64DA4B0A" w14:textId="448D9D09" w:rsidR="00240007" w:rsidRPr="005A1F62" w:rsidRDefault="002E5444" w:rsidP="00DC2FED">
            <w:pPr>
              <w:jc w:val="center"/>
              <w:rPr>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коротким хвостом»</w:t>
            </w:r>
            <w:r w:rsidR="00240007" w:rsidRPr="005A1F62">
              <w:rPr>
                <w:rStyle w:val="a9"/>
                <w:sz w:val="20"/>
                <w:szCs w:val="20"/>
              </w:rPr>
              <w:footnoteReference w:id="4"/>
            </w:r>
            <w:r w:rsidR="00240007" w:rsidRPr="005A1F62">
              <w:rPr>
                <w:sz w:val="20"/>
                <w:szCs w:val="20"/>
              </w:rPr>
              <w:t xml:space="preserve"> </w:t>
            </w:r>
          </w:p>
        </w:tc>
      </w:tr>
      <w:tr w:rsidR="00240007" w:rsidRPr="005A1F62" w14:paraId="33B15456"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5F859DA9" w14:textId="77777777" w:rsidR="00240007" w:rsidRPr="005A1F62" w:rsidRDefault="00240007" w:rsidP="00DC2FED">
            <w:pPr>
              <w:rPr>
                <w:bCs/>
                <w:sz w:val="20"/>
                <w:szCs w:val="20"/>
              </w:rPr>
            </w:pPr>
            <w:r w:rsidRPr="005A1F62">
              <w:rPr>
                <w:sz w:val="20"/>
                <w:szCs w:val="20"/>
              </w:rPr>
              <w:t>Качество портфеля ценных бумаг</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3FE4512" w14:textId="120773B4" w:rsidR="00240007" w:rsidRPr="005A1F62" w:rsidRDefault="006C6519" w:rsidP="00DC2FED">
            <w:pPr>
              <w:jc w:val="center"/>
              <w:rPr>
                <w:bCs/>
                <w:sz w:val="20"/>
                <w:szCs w:val="20"/>
              </w:rPr>
            </w:pPr>
            <w:r w:rsidRPr="005A1F62">
              <w:rPr>
                <w:bCs/>
                <w:sz w:val="20"/>
                <w:szCs w:val="20"/>
              </w:rPr>
              <w:t>17</w:t>
            </w:r>
            <w:r w:rsidR="00216019" w:rsidRPr="005A1F62">
              <w:rPr>
                <w:bCs/>
                <w:sz w:val="20"/>
                <w:szCs w:val="20"/>
              </w:rPr>
              <w:t>*доля</w:t>
            </w:r>
            <w:r w:rsidR="00240007" w:rsidRPr="005A1F62">
              <w:rPr>
                <w:sz w:val="20"/>
                <w:szCs w:val="20"/>
              </w:rPr>
              <w:t xml:space="preserve"> ценных бумаг в активах и внебалансовых обязательствах под риском</w:t>
            </w:r>
            <w:r w:rsidR="007804FF" w:rsidRPr="005A1F62">
              <w:rPr>
                <w:sz w:val="20"/>
                <w:szCs w:val="20"/>
              </w:rPr>
              <w:t>, умноженных на коэффициент 0,5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6CAC93DC" w14:textId="0BF6B443" w:rsidR="00240007" w:rsidRPr="005A1F62" w:rsidRDefault="002E5444" w:rsidP="00DC2FED">
            <w:pPr>
              <w:jc w:val="center"/>
              <w:rPr>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коротким хвостом»</w:t>
            </w:r>
          </w:p>
        </w:tc>
      </w:tr>
      <w:tr w:rsidR="00240007" w:rsidRPr="005A1F62" w14:paraId="6E3C02F6"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34FD32FF" w14:textId="77777777" w:rsidR="00240007" w:rsidRPr="005A1F62" w:rsidRDefault="00240007" w:rsidP="00DC2FED">
            <w:pPr>
              <w:rPr>
                <w:bCs/>
                <w:sz w:val="20"/>
                <w:szCs w:val="20"/>
              </w:rPr>
            </w:pPr>
            <w:r w:rsidRPr="005A1F62">
              <w:rPr>
                <w:sz w:val="20"/>
                <w:szCs w:val="20"/>
              </w:rPr>
              <w:t>Качество корсчетов и ссуд, выданных банкам</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09A2C9D" w14:textId="42EE7225" w:rsidR="00240007" w:rsidRPr="005A1F62" w:rsidRDefault="006C6519" w:rsidP="00DC2FED">
            <w:pPr>
              <w:jc w:val="center"/>
              <w:rPr>
                <w:bCs/>
                <w:sz w:val="20"/>
                <w:szCs w:val="20"/>
              </w:rPr>
            </w:pPr>
            <w:r w:rsidRPr="005A1F62">
              <w:rPr>
                <w:bCs/>
                <w:sz w:val="20"/>
                <w:szCs w:val="20"/>
              </w:rPr>
              <w:t>17</w:t>
            </w:r>
            <w:r w:rsidR="00216019" w:rsidRPr="005A1F62">
              <w:rPr>
                <w:bCs/>
                <w:sz w:val="20"/>
                <w:szCs w:val="20"/>
              </w:rPr>
              <w:t>*доля</w:t>
            </w:r>
            <w:r w:rsidR="00240007" w:rsidRPr="005A1F62">
              <w:rPr>
                <w:sz w:val="20"/>
                <w:szCs w:val="20"/>
              </w:rPr>
              <w:t xml:space="preserve"> корсчетов и ссуд, выданных банкам, в активах и внебалансовых обязательствах под риском</w:t>
            </w:r>
            <w:r w:rsidR="007804FF" w:rsidRPr="005A1F62">
              <w:rPr>
                <w:sz w:val="20"/>
                <w:szCs w:val="20"/>
              </w:rPr>
              <w:t>, умноженных на коэффициент 0,5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65AE63EA" w14:textId="4BD9CCD2"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2869D8F5"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0F4A9A58" w14:textId="77777777" w:rsidR="00240007" w:rsidRPr="005A1F62" w:rsidRDefault="00240007" w:rsidP="00DC2FED">
            <w:pPr>
              <w:rPr>
                <w:bCs/>
                <w:sz w:val="20"/>
                <w:szCs w:val="20"/>
              </w:rPr>
            </w:pPr>
            <w:r w:rsidRPr="005A1F62">
              <w:rPr>
                <w:sz w:val="20"/>
                <w:szCs w:val="20"/>
              </w:rPr>
              <w:t>Имущество и иные активы под риском</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C0FE8ED" w14:textId="509DC04B" w:rsidR="00240007" w:rsidRPr="005A1F62" w:rsidRDefault="006C6519" w:rsidP="00DC2FED">
            <w:pPr>
              <w:jc w:val="center"/>
              <w:rPr>
                <w:bCs/>
                <w:sz w:val="20"/>
                <w:szCs w:val="20"/>
              </w:rPr>
            </w:pPr>
            <w:r w:rsidRPr="005A1F62">
              <w:rPr>
                <w:bCs/>
                <w:sz w:val="20"/>
                <w:szCs w:val="20"/>
              </w:rPr>
              <w:t>17</w:t>
            </w:r>
            <w:r w:rsidR="00216019" w:rsidRPr="005A1F62">
              <w:rPr>
                <w:bCs/>
                <w:sz w:val="20"/>
                <w:szCs w:val="20"/>
              </w:rPr>
              <w:t>*доля</w:t>
            </w:r>
            <w:r w:rsidR="00240007" w:rsidRPr="005A1F62">
              <w:rPr>
                <w:sz w:val="20"/>
                <w:szCs w:val="20"/>
              </w:rPr>
              <w:t xml:space="preserve"> имущества и иных активов под риском в активах и внебалансовых обязательствах под риском</w:t>
            </w:r>
            <w:r w:rsidR="007804FF" w:rsidRPr="005A1F62">
              <w:rPr>
                <w:sz w:val="20"/>
                <w:szCs w:val="20"/>
              </w:rPr>
              <w:t>, умноженных на коэффициент 0,5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4967A676" w14:textId="1B1EE890" w:rsidR="00240007" w:rsidRPr="005A1F62" w:rsidRDefault="002E5444" w:rsidP="00DC2FED">
            <w:pPr>
              <w:jc w:val="center"/>
              <w:rPr>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длинным хвостом»</w:t>
            </w:r>
          </w:p>
        </w:tc>
      </w:tr>
      <w:tr w:rsidR="00240007" w:rsidRPr="005A1F62" w14:paraId="241B8869"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7FB4EB8B" w14:textId="77777777" w:rsidR="00240007" w:rsidRPr="005A1F62" w:rsidRDefault="00240007" w:rsidP="00DC2FED">
            <w:pPr>
              <w:rPr>
                <w:bCs/>
                <w:sz w:val="20"/>
                <w:szCs w:val="20"/>
              </w:rPr>
            </w:pPr>
            <w:r w:rsidRPr="005A1F62">
              <w:rPr>
                <w:sz w:val="20"/>
                <w:szCs w:val="20"/>
              </w:rPr>
              <w:t>Качество выданных гарантий и поручительств</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ABD2AB5" w14:textId="4EE6E8B1" w:rsidR="00240007" w:rsidRPr="005A1F62" w:rsidRDefault="006C6519" w:rsidP="00DC2FED">
            <w:pPr>
              <w:jc w:val="center"/>
              <w:rPr>
                <w:bCs/>
                <w:sz w:val="20"/>
                <w:szCs w:val="20"/>
              </w:rPr>
            </w:pPr>
            <w:r w:rsidRPr="005A1F62">
              <w:rPr>
                <w:bCs/>
                <w:sz w:val="20"/>
                <w:szCs w:val="20"/>
              </w:rPr>
              <w:t>17</w:t>
            </w:r>
            <w:r w:rsidR="00240007" w:rsidRPr="005A1F62">
              <w:rPr>
                <w:bCs/>
                <w:sz w:val="20"/>
                <w:szCs w:val="20"/>
              </w:rPr>
              <w:t xml:space="preserve">*доля гарантий и поручительств </w:t>
            </w:r>
            <w:r w:rsidR="00240007" w:rsidRPr="005A1F62">
              <w:rPr>
                <w:sz w:val="20"/>
                <w:szCs w:val="20"/>
              </w:rPr>
              <w:t>в активах и внебалансовых обязательствах под риском</w:t>
            </w:r>
            <w:r w:rsidR="007804FF" w:rsidRPr="005A1F62">
              <w:rPr>
                <w:sz w:val="20"/>
                <w:szCs w:val="20"/>
              </w:rPr>
              <w:t>, умноженных на коэффициент 0,5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61C3B4C" w14:textId="3A5E3D56" w:rsidR="00240007" w:rsidRPr="005A1F62" w:rsidRDefault="00053FB7" w:rsidP="00DC2FED">
            <w:pPr>
              <w:jc w:val="center"/>
              <w:rPr>
                <w:sz w:val="20"/>
                <w:szCs w:val="20"/>
              </w:rPr>
            </w:pPr>
            <w:r w:rsidRPr="005A1F62">
              <w:rPr>
                <w:sz w:val="20"/>
                <w:szCs w:val="20"/>
              </w:rPr>
              <w:t>На последнюю дату</w:t>
            </w:r>
          </w:p>
        </w:tc>
      </w:tr>
      <w:tr w:rsidR="00240007" w:rsidRPr="005A1F62" w14:paraId="58F9B519"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4CE7A8" w14:textId="77777777" w:rsidR="00240007" w:rsidRPr="005A1F62" w:rsidRDefault="00240007" w:rsidP="00DC2FED">
            <w:pPr>
              <w:rPr>
                <w:b/>
                <w:bCs/>
                <w:sz w:val="20"/>
                <w:szCs w:val="20"/>
              </w:rPr>
            </w:pPr>
            <w:r w:rsidRPr="005A1F62">
              <w:rPr>
                <w:b/>
                <w:sz w:val="20"/>
                <w:szCs w:val="20"/>
              </w:rPr>
              <w:t>Прибыльность операций</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FE4C2" w14:textId="0B79BA47" w:rsidR="00240007" w:rsidRPr="005A1F62" w:rsidRDefault="005A1F62" w:rsidP="00DC2FED">
            <w:pPr>
              <w:jc w:val="center"/>
              <w:rPr>
                <w:sz w:val="20"/>
                <w:szCs w:val="20"/>
              </w:rPr>
            </w:pPr>
            <w:r w:rsidRPr="005A1F62">
              <w:rPr>
                <w:bCs/>
                <w:sz w:val="20"/>
                <w:szCs w:val="20"/>
              </w:rPr>
              <w:t>6</w:t>
            </w:r>
            <w:r w:rsidR="004E2D10" w:rsidRPr="005A1F62">
              <w:rPr>
                <w:bCs/>
                <w:sz w:val="20"/>
                <w:szCs w:val="20"/>
              </w:rPr>
              <w:t>,5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7DD7C050" w14:textId="77777777" w:rsidR="00240007" w:rsidRPr="005A1F62" w:rsidRDefault="00240007" w:rsidP="00DC2FED">
            <w:pPr>
              <w:jc w:val="center"/>
              <w:rPr>
                <w:bCs/>
                <w:sz w:val="20"/>
                <w:szCs w:val="20"/>
              </w:rPr>
            </w:pPr>
          </w:p>
        </w:tc>
      </w:tr>
      <w:tr w:rsidR="00B92584" w:rsidRPr="005A1F62" w14:paraId="1E00DC24" w14:textId="77777777" w:rsidTr="00B92584">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7EA5599E" w14:textId="77777777" w:rsidR="00B92584" w:rsidRPr="005A1F62" w:rsidRDefault="00B92584" w:rsidP="00DC2FED">
            <w:pPr>
              <w:rPr>
                <w:sz w:val="20"/>
                <w:szCs w:val="20"/>
              </w:rPr>
            </w:pPr>
            <w:r w:rsidRPr="005A1F62">
              <w:rPr>
                <w:sz w:val="20"/>
                <w:szCs w:val="20"/>
              </w:rPr>
              <w:t>Прибыльность по МСФО за последние три года</w:t>
            </w:r>
          </w:p>
        </w:tc>
        <w:tc>
          <w:tcPr>
            <w:tcW w:w="98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7C306B9" w14:textId="57EBDF74" w:rsidR="00B92584" w:rsidRPr="005A1F62" w:rsidRDefault="001570EF" w:rsidP="00DC2FED">
            <w:pPr>
              <w:jc w:val="center"/>
              <w:rPr>
                <w:sz w:val="20"/>
                <w:szCs w:val="20"/>
              </w:rPr>
            </w:pPr>
            <w:r w:rsidRPr="005A1F62">
              <w:rPr>
                <w:sz w:val="20"/>
                <w:szCs w:val="20"/>
              </w:rPr>
              <w:t>2,5</w:t>
            </w:r>
          </w:p>
        </w:tc>
        <w:tc>
          <w:tcPr>
            <w:tcW w:w="985" w:type="pct"/>
            <w:tcBorders>
              <w:top w:val="single" w:sz="8" w:space="0" w:color="auto"/>
              <w:left w:val="single" w:sz="8" w:space="0" w:color="auto"/>
              <w:bottom w:val="single" w:sz="8" w:space="0" w:color="auto"/>
              <w:right w:val="single" w:sz="8" w:space="0" w:color="auto"/>
            </w:tcBorders>
            <w:shd w:val="clear" w:color="auto" w:fill="auto"/>
            <w:vAlign w:val="center"/>
          </w:tcPr>
          <w:p w14:paraId="286C04ED" w14:textId="0EE83EAF" w:rsidR="00B92584" w:rsidRPr="005A1F62" w:rsidRDefault="006C6519" w:rsidP="00DC2FED">
            <w:pPr>
              <w:jc w:val="center"/>
              <w:rPr>
                <w:sz w:val="20"/>
                <w:szCs w:val="20"/>
              </w:rPr>
            </w:pPr>
            <w:r w:rsidRPr="005A1F62">
              <w:rPr>
                <w:sz w:val="20"/>
                <w:szCs w:val="20"/>
              </w:rPr>
              <w:t>2,5</w:t>
            </w:r>
            <w:r w:rsidR="004C360E" w:rsidRPr="005A1F62">
              <w:rPr>
                <w:rStyle w:val="a9"/>
                <w:sz w:val="20"/>
                <w:szCs w:val="20"/>
                <w:lang w:val="en-US"/>
              </w:rPr>
              <w:footnoteReference w:id="5"/>
            </w:r>
            <w:r w:rsidR="004C360E" w:rsidRPr="005A1F62">
              <w:rPr>
                <w:sz w:val="20"/>
                <w:szCs w:val="20"/>
                <w:lang w:val="en-US"/>
              </w:rPr>
              <w:t xml:space="preserve"> </w:t>
            </w:r>
            <w:r w:rsidR="004C360E" w:rsidRPr="005A1F62">
              <w:rPr>
                <w:sz w:val="20"/>
                <w:szCs w:val="20"/>
              </w:rPr>
              <w:t>/ 0</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5305BBC2" w14:textId="0C31C97E" w:rsidR="00B92584" w:rsidRPr="005A1F62" w:rsidRDefault="00B92584" w:rsidP="00DC2FED">
            <w:pPr>
              <w:jc w:val="center"/>
              <w:rPr>
                <w:sz w:val="20"/>
                <w:szCs w:val="20"/>
              </w:rPr>
            </w:pPr>
            <w:r w:rsidRPr="005A1F62">
              <w:rPr>
                <w:sz w:val="20"/>
                <w:szCs w:val="20"/>
              </w:rPr>
              <w:t>Без «хвоста» (за последние 2 года)</w:t>
            </w:r>
          </w:p>
        </w:tc>
      </w:tr>
      <w:tr w:rsidR="00B92584" w:rsidRPr="005A1F62" w14:paraId="6ACE33F5" w14:textId="77777777" w:rsidTr="00B92584">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220A22AD" w14:textId="77777777" w:rsidR="00B92584" w:rsidRPr="005A1F62" w:rsidRDefault="00B92584" w:rsidP="00DC2FED">
            <w:pPr>
              <w:rPr>
                <w:sz w:val="20"/>
                <w:szCs w:val="20"/>
              </w:rPr>
            </w:pPr>
            <w:r w:rsidRPr="005A1F62">
              <w:rPr>
                <w:sz w:val="20"/>
                <w:szCs w:val="20"/>
              </w:rPr>
              <w:t>Прибыльность по РСБУ за последние полтора года</w:t>
            </w:r>
          </w:p>
        </w:tc>
        <w:tc>
          <w:tcPr>
            <w:tcW w:w="98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26C6CC" w14:textId="7EB9755F" w:rsidR="00B92584" w:rsidRPr="005A1F62" w:rsidRDefault="00AB1925" w:rsidP="00DC2FED">
            <w:pPr>
              <w:jc w:val="center"/>
              <w:rPr>
                <w:sz w:val="20"/>
                <w:szCs w:val="20"/>
              </w:rPr>
            </w:pPr>
            <w:r w:rsidRPr="005A1F62">
              <w:rPr>
                <w:sz w:val="20"/>
                <w:szCs w:val="20"/>
              </w:rPr>
              <w:t>2,</w:t>
            </w:r>
            <w:r w:rsidR="001570EF" w:rsidRPr="005A1F62">
              <w:rPr>
                <w:sz w:val="20"/>
                <w:szCs w:val="20"/>
              </w:rPr>
              <w:t>0</w:t>
            </w:r>
            <w:r w:rsidR="00B92584" w:rsidRPr="005A1F62">
              <w:rPr>
                <w:sz w:val="20"/>
                <w:szCs w:val="20"/>
              </w:rPr>
              <w:t>,5</w:t>
            </w:r>
          </w:p>
        </w:tc>
        <w:tc>
          <w:tcPr>
            <w:tcW w:w="985" w:type="pct"/>
            <w:tcBorders>
              <w:top w:val="single" w:sz="8" w:space="0" w:color="auto"/>
              <w:left w:val="single" w:sz="8" w:space="0" w:color="auto"/>
              <w:bottom w:val="single" w:sz="8" w:space="0" w:color="auto"/>
              <w:right w:val="single" w:sz="8" w:space="0" w:color="auto"/>
            </w:tcBorders>
            <w:shd w:val="clear" w:color="auto" w:fill="auto"/>
            <w:vAlign w:val="center"/>
          </w:tcPr>
          <w:p w14:paraId="79E11944" w14:textId="319A4DC4" w:rsidR="00B92584" w:rsidRPr="005A1F62" w:rsidRDefault="00AB1925" w:rsidP="00DC2FED">
            <w:pPr>
              <w:jc w:val="center"/>
              <w:rPr>
                <w:sz w:val="20"/>
                <w:szCs w:val="20"/>
                <w:lang w:val="en-US"/>
              </w:rPr>
            </w:pPr>
            <w:r w:rsidRPr="005A1F62">
              <w:rPr>
                <w:sz w:val="20"/>
                <w:szCs w:val="20"/>
              </w:rPr>
              <w:t>2,</w:t>
            </w:r>
            <w:r w:rsidR="006C6519" w:rsidRPr="005A1F62">
              <w:rPr>
                <w:sz w:val="20"/>
                <w:szCs w:val="20"/>
              </w:rPr>
              <w:t>0</w:t>
            </w:r>
            <w:r w:rsidR="004C360E" w:rsidRPr="005A1F62">
              <w:rPr>
                <w:sz w:val="20"/>
                <w:szCs w:val="20"/>
                <w:lang w:val="en-US"/>
              </w:rPr>
              <w:t xml:space="preserve"> / </w:t>
            </w:r>
            <w:r w:rsidRPr="005A1F62">
              <w:rPr>
                <w:sz w:val="20"/>
                <w:szCs w:val="20"/>
              </w:rPr>
              <w:t>4,</w:t>
            </w:r>
            <w:r w:rsidR="006C6519" w:rsidRPr="005A1F62">
              <w:rPr>
                <w:sz w:val="20"/>
                <w:szCs w:val="20"/>
              </w:rPr>
              <w:t>0</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4B933E6A" w14:textId="3F3E0AE8" w:rsidR="00B92584" w:rsidRPr="005A1F62" w:rsidRDefault="00B92584" w:rsidP="00DC2FED">
            <w:pPr>
              <w:jc w:val="center"/>
              <w:rPr>
                <w:sz w:val="20"/>
                <w:szCs w:val="20"/>
              </w:rPr>
            </w:pPr>
            <w:r w:rsidRPr="005A1F62">
              <w:rPr>
                <w:sz w:val="20"/>
                <w:szCs w:val="20"/>
              </w:rPr>
              <w:t>С «длинным хвостом»</w:t>
            </w:r>
          </w:p>
        </w:tc>
      </w:tr>
      <w:tr w:rsidR="00240007" w:rsidRPr="005A1F62" w14:paraId="02F5954C"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03AC3AD7" w14:textId="77777777" w:rsidR="00240007" w:rsidRPr="005A1F62" w:rsidRDefault="00240007" w:rsidP="00DC2FED">
            <w:pPr>
              <w:rPr>
                <w:sz w:val="20"/>
                <w:szCs w:val="20"/>
              </w:rPr>
            </w:pPr>
            <w:r w:rsidRPr="005A1F62">
              <w:rPr>
                <w:sz w:val="20"/>
                <w:szCs w:val="20"/>
              </w:rPr>
              <w:t>Структурные показатели финансового результата</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159EEE6" w14:textId="77777777" w:rsidR="00240007" w:rsidRPr="005A1F62" w:rsidRDefault="00240007" w:rsidP="00DC2FED">
            <w:pPr>
              <w:jc w:val="center"/>
              <w:rPr>
                <w:sz w:val="20"/>
                <w:szCs w:val="20"/>
              </w:rPr>
            </w:pPr>
            <w:r w:rsidRPr="005A1F62">
              <w:rPr>
                <w:sz w:val="20"/>
                <w:szCs w:val="20"/>
              </w:rPr>
              <w:t>2</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722EA825" w14:textId="51B36892" w:rsidR="00240007" w:rsidRPr="005A1F62" w:rsidRDefault="002E5444" w:rsidP="00DC2FED">
            <w:pPr>
              <w:jc w:val="center"/>
              <w:rPr>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длинным хвостом»</w:t>
            </w:r>
            <w:r w:rsidR="008B09CF" w:rsidRPr="005A1F62">
              <w:rPr>
                <w:rStyle w:val="a9"/>
                <w:sz w:val="20"/>
                <w:szCs w:val="20"/>
              </w:rPr>
              <w:footnoteReference w:id="6"/>
            </w:r>
            <w:r w:rsidR="008B09CF" w:rsidRPr="005A1F62">
              <w:rPr>
                <w:sz w:val="20"/>
                <w:szCs w:val="20"/>
              </w:rPr>
              <w:t xml:space="preserve"> </w:t>
            </w:r>
          </w:p>
        </w:tc>
      </w:tr>
      <w:tr w:rsidR="00240007" w:rsidRPr="005A1F62" w14:paraId="2CD2C540"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226D3B62" w14:textId="77777777" w:rsidR="00240007" w:rsidRPr="005A1F62" w:rsidRDefault="00240007" w:rsidP="00DC2FED">
            <w:pPr>
              <w:rPr>
                <w:b/>
                <w:bCs/>
                <w:sz w:val="20"/>
                <w:szCs w:val="20"/>
              </w:rPr>
            </w:pPr>
            <w:r w:rsidRPr="005A1F62">
              <w:rPr>
                <w:b/>
                <w:sz w:val="20"/>
                <w:szCs w:val="20"/>
              </w:rPr>
              <w:lastRenderedPageBreak/>
              <w:t>Структура ресурсной базы</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38BEFFA" w14:textId="19B7094E" w:rsidR="00240007" w:rsidRPr="005A1F62" w:rsidRDefault="004E2D10" w:rsidP="00DC2FED">
            <w:pPr>
              <w:jc w:val="center"/>
              <w:rPr>
                <w:bCs/>
                <w:sz w:val="20"/>
                <w:szCs w:val="20"/>
              </w:rPr>
            </w:pPr>
            <w:r w:rsidRPr="005A1F62">
              <w:rPr>
                <w:bCs/>
                <w:sz w:val="20"/>
                <w:szCs w:val="20"/>
              </w:rPr>
              <w:t>1</w:t>
            </w:r>
            <w:r w:rsidR="006C6519" w:rsidRPr="005A1F62">
              <w:rPr>
                <w:bCs/>
                <w:sz w:val="20"/>
                <w:szCs w:val="20"/>
              </w:rPr>
              <w:t>1</w:t>
            </w:r>
            <w:r w:rsidRPr="005A1F62">
              <w:rPr>
                <w:bCs/>
                <w:sz w:val="20"/>
                <w:szCs w:val="20"/>
              </w:rPr>
              <w:t>,5</w:t>
            </w:r>
            <w:r w:rsidR="00240007" w:rsidRPr="005A1F62">
              <w:rPr>
                <w:rStyle w:val="a9"/>
                <w:bCs/>
                <w:sz w:val="20"/>
                <w:szCs w:val="20"/>
              </w:rPr>
              <w:footnoteReference w:id="7"/>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3A821E57" w14:textId="77777777" w:rsidR="00240007" w:rsidRPr="005A1F62" w:rsidRDefault="00240007" w:rsidP="00DC2FED">
            <w:pPr>
              <w:jc w:val="center"/>
              <w:rPr>
                <w:bCs/>
                <w:sz w:val="20"/>
                <w:szCs w:val="20"/>
              </w:rPr>
            </w:pPr>
          </w:p>
        </w:tc>
      </w:tr>
      <w:tr w:rsidR="00240007" w:rsidRPr="005A1F62" w14:paraId="2B88861B"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2CE5F354" w14:textId="77777777" w:rsidR="00240007" w:rsidRPr="005A1F62" w:rsidRDefault="00240007" w:rsidP="00DC2FED">
            <w:pPr>
              <w:rPr>
                <w:bCs/>
                <w:sz w:val="20"/>
                <w:szCs w:val="20"/>
              </w:rPr>
            </w:pPr>
            <w:r w:rsidRPr="005A1F62">
              <w:rPr>
                <w:sz w:val="20"/>
                <w:szCs w:val="20"/>
              </w:rPr>
              <w:t>Диверсификация ресурсной базы</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CB4B782" w14:textId="1A266FF9" w:rsidR="00240007" w:rsidRPr="005A1F62" w:rsidRDefault="006C6519" w:rsidP="00DC2FED">
            <w:pPr>
              <w:jc w:val="center"/>
              <w:rPr>
                <w:bCs/>
                <w:sz w:val="20"/>
                <w:szCs w:val="20"/>
              </w:rPr>
            </w:pPr>
            <w:r w:rsidRPr="005A1F62">
              <w:rPr>
                <w:bCs/>
                <w:sz w:val="20"/>
                <w:szCs w:val="20"/>
              </w:rPr>
              <w:t>4</w:t>
            </w:r>
            <w:r w:rsidR="00240007" w:rsidRPr="005A1F62">
              <w:rPr>
                <w:bCs/>
                <w:sz w:val="20"/>
                <w:szCs w:val="20"/>
                <w:lang w:val="en-US"/>
              </w:rPr>
              <w:t>/</w:t>
            </w:r>
            <w:r w:rsidRPr="005A1F62">
              <w:rPr>
                <w:bCs/>
                <w:sz w:val="20"/>
                <w:szCs w:val="20"/>
              </w:rPr>
              <w:t>4</w:t>
            </w:r>
            <w:r w:rsidR="009E43A4" w:rsidRPr="005A1F62">
              <w:rPr>
                <w:bCs/>
                <w:sz w:val="20"/>
                <w:szCs w:val="20"/>
              </w:rPr>
              <w:t>,5</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0BF0AF7A" w14:textId="20D85035" w:rsidR="00240007" w:rsidRPr="005A1F62" w:rsidRDefault="002E5444" w:rsidP="00DC2FED">
            <w:pPr>
              <w:jc w:val="center"/>
              <w:rPr>
                <w:bCs/>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длинным хвостом»</w:t>
            </w:r>
          </w:p>
        </w:tc>
      </w:tr>
      <w:tr w:rsidR="00240007" w:rsidRPr="005A1F62" w14:paraId="7AE36070"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2F8D88C9" w14:textId="77777777" w:rsidR="00240007" w:rsidRPr="005A1F62" w:rsidRDefault="00240007" w:rsidP="00DC2FED">
            <w:pPr>
              <w:rPr>
                <w:bCs/>
                <w:sz w:val="20"/>
                <w:szCs w:val="20"/>
              </w:rPr>
            </w:pPr>
            <w:r w:rsidRPr="005A1F62">
              <w:rPr>
                <w:sz w:val="20"/>
                <w:szCs w:val="20"/>
              </w:rPr>
              <w:t>Стабильность ресурсной базы</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3C54BBA" w14:textId="77777777" w:rsidR="00240007" w:rsidRPr="005A1F62" w:rsidRDefault="00240007" w:rsidP="00DC2FED">
            <w:pPr>
              <w:jc w:val="center"/>
              <w:rPr>
                <w:bCs/>
                <w:sz w:val="20"/>
                <w:szCs w:val="20"/>
              </w:rPr>
            </w:pPr>
            <w:r w:rsidRPr="005A1F62">
              <w:rPr>
                <w:bCs/>
                <w:sz w:val="20"/>
                <w:szCs w:val="20"/>
              </w:rPr>
              <w:t>2,5</w:t>
            </w:r>
            <w:r w:rsidRPr="005A1F62">
              <w:rPr>
                <w:bCs/>
                <w:sz w:val="20"/>
                <w:szCs w:val="20"/>
                <w:lang w:val="en-US"/>
              </w:rPr>
              <w:t>/</w:t>
            </w:r>
            <w:r w:rsidRPr="005A1F62">
              <w:rPr>
                <w:bCs/>
                <w:sz w:val="20"/>
                <w:szCs w:val="20"/>
              </w:rPr>
              <w:t>4</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2F70E11" w14:textId="7C98D81B" w:rsidR="00240007" w:rsidRPr="005A1F62" w:rsidRDefault="002E5444" w:rsidP="00DC2FED">
            <w:pPr>
              <w:jc w:val="center"/>
              <w:rPr>
                <w:bCs/>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длинным хвостом»</w:t>
            </w:r>
          </w:p>
        </w:tc>
      </w:tr>
      <w:tr w:rsidR="00240007" w:rsidRPr="005A1F62" w14:paraId="32CC45D3"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7FF7A6B7" w14:textId="77777777" w:rsidR="00240007" w:rsidRPr="005A1F62" w:rsidRDefault="00240007" w:rsidP="00DC2FED">
            <w:pPr>
              <w:rPr>
                <w:sz w:val="20"/>
                <w:szCs w:val="20"/>
              </w:rPr>
            </w:pPr>
            <w:r w:rsidRPr="005A1F62">
              <w:rPr>
                <w:sz w:val="20"/>
                <w:szCs w:val="20"/>
              </w:rPr>
              <w:t>Стоимость фондирования</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AC3A866" w14:textId="33A3934E" w:rsidR="00240007" w:rsidRPr="005A1F62" w:rsidRDefault="009E43A4" w:rsidP="00DC2FED">
            <w:pPr>
              <w:jc w:val="center"/>
              <w:rPr>
                <w:bCs/>
                <w:sz w:val="20"/>
                <w:szCs w:val="20"/>
              </w:rPr>
            </w:pPr>
            <w:r w:rsidRPr="005A1F62">
              <w:rPr>
                <w:bCs/>
                <w:sz w:val="20"/>
                <w:szCs w:val="20"/>
              </w:rPr>
              <w:t>3</w:t>
            </w:r>
            <w:r w:rsidR="00240007" w:rsidRPr="005A1F62">
              <w:rPr>
                <w:bCs/>
                <w:sz w:val="20"/>
                <w:szCs w:val="20"/>
                <w:lang w:val="en-US"/>
              </w:rPr>
              <w:t>/</w:t>
            </w:r>
            <w:r w:rsidR="00240007" w:rsidRPr="005A1F62">
              <w:rPr>
                <w:bCs/>
                <w:sz w:val="20"/>
                <w:szCs w:val="20"/>
              </w:rPr>
              <w:t>0</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1F203CE1" w14:textId="06111CF9" w:rsidR="00240007" w:rsidRPr="005A1F62" w:rsidRDefault="002E5444" w:rsidP="00DC2FED">
            <w:pPr>
              <w:jc w:val="center"/>
              <w:rPr>
                <w:sz w:val="20"/>
                <w:szCs w:val="20"/>
                <w:highlight w:val="yellow"/>
              </w:rPr>
            </w:pPr>
            <w:r w:rsidRPr="005A1F62">
              <w:rPr>
                <w:sz w:val="20"/>
                <w:szCs w:val="20"/>
              </w:rPr>
              <w:t>С</w:t>
            </w:r>
            <w:r w:rsidR="00D44D3D" w:rsidRPr="005A1F62">
              <w:rPr>
                <w:sz w:val="20"/>
                <w:szCs w:val="20"/>
              </w:rPr>
              <w:t xml:space="preserve"> </w:t>
            </w:r>
            <w:r w:rsidR="005A5B91" w:rsidRPr="005A1F62">
              <w:rPr>
                <w:sz w:val="20"/>
                <w:szCs w:val="20"/>
              </w:rPr>
              <w:t>«</w:t>
            </w:r>
            <w:r w:rsidR="00D44D3D" w:rsidRPr="005A1F62">
              <w:rPr>
                <w:sz w:val="20"/>
                <w:szCs w:val="20"/>
              </w:rPr>
              <w:t>длинным хвостом»</w:t>
            </w:r>
          </w:p>
        </w:tc>
      </w:tr>
      <w:tr w:rsidR="00240007" w:rsidRPr="005A1F62" w14:paraId="7A28908D"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619F916F" w14:textId="77777777" w:rsidR="00240007" w:rsidRPr="005A1F62" w:rsidRDefault="00240007" w:rsidP="00DC2FED">
            <w:pPr>
              <w:rPr>
                <w:bCs/>
                <w:sz w:val="20"/>
                <w:szCs w:val="20"/>
              </w:rPr>
            </w:pPr>
            <w:r w:rsidRPr="005A1F62">
              <w:rPr>
                <w:sz w:val="20"/>
                <w:szCs w:val="20"/>
              </w:rPr>
              <w:t>Влияния крупных выплат</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19B2ABD" w14:textId="299778D4" w:rsidR="00240007" w:rsidRPr="005A1F62" w:rsidRDefault="009E43A4" w:rsidP="00DC2FED">
            <w:pPr>
              <w:jc w:val="center"/>
              <w:rPr>
                <w:bCs/>
                <w:sz w:val="20"/>
                <w:szCs w:val="20"/>
              </w:rPr>
            </w:pPr>
            <w:r w:rsidRPr="005A1F62">
              <w:rPr>
                <w:bCs/>
                <w:sz w:val="20"/>
                <w:szCs w:val="20"/>
              </w:rPr>
              <w:t>2</w:t>
            </w:r>
            <w:r w:rsidR="00240007" w:rsidRPr="005A1F62">
              <w:rPr>
                <w:bCs/>
                <w:sz w:val="20"/>
                <w:szCs w:val="20"/>
                <w:lang w:val="en-US"/>
              </w:rPr>
              <w:t>/</w:t>
            </w:r>
            <w:r w:rsidRPr="005A1F62">
              <w:rPr>
                <w:bCs/>
                <w:sz w:val="20"/>
                <w:szCs w:val="20"/>
              </w:rPr>
              <w:t>3</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78C35F36" w14:textId="0BAFB959"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496DCA0E"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ED7E8B" w14:textId="77777777" w:rsidR="00240007" w:rsidRPr="005A1F62" w:rsidRDefault="00240007" w:rsidP="00DC2FED">
            <w:pPr>
              <w:rPr>
                <w:b/>
                <w:bCs/>
                <w:sz w:val="20"/>
                <w:szCs w:val="20"/>
              </w:rPr>
            </w:pPr>
            <w:r w:rsidRPr="005A1F62">
              <w:rPr>
                <w:b/>
                <w:bCs/>
                <w:sz w:val="20"/>
                <w:szCs w:val="20"/>
              </w:rPr>
              <w:t>Ликвидность</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C57CB" w14:textId="3BE8D7C1" w:rsidR="00240007" w:rsidRPr="005A1F62" w:rsidRDefault="00161F31" w:rsidP="00DC2FED">
            <w:pPr>
              <w:jc w:val="center"/>
              <w:rPr>
                <w:bCs/>
                <w:sz w:val="20"/>
                <w:szCs w:val="20"/>
              </w:rPr>
            </w:pPr>
            <w:r w:rsidRPr="005A1F62">
              <w:rPr>
                <w:bCs/>
                <w:sz w:val="20"/>
                <w:szCs w:val="20"/>
              </w:rPr>
              <w:t>12</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5A60AA30" w14:textId="77777777" w:rsidR="00240007" w:rsidRPr="005A1F62" w:rsidRDefault="00240007" w:rsidP="00DC2FED">
            <w:pPr>
              <w:jc w:val="center"/>
              <w:rPr>
                <w:bCs/>
                <w:sz w:val="20"/>
                <w:szCs w:val="20"/>
              </w:rPr>
            </w:pPr>
          </w:p>
        </w:tc>
      </w:tr>
      <w:tr w:rsidR="00240007" w:rsidRPr="005A1F62" w14:paraId="57796D9B"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13ED626A" w14:textId="77777777" w:rsidR="00240007" w:rsidRPr="005A1F62" w:rsidRDefault="00240007" w:rsidP="00DC2FED">
            <w:pPr>
              <w:rPr>
                <w:sz w:val="20"/>
                <w:szCs w:val="20"/>
              </w:rPr>
            </w:pPr>
            <w:r w:rsidRPr="005A1F62">
              <w:rPr>
                <w:sz w:val="20"/>
                <w:szCs w:val="20"/>
              </w:rPr>
              <w:t>Сбалансированность активов и пассивов на краткосрочном горизонте</w:t>
            </w:r>
          </w:p>
        </w:tc>
        <w:tc>
          <w:tcPr>
            <w:tcW w:w="98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4E5427E" w14:textId="0DE73D12" w:rsidR="00240007" w:rsidRPr="005A1F62" w:rsidRDefault="0010639C" w:rsidP="00DC2FED">
            <w:pPr>
              <w:jc w:val="center"/>
              <w:rPr>
                <w:sz w:val="20"/>
                <w:szCs w:val="20"/>
              </w:rPr>
            </w:pPr>
            <w:r w:rsidRPr="005A1F62">
              <w:rPr>
                <w:sz w:val="20"/>
                <w:szCs w:val="20"/>
              </w:rPr>
              <w:t>8</w:t>
            </w:r>
          </w:p>
        </w:tc>
        <w:tc>
          <w:tcPr>
            <w:tcW w:w="985" w:type="pct"/>
            <w:tcBorders>
              <w:top w:val="single" w:sz="8" w:space="0" w:color="auto"/>
              <w:left w:val="single" w:sz="8" w:space="0" w:color="auto"/>
              <w:bottom w:val="single" w:sz="8" w:space="0" w:color="auto"/>
              <w:right w:val="single" w:sz="8" w:space="0" w:color="auto"/>
            </w:tcBorders>
            <w:shd w:val="clear" w:color="auto" w:fill="auto"/>
            <w:vAlign w:val="center"/>
          </w:tcPr>
          <w:p w14:paraId="3A34A847" w14:textId="75689C8C" w:rsidR="00240007" w:rsidRPr="005A1F62" w:rsidRDefault="0010639C" w:rsidP="00DC2FED">
            <w:pPr>
              <w:jc w:val="center"/>
              <w:rPr>
                <w:sz w:val="20"/>
                <w:szCs w:val="20"/>
              </w:rPr>
            </w:pPr>
            <w:r w:rsidRPr="005A1F62">
              <w:rPr>
                <w:sz w:val="20"/>
                <w:szCs w:val="20"/>
              </w:rPr>
              <w:t>12</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112870BB" w14:textId="3C36F2C5" w:rsidR="00240007" w:rsidRPr="005A1F62" w:rsidRDefault="002E5444" w:rsidP="00DC2FED">
            <w:pPr>
              <w:jc w:val="center"/>
              <w:rPr>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непрерывным коротким хвостом»</w:t>
            </w:r>
          </w:p>
        </w:tc>
      </w:tr>
      <w:tr w:rsidR="00240007" w:rsidRPr="005A1F62" w14:paraId="26E84A0D"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6EAB92" w14:textId="77777777" w:rsidR="00240007" w:rsidRPr="005A1F62" w:rsidRDefault="00240007" w:rsidP="00DC2FED">
            <w:pPr>
              <w:rPr>
                <w:sz w:val="20"/>
                <w:szCs w:val="20"/>
              </w:rPr>
            </w:pPr>
            <w:r w:rsidRPr="005A1F62">
              <w:rPr>
                <w:sz w:val="20"/>
                <w:szCs w:val="20"/>
              </w:rPr>
              <w:t>Сбалансированность активов и пассивов на долгосрочном горизонте</w:t>
            </w:r>
          </w:p>
        </w:tc>
        <w:tc>
          <w:tcPr>
            <w:tcW w:w="98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B8FF30" w14:textId="77777777" w:rsidR="00240007" w:rsidRPr="005A1F62" w:rsidRDefault="00240007" w:rsidP="00DC2FED">
            <w:pPr>
              <w:jc w:val="center"/>
              <w:rPr>
                <w:sz w:val="20"/>
                <w:szCs w:val="20"/>
              </w:rPr>
            </w:pPr>
            <w:r w:rsidRPr="005A1F62">
              <w:rPr>
                <w:sz w:val="20"/>
                <w:szCs w:val="20"/>
              </w:rPr>
              <w:t>4</w:t>
            </w:r>
          </w:p>
        </w:tc>
        <w:tc>
          <w:tcPr>
            <w:tcW w:w="985" w:type="pct"/>
            <w:tcBorders>
              <w:top w:val="single" w:sz="8" w:space="0" w:color="auto"/>
              <w:left w:val="single" w:sz="8" w:space="0" w:color="auto"/>
              <w:bottom w:val="single" w:sz="8" w:space="0" w:color="auto"/>
              <w:right w:val="single" w:sz="8" w:space="0" w:color="auto"/>
            </w:tcBorders>
            <w:shd w:val="clear" w:color="auto" w:fill="auto"/>
            <w:vAlign w:val="center"/>
          </w:tcPr>
          <w:p w14:paraId="6C22DE01" w14:textId="77777777" w:rsidR="00240007" w:rsidRPr="005A1F62" w:rsidRDefault="00240007" w:rsidP="00DC2FED">
            <w:pPr>
              <w:jc w:val="center"/>
              <w:rPr>
                <w:sz w:val="20"/>
                <w:szCs w:val="20"/>
              </w:rPr>
            </w:pPr>
            <w:r w:rsidRPr="005A1F62">
              <w:rPr>
                <w:sz w:val="20"/>
                <w:szCs w:val="20"/>
              </w:rPr>
              <w:t>0</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10ABB916" w14:textId="1C1CBE69" w:rsidR="00240007" w:rsidRPr="005A1F62" w:rsidRDefault="002E5444" w:rsidP="00DC2FED">
            <w:pPr>
              <w:jc w:val="center"/>
              <w:rPr>
                <w:bCs/>
                <w:sz w:val="20"/>
                <w:szCs w:val="20"/>
              </w:rPr>
            </w:pPr>
            <w:r w:rsidRPr="005A1F62">
              <w:rPr>
                <w:sz w:val="20"/>
                <w:szCs w:val="20"/>
              </w:rPr>
              <w:t>С</w:t>
            </w:r>
            <w:r w:rsidR="00240007" w:rsidRPr="005A1F62">
              <w:rPr>
                <w:sz w:val="20"/>
                <w:szCs w:val="20"/>
              </w:rPr>
              <w:t xml:space="preserve"> </w:t>
            </w:r>
            <w:r w:rsidR="005A5B91" w:rsidRPr="005A1F62">
              <w:rPr>
                <w:sz w:val="20"/>
                <w:szCs w:val="20"/>
              </w:rPr>
              <w:t>«</w:t>
            </w:r>
            <w:r w:rsidR="00240007" w:rsidRPr="005A1F62">
              <w:rPr>
                <w:sz w:val="20"/>
                <w:szCs w:val="20"/>
              </w:rPr>
              <w:t>длинным хвостом»</w:t>
            </w:r>
          </w:p>
        </w:tc>
      </w:tr>
      <w:tr w:rsidR="00240007" w:rsidRPr="005A1F62" w14:paraId="50F5B6F0"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386D8C05" w14:textId="77777777" w:rsidR="00240007" w:rsidRPr="005A1F62" w:rsidRDefault="00240007" w:rsidP="00DC2FED">
            <w:pPr>
              <w:rPr>
                <w:b/>
                <w:sz w:val="20"/>
                <w:szCs w:val="20"/>
              </w:rPr>
            </w:pPr>
            <w:r w:rsidRPr="005A1F62">
              <w:rPr>
                <w:b/>
                <w:sz w:val="20"/>
                <w:szCs w:val="20"/>
              </w:rPr>
              <w:t>Рыночные риски</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DA1779A" w14:textId="77777777" w:rsidR="00240007" w:rsidRPr="005A1F62" w:rsidRDefault="00240007" w:rsidP="00DC2FED">
            <w:pPr>
              <w:jc w:val="center"/>
              <w:rPr>
                <w:sz w:val="20"/>
                <w:szCs w:val="20"/>
              </w:rPr>
            </w:pPr>
            <w:r w:rsidRPr="005A1F62">
              <w:rPr>
                <w:sz w:val="20"/>
                <w:szCs w:val="20"/>
              </w:rPr>
              <w:t>3</w:t>
            </w:r>
          </w:p>
        </w:tc>
        <w:tc>
          <w:tcPr>
            <w:tcW w:w="984" w:type="pct"/>
            <w:tcBorders>
              <w:top w:val="single" w:sz="8" w:space="0" w:color="auto"/>
              <w:left w:val="single" w:sz="8" w:space="0" w:color="auto"/>
              <w:bottom w:val="single" w:sz="8" w:space="0" w:color="auto"/>
              <w:right w:val="single" w:sz="8" w:space="0" w:color="auto"/>
            </w:tcBorders>
            <w:shd w:val="clear" w:color="auto" w:fill="auto"/>
          </w:tcPr>
          <w:p w14:paraId="16763C58" w14:textId="531F41E2" w:rsidR="00240007" w:rsidRPr="005A1F62" w:rsidRDefault="002E5444" w:rsidP="00DC2FED">
            <w:pPr>
              <w:jc w:val="center"/>
              <w:rPr>
                <w:sz w:val="20"/>
                <w:szCs w:val="20"/>
              </w:rPr>
            </w:pPr>
            <w:r w:rsidRPr="005A1F62">
              <w:rPr>
                <w:sz w:val="20"/>
                <w:szCs w:val="20"/>
              </w:rPr>
              <w:t>С</w:t>
            </w:r>
            <w:r w:rsidR="00240007" w:rsidRPr="005A1F62">
              <w:rPr>
                <w:sz w:val="20"/>
                <w:szCs w:val="20"/>
              </w:rPr>
              <w:t xml:space="preserve"> длинным «хвостом»</w:t>
            </w:r>
            <w:r w:rsidR="00240007" w:rsidRPr="005A1F62">
              <w:rPr>
                <w:rStyle w:val="a9"/>
                <w:sz w:val="20"/>
                <w:szCs w:val="20"/>
              </w:rPr>
              <w:footnoteReference w:id="8"/>
            </w:r>
          </w:p>
        </w:tc>
      </w:tr>
      <w:tr w:rsidR="00240007" w:rsidRPr="005A1F62" w14:paraId="0096699E"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7D77ED26" w14:textId="77777777" w:rsidR="00240007" w:rsidRPr="005A1F62" w:rsidRDefault="00240007" w:rsidP="00DC2FED">
            <w:pPr>
              <w:jc w:val="center"/>
              <w:rPr>
                <w:bCs/>
                <w:sz w:val="20"/>
                <w:szCs w:val="20"/>
              </w:rPr>
            </w:pPr>
            <w:r w:rsidRPr="005A1F62">
              <w:rPr>
                <w:bCs/>
                <w:sz w:val="20"/>
                <w:szCs w:val="20"/>
              </w:rPr>
              <w:t>РАЗДЕЛ III. УПРАВЛЕНИЕ И РИСК-МЕНЕДЖМЕНТ</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CD1D472" w14:textId="4C84CC9D" w:rsidR="00240007" w:rsidRPr="005A1F62" w:rsidRDefault="0025666B" w:rsidP="00DC2FED">
            <w:pPr>
              <w:jc w:val="center"/>
              <w:rPr>
                <w:sz w:val="20"/>
                <w:szCs w:val="20"/>
              </w:rPr>
            </w:pPr>
            <w:r w:rsidRPr="005A1F62">
              <w:rPr>
                <w:sz w:val="20"/>
                <w:szCs w:val="20"/>
              </w:rPr>
              <w:t>14</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18D00D2E" w14:textId="77777777" w:rsidR="00240007" w:rsidRPr="005A1F62" w:rsidRDefault="00240007" w:rsidP="00DC2FED">
            <w:pPr>
              <w:jc w:val="center"/>
              <w:rPr>
                <w:sz w:val="20"/>
                <w:szCs w:val="20"/>
              </w:rPr>
            </w:pPr>
          </w:p>
        </w:tc>
      </w:tr>
      <w:tr w:rsidR="00240007" w:rsidRPr="005A1F62" w14:paraId="4642654A"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255E85F3" w14:textId="77777777" w:rsidR="00240007" w:rsidRPr="005A1F62" w:rsidRDefault="00240007" w:rsidP="00DC2FED">
            <w:pPr>
              <w:rPr>
                <w:b/>
                <w:sz w:val="20"/>
                <w:szCs w:val="20"/>
              </w:rPr>
            </w:pPr>
            <w:bookmarkStart w:id="14" w:name="_Hlk43307845"/>
            <w:r w:rsidRPr="005A1F62">
              <w:rPr>
                <w:b/>
                <w:sz w:val="20"/>
                <w:szCs w:val="20"/>
              </w:rPr>
              <w:t>Корпоративное управление, бизнес-процессы и информационная прозрачность</w:t>
            </w:r>
            <w:bookmarkEnd w:id="14"/>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64593EB" w14:textId="1DAA7D40" w:rsidR="00240007" w:rsidRPr="005A1F62" w:rsidRDefault="00240007" w:rsidP="00DC2FED">
            <w:pPr>
              <w:jc w:val="center"/>
              <w:rPr>
                <w:sz w:val="20"/>
                <w:szCs w:val="20"/>
              </w:rPr>
            </w:pPr>
            <w:r w:rsidRPr="005A1F62">
              <w:rPr>
                <w:sz w:val="20"/>
                <w:szCs w:val="20"/>
              </w:rPr>
              <w:t>4</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6487F25" w14:textId="376D3A5B"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171767E7"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7C34A038" w14:textId="77777777" w:rsidR="00240007" w:rsidRPr="005A1F62" w:rsidRDefault="00240007" w:rsidP="00DC2FED">
            <w:pPr>
              <w:rPr>
                <w:b/>
                <w:bCs/>
                <w:sz w:val="20"/>
                <w:szCs w:val="20"/>
              </w:rPr>
            </w:pPr>
            <w:r w:rsidRPr="005A1F62">
              <w:rPr>
                <w:b/>
                <w:sz w:val="20"/>
                <w:szCs w:val="20"/>
              </w:rPr>
              <w:t>Структура собственности</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9F38A78" w14:textId="77777777" w:rsidR="00240007" w:rsidRPr="005A1F62" w:rsidRDefault="00240007" w:rsidP="00DC2FED">
            <w:pPr>
              <w:jc w:val="center"/>
              <w:rPr>
                <w:bCs/>
                <w:sz w:val="20"/>
                <w:szCs w:val="20"/>
              </w:rPr>
            </w:pPr>
            <w:r w:rsidRPr="005A1F62">
              <w:rPr>
                <w:bCs/>
                <w:sz w:val="20"/>
                <w:szCs w:val="20"/>
              </w:rPr>
              <w:t>2</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5F13D676" w14:textId="7461B2C5" w:rsidR="00240007" w:rsidRPr="005A1F62" w:rsidRDefault="002E5444" w:rsidP="00DC2FED">
            <w:pPr>
              <w:jc w:val="center"/>
              <w:rPr>
                <w:bCs/>
                <w:sz w:val="20"/>
                <w:szCs w:val="20"/>
              </w:rPr>
            </w:pPr>
            <w:r w:rsidRPr="005A1F62">
              <w:rPr>
                <w:sz w:val="20"/>
                <w:szCs w:val="20"/>
              </w:rPr>
              <w:t xml:space="preserve">На </w:t>
            </w:r>
            <w:r w:rsidR="00240007" w:rsidRPr="005A1F62">
              <w:rPr>
                <w:sz w:val="20"/>
                <w:szCs w:val="20"/>
              </w:rPr>
              <w:t>последнюю дату</w:t>
            </w:r>
          </w:p>
        </w:tc>
      </w:tr>
      <w:tr w:rsidR="00240007" w:rsidRPr="005A1F62" w14:paraId="793C8BEE"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77F9C622" w14:textId="77777777" w:rsidR="00240007" w:rsidRPr="005A1F62" w:rsidRDefault="00240007" w:rsidP="00DC2FED">
            <w:pPr>
              <w:rPr>
                <w:b/>
                <w:sz w:val="20"/>
                <w:szCs w:val="20"/>
              </w:rPr>
            </w:pPr>
            <w:r w:rsidRPr="005A1F62">
              <w:rPr>
                <w:b/>
                <w:sz w:val="20"/>
                <w:szCs w:val="20"/>
              </w:rPr>
              <w:t>Управление рисками</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432EF8D" w14:textId="77777777" w:rsidR="00240007" w:rsidRPr="005A1F62" w:rsidRDefault="00240007" w:rsidP="00DC2FED">
            <w:pPr>
              <w:jc w:val="center"/>
              <w:rPr>
                <w:sz w:val="20"/>
                <w:szCs w:val="20"/>
              </w:rPr>
            </w:pPr>
            <w:r w:rsidRPr="005A1F62">
              <w:rPr>
                <w:sz w:val="20"/>
                <w:szCs w:val="20"/>
              </w:rPr>
              <w:t>4</w:t>
            </w:r>
          </w:p>
        </w:tc>
        <w:tc>
          <w:tcPr>
            <w:tcW w:w="984" w:type="pct"/>
            <w:tcBorders>
              <w:top w:val="single" w:sz="8" w:space="0" w:color="auto"/>
              <w:left w:val="single" w:sz="8" w:space="0" w:color="auto"/>
              <w:bottom w:val="single" w:sz="8" w:space="0" w:color="auto"/>
              <w:right w:val="single" w:sz="8" w:space="0" w:color="auto"/>
            </w:tcBorders>
            <w:shd w:val="clear" w:color="auto" w:fill="auto"/>
          </w:tcPr>
          <w:p w14:paraId="711CCEF5" w14:textId="4D3B07B1"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34E4A6FE"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22D11E47" w14:textId="77777777" w:rsidR="00240007" w:rsidRPr="005A1F62" w:rsidRDefault="00240007" w:rsidP="00DC2FED">
            <w:pPr>
              <w:rPr>
                <w:b/>
                <w:sz w:val="20"/>
                <w:szCs w:val="20"/>
              </w:rPr>
            </w:pPr>
            <w:r w:rsidRPr="005A1F62">
              <w:rPr>
                <w:b/>
                <w:sz w:val="20"/>
                <w:szCs w:val="20"/>
              </w:rPr>
              <w:t>Стратегия развития</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B834429" w14:textId="4ECA1036" w:rsidR="00240007" w:rsidRPr="005A1F62" w:rsidRDefault="0010639C" w:rsidP="00DC2FED">
            <w:pPr>
              <w:jc w:val="center"/>
              <w:rPr>
                <w:sz w:val="20"/>
                <w:szCs w:val="20"/>
              </w:rPr>
            </w:pPr>
            <w:r w:rsidRPr="005A1F62">
              <w:rPr>
                <w:sz w:val="20"/>
                <w:szCs w:val="20"/>
              </w:rPr>
              <w:t>4</w:t>
            </w:r>
          </w:p>
        </w:tc>
        <w:tc>
          <w:tcPr>
            <w:tcW w:w="984" w:type="pct"/>
            <w:tcBorders>
              <w:top w:val="single" w:sz="8" w:space="0" w:color="auto"/>
              <w:left w:val="single" w:sz="8" w:space="0" w:color="auto"/>
              <w:bottom w:val="single" w:sz="8" w:space="0" w:color="auto"/>
              <w:right w:val="single" w:sz="8" w:space="0" w:color="auto"/>
            </w:tcBorders>
            <w:shd w:val="clear" w:color="auto" w:fill="auto"/>
          </w:tcPr>
          <w:p w14:paraId="05DAC5D8" w14:textId="0B5B574A" w:rsidR="00240007" w:rsidRPr="005A1F62" w:rsidRDefault="002E5444" w:rsidP="00DC2FED">
            <w:pPr>
              <w:jc w:val="center"/>
              <w:rPr>
                <w:sz w:val="20"/>
                <w:szCs w:val="20"/>
              </w:rPr>
            </w:pPr>
            <w:r w:rsidRPr="005A1F62">
              <w:rPr>
                <w:sz w:val="20"/>
                <w:szCs w:val="20"/>
              </w:rPr>
              <w:t xml:space="preserve">На </w:t>
            </w:r>
            <w:r w:rsidR="00240007" w:rsidRPr="005A1F62">
              <w:rPr>
                <w:sz w:val="20"/>
                <w:szCs w:val="20"/>
              </w:rPr>
              <w:t>последнюю дату</w:t>
            </w:r>
          </w:p>
        </w:tc>
      </w:tr>
      <w:tr w:rsidR="00240007" w:rsidRPr="005A1F62" w14:paraId="39BA2232" w14:textId="77777777" w:rsidTr="00C45749">
        <w:trPr>
          <w:trHeight w:val="20"/>
        </w:trPr>
        <w:tc>
          <w:tcPr>
            <w:tcW w:w="2046" w:type="pct"/>
            <w:tcBorders>
              <w:top w:val="single" w:sz="8" w:space="0" w:color="auto"/>
              <w:left w:val="single" w:sz="8" w:space="0" w:color="auto"/>
              <w:bottom w:val="single" w:sz="8" w:space="0" w:color="auto"/>
              <w:right w:val="single" w:sz="8" w:space="0" w:color="auto"/>
            </w:tcBorders>
            <w:shd w:val="clear" w:color="auto" w:fill="auto"/>
            <w:vAlign w:val="center"/>
          </w:tcPr>
          <w:p w14:paraId="42E7289A" w14:textId="77777777" w:rsidR="00240007" w:rsidRPr="005A1F62" w:rsidRDefault="00240007" w:rsidP="00DC2FED">
            <w:pPr>
              <w:rPr>
                <w:sz w:val="20"/>
                <w:szCs w:val="20"/>
              </w:rPr>
            </w:pPr>
            <w:r w:rsidRPr="005A1F62">
              <w:rPr>
                <w:sz w:val="20"/>
                <w:szCs w:val="20"/>
              </w:rPr>
              <w:t>ИТОГО</w:t>
            </w:r>
          </w:p>
        </w:tc>
        <w:tc>
          <w:tcPr>
            <w:tcW w:w="1970"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90D7CFA" w14:textId="77777777" w:rsidR="00240007" w:rsidRPr="005A1F62" w:rsidRDefault="00240007" w:rsidP="00DC2FED">
            <w:pPr>
              <w:jc w:val="center"/>
              <w:rPr>
                <w:sz w:val="20"/>
                <w:szCs w:val="20"/>
              </w:rPr>
            </w:pPr>
            <w:r w:rsidRPr="005A1F62">
              <w:rPr>
                <w:sz w:val="20"/>
                <w:szCs w:val="20"/>
              </w:rPr>
              <w:t>100</w:t>
            </w:r>
          </w:p>
        </w:tc>
        <w:tc>
          <w:tcPr>
            <w:tcW w:w="984" w:type="pct"/>
            <w:tcBorders>
              <w:top w:val="single" w:sz="8" w:space="0" w:color="auto"/>
              <w:left w:val="single" w:sz="8" w:space="0" w:color="auto"/>
              <w:bottom w:val="single" w:sz="8" w:space="0" w:color="auto"/>
              <w:right w:val="single" w:sz="8" w:space="0" w:color="auto"/>
            </w:tcBorders>
            <w:shd w:val="clear" w:color="auto" w:fill="auto"/>
          </w:tcPr>
          <w:p w14:paraId="55806546" w14:textId="77777777" w:rsidR="00240007" w:rsidRPr="005A1F62" w:rsidRDefault="00240007" w:rsidP="00DC2FED">
            <w:pPr>
              <w:jc w:val="center"/>
              <w:rPr>
                <w:sz w:val="20"/>
                <w:szCs w:val="20"/>
              </w:rPr>
            </w:pPr>
          </w:p>
        </w:tc>
      </w:tr>
    </w:tbl>
    <w:p w14:paraId="09A63E62" w14:textId="77777777" w:rsidR="00240007" w:rsidRPr="005A1F62" w:rsidRDefault="00240007" w:rsidP="00DC2FED">
      <w:pPr>
        <w:tabs>
          <w:tab w:val="left" w:pos="709"/>
        </w:tabs>
        <w:ind w:firstLine="567"/>
        <w:jc w:val="both"/>
        <w:rPr>
          <w:b/>
          <w:color w:val="000080"/>
        </w:rPr>
      </w:pPr>
    </w:p>
    <w:p w14:paraId="1EA5CA62" w14:textId="77777777" w:rsidR="00FD6767" w:rsidRPr="005A1F62" w:rsidRDefault="009B681E" w:rsidP="00394502">
      <w:pPr>
        <w:pStyle w:val="1"/>
        <w:numPr>
          <w:ilvl w:val="0"/>
          <w:numId w:val="62"/>
        </w:numPr>
        <w:tabs>
          <w:tab w:val="left" w:pos="709"/>
        </w:tabs>
        <w:spacing w:before="0" w:after="0"/>
        <w:rPr>
          <w:rFonts w:ascii="Times New Roman" w:hAnsi="Times New Roman" w:cs="Times New Roman"/>
        </w:rPr>
      </w:pPr>
      <w:r w:rsidRPr="005A1F62">
        <w:rPr>
          <w:rFonts w:ascii="Times New Roman" w:hAnsi="Times New Roman" w:cs="Times New Roman"/>
        </w:rPr>
        <w:br w:type="page"/>
      </w:r>
      <w:bookmarkStart w:id="15" w:name="_Toc459363739"/>
      <w:bookmarkStart w:id="16" w:name="_Toc44433446"/>
      <w:bookmarkStart w:id="17" w:name="_Toc277183394"/>
      <w:bookmarkStart w:id="18" w:name="_Toc343776087"/>
      <w:r w:rsidR="00FD6767" w:rsidRPr="005A1F62">
        <w:rPr>
          <w:rFonts w:ascii="Times New Roman" w:hAnsi="Times New Roman" w:cs="Times New Roman"/>
        </w:rPr>
        <w:lastRenderedPageBreak/>
        <w:t>Источники информации</w:t>
      </w:r>
      <w:bookmarkEnd w:id="15"/>
      <w:bookmarkEnd w:id="16"/>
    </w:p>
    <w:p w14:paraId="68F50A21" w14:textId="77777777" w:rsidR="00DC2FED" w:rsidRPr="005A1F62" w:rsidRDefault="00DC2FED" w:rsidP="00DC2FED">
      <w:pPr>
        <w:tabs>
          <w:tab w:val="left" w:pos="0"/>
          <w:tab w:val="left" w:pos="709"/>
        </w:tabs>
        <w:ind w:firstLine="567"/>
        <w:jc w:val="both"/>
        <w:rPr>
          <w:lang w:val="en-US"/>
        </w:rPr>
      </w:pPr>
    </w:p>
    <w:p w14:paraId="5951CE38" w14:textId="77777777" w:rsidR="00FD6767" w:rsidRPr="005A1F62" w:rsidRDefault="00FD6767" w:rsidP="00DC2FED">
      <w:pPr>
        <w:tabs>
          <w:tab w:val="left" w:pos="0"/>
          <w:tab w:val="left" w:pos="709"/>
        </w:tabs>
        <w:ind w:firstLine="567"/>
        <w:jc w:val="both"/>
      </w:pPr>
      <w:r w:rsidRPr="005A1F62">
        <w:t>Для присвоения рейтинга используется следующая информация:</w:t>
      </w:r>
    </w:p>
    <w:p w14:paraId="32611229" w14:textId="08DF92C9" w:rsidR="003F0CE3" w:rsidRPr="005A1F62" w:rsidRDefault="00CB2E96" w:rsidP="00D44657">
      <w:pPr>
        <w:numPr>
          <w:ilvl w:val="0"/>
          <w:numId w:val="22"/>
        </w:numPr>
        <w:tabs>
          <w:tab w:val="left" w:pos="709"/>
        </w:tabs>
        <w:ind w:left="0" w:firstLine="567"/>
        <w:jc w:val="both"/>
        <w:rPr>
          <w:sz w:val="22"/>
          <w:szCs w:val="22"/>
        </w:rPr>
      </w:pPr>
      <w:r w:rsidRPr="005A1F62">
        <w:rPr>
          <w:sz w:val="22"/>
          <w:szCs w:val="22"/>
        </w:rPr>
        <w:t xml:space="preserve">анкета </w:t>
      </w:r>
      <w:r w:rsidR="00A9585E" w:rsidRPr="005A1F62">
        <w:rPr>
          <w:sz w:val="22"/>
          <w:szCs w:val="22"/>
        </w:rPr>
        <w:t xml:space="preserve">по форме </w:t>
      </w:r>
      <w:r w:rsidR="00793246" w:rsidRPr="005A1F62">
        <w:rPr>
          <w:sz w:val="22"/>
          <w:szCs w:val="22"/>
        </w:rPr>
        <w:t>А</w:t>
      </w:r>
      <w:r w:rsidR="00924855" w:rsidRPr="005A1F62">
        <w:rPr>
          <w:sz w:val="22"/>
          <w:szCs w:val="22"/>
        </w:rPr>
        <w:t>гентства</w:t>
      </w:r>
      <w:r w:rsidR="00A9585E" w:rsidRPr="005A1F62">
        <w:rPr>
          <w:sz w:val="22"/>
          <w:szCs w:val="22"/>
        </w:rPr>
        <w:t>;</w:t>
      </w:r>
    </w:p>
    <w:p w14:paraId="5102843D" w14:textId="72E6A533" w:rsidR="00FD6767" w:rsidRPr="005A1F62" w:rsidRDefault="00CB2E96" w:rsidP="00D44657">
      <w:pPr>
        <w:numPr>
          <w:ilvl w:val="0"/>
          <w:numId w:val="22"/>
        </w:numPr>
        <w:tabs>
          <w:tab w:val="left" w:pos="709"/>
        </w:tabs>
        <w:ind w:left="0" w:firstLine="567"/>
        <w:jc w:val="both"/>
        <w:rPr>
          <w:sz w:val="22"/>
          <w:szCs w:val="22"/>
        </w:rPr>
      </w:pPr>
      <w:r w:rsidRPr="005A1F62">
        <w:rPr>
          <w:sz w:val="22"/>
          <w:szCs w:val="22"/>
        </w:rPr>
        <w:t xml:space="preserve">формы </w:t>
      </w:r>
      <w:r w:rsidR="00742E7B" w:rsidRPr="005A1F62">
        <w:rPr>
          <w:sz w:val="22"/>
          <w:szCs w:val="22"/>
        </w:rPr>
        <w:t xml:space="preserve">101, 110, 115, </w:t>
      </w:r>
      <w:r w:rsidR="00FD6767" w:rsidRPr="005A1F62">
        <w:rPr>
          <w:sz w:val="22"/>
          <w:szCs w:val="22"/>
        </w:rPr>
        <w:t>117, 118, 119, 123, 125, 128, 129, 135, 155</w:t>
      </w:r>
      <w:r w:rsidR="00742E7B" w:rsidRPr="005A1F62">
        <w:rPr>
          <w:sz w:val="22"/>
          <w:szCs w:val="22"/>
        </w:rPr>
        <w:t xml:space="preserve"> (только для банков с универсальной лицензией)</w:t>
      </w:r>
      <w:r w:rsidR="00FD6767" w:rsidRPr="005A1F62">
        <w:rPr>
          <w:sz w:val="22"/>
          <w:szCs w:val="22"/>
        </w:rPr>
        <w:t>, 157, 202, 302, 303, 501, 603, 634, 711 помесячно за последние 24 месяц</w:t>
      </w:r>
      <w:r w:rsidR="009E0472" w:rsidRPr="005A1F62">
        <w:rPr>
          <w:sz w:val="22"/>
          <w:szCs w:val="22"/>
        </w:rPr>
        <w:t>а</w:t>
      </w:r>
      <w:r w:rsidR="00245171" w:rsidRPr="005A1F62">
        <w:rPr>
          <w:sz w:val="22"/>
          <w:szCs w:val="22"/>
        </w:rPr>
        <w:t xml:space="preserve"> (для формы 117 – поквартально, начиная с 2019 года)</w:t>
      </w:r>
      <w:r w:rsidR="00FD6767" w:rsidRPr="005A1F62">
        <w:rPr>
          <w:sz w:val="22"/>
          <w:szCs w:val="22"/>
        </w:rPr>
        <w:t>;</w:t>
      </w:r>
    </w:p>
    <w:p w14:paraId="6897EDBA" w14:textId="02CA78E5" w:rsidR="00FD6767" w:rsidRPr="005A1F62" w:rsidRDefault="00CB2E96" w:rsidP="00D44657">
      <w:pPr>
        <w:numPr>
          <w:ilvl w:val="0"/>
          <w:numId w:val="22"/>
        </w:numPr>
        <w:tabs>
          <w:tab w:val="left" w:pos="709"/>
        </w:tabs>
        <w:ind w:left="0" w:firstLine="567"/>
        <w:jc w:val="both"/>
        <w:rPr>
          <w:sz w:val="22"/>
          <w:szCs w:val="22"/>
        </w:rPr>
      </w:pPr>
      <w:r w:rsidRPr="005A1F62">
        <w:rPr>
          <w:sz w:val="22"/>
          <w:szCs w:val="22"/>
        </w:rPr>
        <w:t xml:space="preserve">формы </w:t>
      </w:r>
      <w:r w:rsidR="00FD6767" w:rsidRPr="005A1F62">
        <w:rPr>
          <w:sz w:val="22"/>
          <w:szCs w:val="22"/>
        </w:rPr>
        <w:t xml:space="preserve">102, 127, 345, </w:t>
      </w:r>
      <w:r w:rsidR="00BE1CB2" w:rsidRPr="005A1F62">
        <w:rPr>
          <w:sz w:val="22"/>
          <w:szCs w:val="22"/>
        </w:rPr>
        <w:t xml:space="preserve">704, </w:t>
      </w:r>
      <w:r w:rsidR="00FD6767" w:rsidRPr="005A1F62">
        <w:rPr>
          <w:sz w:val="22"/>
          <w:szCs w:val="22"/>
        </w:rPr>
        <w:t xml:space="preserve">806, 807, 808 поквартально за последние </w:t>
      </w:r>
      <w:r w:rsidRPr="005A1F62">
        <w:rPr>
          <w:sz w:val="22"/>
          <w:szCs w:val="22"/>
        </w:rPr>
        <w:t xml:space="preserve">восемь </w:t>
      </w:r>
      <w:r w:rsidR="00FD6767" w:rsidRPr="005A1F62">
        <w:rPr>
          <w:sz w:val="22"/>
          <w:szCs w:val="22"/>
        </w:rPr>
        <w:t>кварталов;</w:t>
      </w:r>
    </w:p>
    <w:p w14:paraId="2787E30C" w14:textId="77777777" w:rsidR="007C757A" w:rsidRPr="005A1F62" w:rsidRDefault="00CB2E96" w:rsidP="00D44657">
      <w:pPr>
        <w:numPr>
          <w:ilvl w:val="0"/>
          <w:numId w:val="22"/>
        </w:numPr>
        <w:tabs>
          <w:tab w:val="left" w:pos="709"/>
        </w:tabs>
        <w:ind w:left="0" w:firstLine="567"/>
        <w:jc w:val="both"/>
        <w:rPr>
          <w:sz w:val="22"/>
          <w:szCs w:val="22"/>
        </w:rPr>
      </w:pPr>
      <w:r w:rsidRPr="005A1F62">
        <w:rPr>
          <w:sz w:val="22"/>
          <w:szCs w:val="22"/>
        </w:rPr>
        <w:t xml:space="preserve">формы </w:t>
      </w:r>
      <w:r w:rsidR="007C757A" w:rsidRPr="005A1F62">
        <w:rPr>
          <w:sz w:val="22"/>
          <w:szCs w:val="22"/>
        </w:rPr>
        <w:t xml:space="preserve">801 (наиболее актуальная дата), 802, 803, 805, 813 поквартально за последние </w:t>
      </w:r>
      <w:r w:rsidRPr="005A1F62">
        <w:rPr>
          <w:sz w:val="22"/>
          <w:szCs w:val="22"/>
        </w:rPr>
        <w:t xml:space="preserve">восемь </w:t>
      </w:r>
      <w:r w:rsidR="007C757A" w:rsidRPr="005A1F62">
        <w:rPr>
          <w:sz w:val="22"/>
          <w:szCs w:val="22"/>
        </w:rPr>
        <w:t>кварталов, если банк является участником банковской группы;</w:t>
      </w:r>
    </w:p>
    <w:p w14:paraId="09BAA56B" w14:textId="22A35C43" w:rsidR="00B43B1C" w:rsidRPr="005A1F62" w:rsidRDefault="00B43B1C" w:rsidP="00D44657">
      <w:pPr>
        <w:numPr>
          <w:ilvl w:val="0"/>
          <w:numId w:val="22"/>
        </w:numPr>
        <w:tabs>
          <w:tab w:val="left" w:pos="709"/>
        </w:tabs>
        <w:ind w:left="0" w:firstLine="567"/>
        <w:jc w:val="both"/>
        <w:rPr>
          <w:sz w:val="22"/>
          <w:szCs w:val="22"/>
        </w:rPr>
      </w:pPr>
      <w:r w:rsidRPr="005A1F62">
        <w:rPr>
          <w:sz w:val="22"/>
          <w:szCs w:val="22"/>
        </w:rPr>
        <w:t>форма 639 за последний завершившийся год;</w:t>
      </w:r>
    </w:p>
    <w:p w14:paraId="231DFB1C" w14:textId="685E6E4E" w:rsidR="00FD6767" w:rsidRPr="005A1F62" w:rsidRDefault="00CB2E96" w:rsidP="00D44657">
      <w:pPr>
        <w:numPr>
          <w:ilvl w:val="0"/>
          <w:numId w:val="22"/>
        </w:numPr>
        <w:tabs>
          <w:tab w:val="left" w:pos="709"/>
        </w:tabs>
        <w:ind w:left="0" w:firstLine="567"/>
        <w:jc w:val="both"/>
        <w:rPr>
          <w:sz w:val="22"/>
          <w:szCs w:val="22"/>
        </w:rPr>
      </w:pPr>
      <w:r w:rsidRPr="005A1F62">
        <w:rPr>
          <w:sz w:val="22"/>
          <w:szCs w:val="22"/>
        </w:rPr>
        <w:t xml:space="preserve">заверенная </w:t>
      </w:r>
      <w:r w:rsidR="00FD6767" w:rsidRPr="005A1F62">
        <w:rPr>
          <w:sz w:val="22"/>
          <w:szCs w:val="22"/>
        </w:rPr>
        <w:t xml:space="preserve">аудитором </w:t>
      </w:r>
      <w:r w:rsidRPr="005A1F62">
        <w:rPr>
          <w:sz w:val="22"/>
          <w:szCs w:val="22"/>
        </w:rPr>
        <w:t xml:space="preserve">годовая консолидированная </w:t>
      </w:r>
      <w:r w:rsidR="00FD6767" w:rsidRPr="005A1F62">
        <w:rPr>
          <w:sz w:val="22"/>
          <w:szCs w:val="22"/>
        </w:rPr>
        <w:t xml:space="preserve">и </w:t>
      </w:r>
      <w:r w:rsidRPr="005A1F62">
        <w:rPr>
          <w:sz w:val="22"/>
          <w:szCs w:val="22"/>
        </w:rPr>
        <w:t xml:space="preserve">неконсолидированная </w:t>
      </w:r>
      <w:r w:rsidR="00FD6767" w:rsidRPr="005A1F62">
        <w:rPr>
          <w:sz w:val="22"/>
          <w:szCs w:val="22"/>
        </w:rPr>
        <w:t xml:space="preserve">отчетность по МСФО (включая заключение аудитора и примечания к отчетности) за последние </w:t>
      </w:r>
      <w:r w:rsidRPr="005A1F62">
        <w:rPr>
          <w:sz w:val="22"/>
          <w:szCs w:val="22"/>
        </w:rPr>
        <w:t xml:space="preserve">три </w:t>
      </w:r>
      <w:r w:rsidR="00FD6767" w:rsidRPr="005A1F62">
        <w:rPr>
          <w:sz w:val="22"/>
          <w:szCs w:val="22"/>
        </w:rPr>
        <w:t>года;</w:t>
      </w:r>
    </w:p>
    <w:p w14:paraId="50371A0B" w14:textId="77777777" w:rsidR="00FD6767" w:rsidRPr="005A1F62" w:rsidRDefault="00CB2E96" w:rsidP="00D44657">
      <w:pPr>
        <w:numPr>
          <w:ilvl w:val="0"/>
          <w:numId w:val="22"/>
        </w:numPr>
        <w:tabs>
          <w:tab w:val="left" w:pos="709"/>
        </w:tabs>
        <w:ind w:left="0" w:firstLine="567"/>
        <w:jc w:val="both"/>
        <w:rPr>
          <w:sz w:val="22"/>
          <w:szCs w:val="22"/>
        </w:rPr>
      </w:pPr>
      <w:r w:rsidRPr="005A1F62">
        <w:rPr>
          <w:sz w:val="22"/>
          <w:szCs w:val="22"/>
        </w:rPr>
        <w:t xml:space="preserve">поквартальная </w:t>
      </w:r>
      <w:r w:rsidR="00FD6767" w:rsidRPr="005A1F62">
        <w:rPr>
          <w:sz w:val="22"/>
          <w:szCs w:val="22"/>
        </w:rPr>
        <w:t>/</w:t>
      </w:r>
      <w:r w:rsidRPr="005A1F62">
        <w:rPr>
          <w:sz w:val="22"/>
          <w:szCs w:val="22"/>
        </w:rPr>
        <w:t xml:space="preserve"> полугодовая </w:t>
      </w:r>
      <w:r w:rsidR="00FD6767" w:rsidRPr="005A1F62">
        <w:rPr>
          <w:sz w:val="22"/>
          <w:szCs w:val="22"/>
        </w:rPr>
        <w:t xml:space="preserve">отчетность по МСФО (с примечаниями) за последние </w:t>
      </w:r>
      <w:r w:rsidRPr="005A1F62">
        <w:rPr>
          <w:sz w:val="22"/>
          <w:szCs w:val="22"/>
        </w:rPr>
        <w:t xml:space="preserve">три </w:t>
      </w:r>
      <w:r w:rsidR="00FD6767" w:rsidRPr="005A1F62">
        <w:rPr>
          <w:sz w:val="22"/>
          <w:szCs w:val="22"/>
        </w:rPr>
        <w:t>года (при наличии);</w:t>
      </w:r>
    </w:p>
    <w:p w14:paraId="6CEEECAA" w14:textId="77777777" w:rsidR="009A5954" w:rsidRPr="005A1F62" w:rsidRDefault="00CB2E96" w:rsidP="00D44657">
      <w:pPr>
        <w:numPr>
          <w:ilvl w:val="0"/>
          <w:numId w:val="22"/>
        </w:numPr>
        <w:tabs>
          <w:tab w:val="left" w:pos="709"/>
        </w:tabs>
        <w:ind w:left="0" w:firstLine="567"/>
        <w:jc w:val="both"/>
        <w:rPr>
          <w:sz w:val="22"/>
          <w:szCs w:val="22"/>
        </w:rPr>
      </w:pPr>
      <w:r w:rsidRPr="005A1F62">
        <w:rPr>
          <w:sz w:val="22"/>
          <w:szCs w:val="22"/>
        </w:rPr>
        <w:t xml:space="preserve">отчетность </w:t>
      </w:r>
      <w:r w:rsidR="009A5954" w:rsidRPr="005A1F62">
        <w:rPr>
          <w:sz w:val="22"/>
          <w:szCs w:val="22"/>
        </w:rPr>
        <w:t>банка по US GAAP (при наличии);</w:t>
      </w:r>
    </w:p>
    <w:p w14:paraId="24FA1957" w14:textId="77777777" w:rsidR="00FD6767" w:rsidRPr="005A1F62" w:rsidRDefault="00CB2E96" w:rsidP="00D44657">
      <w:pPr>
        <w:pStyle w:val="afb"/>
        <w:numPr>
          <w:ilvl w:val="0"/>
          <w:numId w:val="22"/>
        </w:numPr>
        <w:tabs>
          <w:tab w:val="left" w:pos="709"/>
        </w:tabs>
        <w:ind w:left="0" w:firstLine="567"/>
        <w:jc w:val="both"/>
        <w:rPr>
          <w:sz w:val="22"/>
          <w:szCs w:val="22"/>
        </w:rPr>
      </w:pPr>
      <w:r w:rsidRPr="005A1F62">
        <w:rPr>
          <w:sz w:val="22"/>
          <w:szCs w:val="22"/>
        </w:rPr>
        <w:t xml:space="preserve">заверенная </w:t>
      </w:r>
      <w:r w:rsidR="00FD6767" w:rsidRPr="005A1F62">
        <w:rPr>
          <w:sz w:val="22"/>
          <w:szCs w:val="22"/>
        </w:rPr>
        <w:t xml:space="preserve">аудитором </w:t>
      </w:r>
      <w:r w:rsidRPr="005A1F62">
        <w:rPr>
          <w:sz w:val="22"/>
          <w:szCs w:val="22"/>
        </w:rPr>
        <w:t xml:space="preserve">годовая </w:t>
      </w:r>
      <w:r w:rsidR="00FD6767" w:rsidRPr="005A1F62">
        <w:rPr>
          <w:sz w:val="22"/>
          <w:szCs w:val="22"/>
        </w:rPr>
        <w:t xml:space="preserve">отчетность по РСБУ (включая заключение аудитора и примечания к отчетности) за </w:t>
      </w:r>
      <w:r w:rsidR="0026021C" w:rsidRPr="005A1F62">
        <w:rPr>
          <w:sz w:val="22"/>
          <w:szCs w:val="22"/>
        </w:rPr>
        <w:t>последние три отчетных</w:t>
      </w:r>
      <w:r w:rsidR="00FD6767" w:rsidRPr="005A1F62">
        <w:rPr>
          <w:sz w:val="22"/>
          <w:szCs w:val="22"/>
        </w:rPr>
        <w:t xml:space="preserve"> год</w:t>
      </w:r>
      <w:r w:rsidR="0026021C" w:rsidRPr="005A1F62">
        <w:rPr>
          <w:sz w:val="22"/>
          <w:szCs w:val="22"/>
        </w:rPr>
        <w:t>а</w:t>
      </w:r>
      <w:r w:rsidR="00FD6767" w:rsidRPr="005A1F62">
        <w:rPr>
          <w:sz w:val="22"/>
          <w:szCs w:val="22"/>
        </w:rPr>
        <w:t xml:space="preserve">, за </w:t>
      </w:r>
      <w:r w:rsidR="0026021C" w:rsidRPr="005A1F62">
        <w:rPr>
          <w:sz w:val="22"/>
          <w:szCs w:val="22"/>
        </w:rPr>
        <w:t>которые</w:t>
      </w:r>
      <w:r w:rsidR="00FD6767" w:rsidRPr="005A1F62">
        <w:rPr>
          <w:sz w:val="22"/>
          <w:szCs w:val="22"/>
        </w:rPr>
        <w:t xml:space="preserve"> уже получено заключение аудитора;</w:t>
      </w:r>
    </w:p>
    <w:p w14:paraId="29AAE185" w14:textId="77777777" w:rsidR="00FD6767" w:rsidRPr="005A1F62" w:rsidRDefault="007C2F81" w:rsidP="00D44657">
      <w:pPr>
        <w:numPr>
          <w:ilvl w:val="0"/>
          <w:numId w:val="22"/>
        </w:numPr>
        <w:tabs>
          <w:tab w:val="left" w:pos="709"/>
        </w:tabs>
        <w:ind w:left="0" w:firstLine="567"/>
        <w:jc w:val="both"/>
        <w:rPr>
          <w:sz w:val="22"/>
          <w:szCs w:val="22"/>
        </w:rPr>
      </w:pPr>
      <w:r w:rsidRPr="005A1F62">
        <w:rPr>
          <w:sz w:val="22"/>
          <w:szCs w:val="22"/>
        </w:rPr>
        <w:t xml:space="preserve">устав </w:t>
      </w:r>
      <w:r w:rsidR="00FD6767" w:rsidRPr="005A1F62">
        <w:rPr>
          <w:sz w:val="22"/>
          <w:szCs w:val="22"/>
        </w:rPr>
        <w:t>кредитной организации в действующей редакции;</w:t>
      </w:r>
    </w:p>
    <w:p w14:paraId="1B9A66AA" w14:textId="77777777" w:rsidR="00FD6767" w:rsidRPr="005A1F62" w:rsidRDefault="007C2F81" w:rsidP="00D44657">
      <w:pPr>
        <w:numPr>
          <w:ilvl w:val="0"/>
          <w:numId w:val="22"/>
        </w:numPr>
        <w:tabs>
          <w:tab w:val="left" w:pos="709"/>
        </w:tabs>
        <w:ind w:left="0" w:firstLine="567"/>
        <w:jc w:val="both"/>
        <w:rPr>
          <w:sz w:val="22"/>
          <w:szCs w:val="22"/>
        </w:rPr>
      </w:pPr>
      <w:r w:rsidRPr="005A1F62">
        <w:rPr>
          <w:sz w:val="22"/>
          <w:szCs w:val="22"/>
        </w:rPr>
        <w:t>документы</w:t>
      </w:r>
      <w:r w:rsidR="00FD6767" w:rsidRPr="005A1F62">
        <w:rPr>
          <w:sz w:val="22"/>
          <w:szCs w:val="22"/>
        </w:rPr>
        <w:t xml:space="preserve">, регламентирующие управление рисками кредитной организации (кредитными, в </w:t>
      </w:r>
      <w:r w:rsidRPr="005A1F62">
        <w:rPr>
          <w:sz w:val="22"/>
          <w:szCs w:val="22"/>
        </w:rPr>
        <w:t>том числе</w:t>
      </w:r>
      <w:r w:rsidR="00FD6767" w:rsidRPr="005A1F62">
        <w:rPr>
          <w:sz w:val="22"/>
          <w:szCs w:val="22"/>
        </w:rPr>
        <w:t xml:space="preserve"> по типам заемщиков, рыночными, операционными, правовыми и т.</w:t>
      </w:r>
      <w:r w:rsidRPr="005A1F62">
        <w:rPr>
          <w:sz w:val="22"/>
          <w:szCs w:val="22"/>
        </w:rPr>
        <w:t xml:space="preserve"> </w:t>
      </w:r>
      <w:r w:rsidR="00FD6767" w:rsidRPr="005A1F62">
        <w:rPr>
          <w:sz w:val="22"/>
          <w:szCs w:val="22"/>
        </w:rPr>
        <w:t>д.);</w:t>
      </w:r>
    </w:p>
    <w:p w14:paraId="0D6135D8" w14:textId="77777777" w:rsidR="00FD6767" w:rsidRPr="005A1F62" w:rsidRDefault="007C2F81" w:rsidP="00D44657">
      <w:pPr>
        <w:numPr>
          <w:ilvl w:val="0"/>
          <w:numId w:val="22"/>
        </w:numPr>
        <w:tabs>
          <w:tab w:val="left" w:pos="709"/>
        </w:tabs>
        <w:ind w:left="0" w:firstLine="567"/>
        <w:jc w:val="both"/>
        <w:rPr>
          <w:sz w:val="22"/>
          <w:szCs w:val="22"/>
        </w:rPr>
      </w:pPr>
      <w:r w:rsidRPr="005A1F62">
        <w:rPr>
          <w:sz w:val="22"/>
          <w:szCs w:val="22"/>
        </w:rPr>
        <w:t>документы</w:t>
      </w:r>
      <w:r w:rsidR="00FD6767" w:rsidRPr="005A1F62">
        <w:rPr>
          <w:sz w:val="22"/>
          <w:szCs w:val="22"/>
        </w:rPr>
        <w:t>, определяющие стратегию развития кредитной организации (долгосрочная, среднесрочная стратегия, бизнес-планы на текущий и следующий годы и т.</w:t>
      </w:r>
      <w:r w:rsidRPr="005A1F62">
        <w:rPr>
          <w:sz w:val="22"/>
          <w:szCs w:val="22"/>
        </w:rPr>
        <w:t xml:space="preserve"> </w:t>
      </w:r>
      <w:r w:rsidR="00FD6767" w:rsidRPr="005A1F62">
        <w:rPr>
          <w:sz w:val="22"/>
          <w:szCs w:val="22"/>
        </w:rPr>
        <w:t>п.);</w:t>
      </w:r>
    </w:p>
    <w:p w14:paraId="655B47C7" w14:textId="77777777" w:rsidR="00FD6767" w:rsidRPr="005A1F62" w:rsidRDefault="007C2F81" w:rsidP="00D44657">
      <w:pPr>
        <w:numPr>
          <w:ilvl w:val="0"/>
          <w:numId w:val="22"/>
        </w:numPr>
        <w:tabs>
          <w:tab w:val="left" w:pos="709"/>
        </w:tabs>
        <w:ind w:left="0" w:firstLine="567"/>
        <w:jc w:val="both"/>
      </w:pPr>
      <w:r w:rsidRPr="005A1F62">
        <w:rPr>
          <w:sz w:val="22"/>
          <w:szCs w:val="22"/>
        </w:rPr>
        <w:t>документы</w:t>
      </w:r>
      <w:r w:rsidR="00FD6767" w:rsidRPr="005A1F62">
        <w:rPr>
          <w:sz w:val="22"/>
          <w:szCs w:val="22"/>
        </w:rPr>
        <w:t>, регламентирующие корпоративное управление (положение о правлении, службе внутреннего контроля, кодекс корпоративного управления и т.</w:t>
      </w:r>
      <w:r w:rsidRPr="005A1F62">
        <w:rPr>
          <w:sz w:val="22"/>
          <w:szCs w:val="22"/>
        </w:rPr>
        <w:t> </w:t>
      </w:r>
      <w:r w:rsidR="00FD6767" w:rsidRPr="005A1F62">
        <w:rPr>
          <w:sz w:val="22"/>
          <w:szCs w:val="22"/>
        </w:rPr>
        <w:t>п.);</w:t>
      </w:r>
    </w:p>
    <w:p w14:paraId="1A207E03" w14:textId="7F6A6039" w:rsidR="008C163D" w:rsidRPr="005A1F62" w:rsidRDefault="008C163D" w:rsidP="00D44657">
      <w:pPr>
        <w:numPr>
          <w:ilvl w:val="0"/>
          <w:numId w:val="22"/>
        </w:numPr>
        <w:tabs>
          <w:tab w:val="left" w:pos="709"/>
        </w:tabs>
        <w:ind w:left="0" w:firstLine="567"/>
        <w:jc w:val="both"/>
        <w:rPr>
          <w:sz w:val="22"/>
          <w:szCs w:val="22"/>
        </w:rPr>
      </w:pPr>
      <w:r w:rsidRPr="005A1F62">
        <w:rPr>
          <w:sz w:val="22"/>
          <w:szCs w:val="22"/>
        </w:rPr>
        <w:t>документы, регламентирующие информационную политику кредитной организации</w:t>
      </w:r>
      <w:r w:rsidR="00E30EDA" w:rsidRPr="005A1F62">
        <w:rPr>
          <w:sz w:val="22"/>
          <w:szCs w:val="22"/>
        </w:rPr>
        <w:t xml:space="preserve"> (при наличии)</w:t>
      </w:r>
      <w:r w:rsidRPr="005A1F62">
        <w:rPr>
          <w:sz w:val="22"/>
          <w:szCs w:val="22"/>
        </w:rPr>
        <w:t>;</w:t>
      </w:r>
    </w:p>
    <w:p w14:paraId="79DD92DA" w14:textId="77777777" w:rsidR="00FD6767" w:rsidRPr="005A1F62" w:rsidRDefault="007C2F81" w:rsidP="00D44657">
      <w:pPr>
        <w:numPr>
          <w:ilvl w:val="0"/>
          <w:numId w:val="22"/>
        </w:numPr>
        <w:tabs>
          <w:tab w:val="left" w:pos="709"/>
        </w:tabs>
        <w:ind w:left="0" w:firstLine="567"/>
        <w:jc w:val="both"/>
        <w:rPr>
          <w:sz w:val="22"/>
          <w:szCs w:val="22"/>
        </w:rPr>
      </w:pPr>
      <w:r w:rsidRPr="005A1F62">
        <w:rPr>
          <w:sz w:val="22"/>
          <w:szCs w:val="22"/>
        </w:rPr>
        <w:t>данные</w:t>
      </w:r>
      <w:r w:rsidR="00FD6767" w:rsidRPr="005A1F62">
        <w:rPr>
          <w:sz w:val="22"/>
          <w:szCs w:val="22"/>
        </w:rPr>
        <w:t>, полученные в ходе интервью с менеджментом банка</w:t>
      </w:r>
      <w:r w:rsidR="00E77FB1" w:rsidRPr="005A1F62">
        <w:rPr>
          <w:sz w:val="22"/>
          <w:szCs w:val="22"/>
        </w:rPr>
        <w:t xml:space="preserve"> (в т</w:t>
      </w:r>
      <w:r w:rsidRPr="005A1F62">
        <w:rPr>
          <w:sz w:val="22"/>
          <w:szCs w:val="22"/>
        </w:rPr>
        <w:t>ом числе</w:t>
      </w:r>
      <w:r w:rsidR="00E77FB1" w:rsidRPr="005A1F62">
        <w:rPr>
          <w:sz w:val="22"/>
          <w:szCs w:val="22"/>
        </w:rPr>
        <w:t xml:space="preserve"> информация о взаимодействии с регулятором)</w:t>
      </w:r>
      <w:r w:rsidR="00FD6767" w:rsidRPr="005A1F62">
        <w:rPr>
          <w:sz w:val="22"/>
          <w:szCs w:val="22"/>
        </w:rPr>
        <w:t>;</w:t>
      </w:r>
    </w:p>
    <w:p w14:paraId="4457B52C" w14:textId="77777777" w:rsidR="00027FA2" w:rsidRPr="005A1F62" w:rsidRDefault="007C2F81" w:rsidP="00D44657">
      <w:pPr>
        <w:numPr>
          <w:ilvl w:val="0"/>
          <w:numId w:val="22"/>
        </w:numPr>
        <w:tabs>
          <w:tab w:val="left" w:pos="709"/>
        </w:tabs>
        <w:ind w:left="0" w:firstLine="567"/>
        <w:jc w:val="both"/>
        <w:rPr>
          <w:sz w:val="22"/>
          <w:szCs w:val="22"/>
        </w:rPr>
      </w:pPr>
      <w:r w:rsidRPr="005A1F62">
        <w:rPr>
          <w:sz w:val="22"/>
          <w:szCs w:val="22"/>
        </w:rPr>
        <w:t xml:space="preserve">ежеквартальные </w:t>
      </w:r>
      <w:r w:rsidR="0026021C" w:rsidRPr="005A1F62">
        <w:rPr>
          <w:sz w:val="22"/>
          <w:szCs w:val="22"/>
        </w:rPr>
        <w:t>отчеты объекта рейтинга и эмиссионные документы по отдельным выпускам ценных бумаг (при наличии);</w:t>
      </w:r>
    </w:p>
    <w:p w14:paraId="73CE3C1D" w14:textId="77777777" w:rsidR="00FD6767" w:rsidRPr="005A1F62" w:rsidRDefault="007C2F81" w:rsidP="00D44657">
      <w:pPr>
        <w:numPr>
          <w:ilvl w:val="0"/>
          <w:numId w:val="22"/>
        </w:numPr>
        <w:tabs>
          <w:tab w:val="left" w:pos="709"/>
        </w:tabs>
        <w:ind w:left="0" w:firstLine="567"/>
        <w:jc w:val="both"/>
        <w:rPr>
          <w:sz w:val="22"/>
          <w:szCs w:val="22"/>
        </w:rPr>
      </w:pPr>
      <w:r w:rsidRPr="005A1F62">
        <w:rPr>
          <w:sz w:val="22"/>
          <w:szCs w:val="22"/>
        </w:rPr>
        <w:t xml:space="preserve">информация </w:t>
      </w:r>
      <w:r w:rsidR="00FD6767" w:rsidRPr="005A1F62">
        <w:rPr>
          <w:sz w:val="22"/>
          <w:szCs w:val="22"/>
        </w:rPr>
        <w:t>из СМИ и других открытых источников</w:t>
      </w:r>
      <w:r w:rsidR="007C757A" w:rsidRPr="005A1F62">
        <w:rPr>
          <w:sz w:val="22"/>
          <w:szCs w:val="22"/>
        </w:rPr>
        <w:t xml:space="preserve"> (в том числе </w:t>
      </w:r>
      <w:r w:rsidR="0026021C" w:rsidRPr="005A1F62">
        <w:rPr>
          <w:sz w:val="22"/>
          <w:szCs w:val="22"/>
        </w:rPr>
        <w:t>данные Банка России</w:t>
      </w:r>
      <w:r w:rsidRPr="005A1F62">
        <w:rPr>
          <w:sz w:val="22"/>
          <w:szCs w:val="22"/>
        </w:rPr>
        <w:t xml:space="preserve"> (www.cbr.ru), </w:t>
      </w:r>
      <w:r w:rsidR="0026021C" w:rsidRPr="005A1F62">
        <w:rPr>
          <w:sz w:val="22"/>
          <w:szCs w:val="22"/>
        </w:rPr>
        <w:t>сведения о государственной регистрации юридических лиц</w:t>
      </w:r>
      <w:r w:rsidRPr="005A1F62">
        <w:rPr>
          <w:sz w:val="22"/>
          <w:szCs w:val="22"/>
        </w:rPr>
        <w:t xml:space="preserve"> (egrul.nalog.ru),</w:t>
      </w:r>
      <w:r w:rsidR="0026021C" w:rsidRPr="005A1F62">
        <w:rPr>
          <w:sz w:val="22"/>
          <w:szCs w:val="22"/>
        </w:rPr>
        <w:t xml:space="preserve"> официальный сайт Федеральной службы судебных приставов</w:t>
      </w:r>
      <w:r w:rsidRPr="005A1F62">
        <w:rPr>
          <w:sz w:val="22"/>
          <w:szCs w:val="22"/>
        </w:rPr>
        <w:t xml:space="preserve"> (fssprus.ru/</w:t>
      </w:r>
      <w:proofErr w:type="spellStart"/>
      <w:r w:rsidRPr="005A1F62">
        <w:rPr>
          <w:sz w:val="22"/>
          <w:szCs w:val="22"/>
        </w:rPr>
        <w:t>iss</w:t>
      </w:r>
      <w:proofErr w:type="spellEnd"/>
      <w:r w:rsidRPr="005A1F62">
        <w:rPr>
          <w:sz w:val="22"/>
          <w:szCs w:val="22"/>
        </w:rPr>
        <w:t>/</w:t>
      </w:r>
      <w:proofErr w:type="spellStart"/>
      <w:r w:rsidRPr="005A1F62">
        <w:rPr>
          <w:sz w:val="22"/>
          <w:szCs w:val="22"/>
        </w:rPr>
        <w:t>ip</w:t>
      </w:r>
      <w:proofErr w:type="spellEnd"/>
      <w:r w:rsidRPr="005A1F62">
        <w:rPr>
          <w:sz w:val="22"/>
          <w:szCs w:val="22"/>
        </w:rPr>
        <w:t>),</w:t>
      </w:r>
      <w:r w:rsidR="0026021C" w:rsidRPr="005A1F62">
        <w:rPr>
          <w:sz w:val="22"/>
          <w:szCs w:val="22"/>
        </w:rPr>
        <w:t xml:space="preserve"> сведения о ликвидации или банкротстве юридического лица</w:t>
      </w:r>
      <w:r w:rsidRPr="005A1F62">
        <w:rPr>
          <w:sz w:val="22"/>
          <w:szCs w:val="22"/>
        </w:rPr>
        <w:t xml:space="preserve"> (fedresurs.ru),</w:t>
      </w:r>
      <w:r w:rsidR="0026021C" w:rsidRPr="005A1F62">
        <w:rPr>
          <w:sz w:val="22"/>
          <w:szCs w:val="22"/>
        </w:rPr>
        <w:t xml:space="preserve"> картотека арбитражных дел</w:t>
      </w:r>
      <w:r w:rsidRPr="005A1F62">
        <w:rPr>
          <w:sz w:val="22"/>
          <w:szCs w:val="22"/>
        </w:rPr>
        <w:t xml:space="preserve"> (kad.arbitr.ru),</w:t>
      </w:r>
      <w:r w:rsidR="0026021C" w:rsidRPr="005A1F62">
        <w:rPr>
          <w:sz w:val="22"/>
          <w:szCs w:val="22"/>
        </w:rPr>
        <w:t xml:space="preserve"> информационный ресурс «</w:t>
      </w:r>
      <w:r w:rsidRPr="005A1F62">
        <w:rPr>
          <w:sz w:val="22"/>
          <w:szCs w:val="22"/>
        </w:rPr>
        <w:t>СПАРК</w:t>
      </w:r>
      <w:r w:rsidR="0026021C" w:rsidRPr="005A1F62">
        <w:rPr>
          <w:sz w:val="22"/>
          <w:szCs w:val="22"/>
        </w:rPr>
        <w:t xml:space="preserve">-Интерфакс» </w:t>
      </w:r>
      <w:r w:rsidRPr="005A1F62">
        <w:rPr>
          <w:sz w:val="22"/>
          <w:szCs w:val="22"/>
        </w:rPr>
        <w:t>(</w:t>
      </w:r>
      <w:r w:rsidR="0026021C" w:rsidRPr="005A1F62">
        <w:rPr>
          <w:sz w:val="22"/>
          <w:szCs w:val="22"/>
        </w:rPr>
        <w:t>www.spark-interfax.ru</w:t>
      </w:r>
      <w:r w:rsidRPr="005A1F62">
        <w:rPr>
          <w:sz w:val="22"/>
          <w:szCs w:val="22"/>
        </w:rPr>
        <w:t xml:space="preserve">) </w:t>
      </w:r>
      <w:r w:rsidR="00492711" w:rsidRPr="005A1F62">
        <w:rPr>
          <w:sz w:val="22"/>
          <w:szCs w:val="22"/>
        </w:rPr>
        <w:t>и т.</w:t>
      </w:r>
      <w:r w:rsidRPr="005A1F62">
        <w:rPr>
          <w:sz w:val="22"/>
          <w:szCs w:val="22"/>
        </w:rPr>
        <w:t xml:space="preserve"> </w:t>
      </w:r>
      <w:r w:rsidR="00492711" w:rsidRPr="005A1F62">
        <w:rPr>
          <w:sz w:val="22"/>
          <w:szCs w:val="22"/>
        </w:rPr>
        <w:t>д.)</w:t>
      </w:r>
      <w:r w:rsidR="00027FA2" w:rsidRPr="005A1F62">
        <w:rPr>
          <w:sz w:val="22"/>
          <w:szCs w:val="22"/>
        </w:rPr>
        <w:t>;</w:t>
      </w:r>
    </w:p>
    <w:p w14:paraId="49E50A4A" w14:textId="77777777" w:rsidR="00027FA2" w:rsidRPr="005A1F62" w:rsidRDefault="007C2F81" w:rsidP="00D44657">
      <w:pPr>
        <w:numPr>
          <w:ilvl w:val="0"/>
          <w:numId w:val="22"/>
        </w:numPr>
        <w:tabs>
          <w:tab w:val="left" w:pos="709"/>
        </w:tabs>
        <w:ind w:left="0" w:firstLine="567"/>
        <w:jc w:val="both"/>
        <w:rPr>
          <w:sz w:val="22"/>
          <w:szCs w:val="22"/>
        </w:rPr>
      </w:pPr>
      <w:r w:rsidRPr="005A1F62">
        <w:rPr>
          <w:sz w:val="22"/>
          <w:szCs w:val="22"/>
        </w:rPr>
        <w:t xml:space="preserve">макроэкономические </w:t>
      </w:r>
      <w:r w:rsidR="00027FA2" w:rsidRPr="005A1F62">
        <w:rPr>
          <w:sz w:val="22"/>
          <w:szCs w:val="22"/>
        </w:rPr>
        <w:t>и отраслевые прогнозы Банка России и Минэкономразвития России.</w:t>
      </w:r>
    </w:p>
    <w:p w14:paraId="11CEAA9C" w14:textId="7902C297" w:rsidR="00D5133E" w:rsidRPr="005A1F62" w:rsidRDefault="00D3063C" w:rsidP="00DC2FED">
      <w:pPr>
        <w:tabs>
          <w:tab w:val="left" w:pos="709"/>
        </w:tabs>
        <w:ind w:firstLine="567"/>
        <w:jc w:val="both"/>
      </w:pPr>
      <w:r w:rsidRPr="005A1F62">
        <w:t>А</w:t>
      </w:r>
      <w:r w:rsidR="00924855" w:rsidRPr="005A1F62">
        <w:t>гентство</w:t>
      </w:r>
      <w:r w:rsidR="00D5133E" w:rsidRPr="005A1F62">
        <w:t xml:space="preserve"> может запрашивать</w:t>
      </w:r>
      <w:r w:rsidR="00B978F6" w:rsidRPr="005A1F62">
        <w:t xml:space="preserve"> и использовать</w:t>
      </w:r>
      <w:r w:rsidR="00D5133E" w:rsidRPr="005A1F62">
        <w:t xml:space="preserve"> иную информацию, необходимую для более детальной оценки кредитоспособности</w:t>
      </w:r>
      <w:r w:rsidR="0026021C" w:rsidRPr="005A1F62">
        <w:t xml:space="preserve"> объекта рейтинга</w:t>
      </w:r>
      <w:r w:rsidR="00D5133E" w:rsidRPr="005A1F62">
        <w:t>.</w:t>
      </w:r>
    </w:p>
    <w:p w14:paraId="4073D7A5" w14:textId="7EB83C0F" w:rsidR="00FD6767" w:rsidRPr="005A1F62" w:rsidRDefault="0061392B" w:rsidP="00DC2FED">
      <w:pPr>
        <w:tabs>
          <w:tab w:val="left" w:pos="0"/>
          <w:tab w:val="left" w:pos="709"/>
        </w:tabs>
        <w:ind w:firstLine="567"/>
        <w:jc w:val="both"/>
      </w:pPr>
      <w:r w:rsidRPr="005A1F62">
        <w:t xml:space="preserve">При присвоении </w:t>
      </w:r>
      <w:r w:rsidR="00E36456" w:rsidRPr="005A1F62">
        <w:t xml:space="preserve">кредитных </w:t>
      </w:r>
      <w:r w:rsidRPr="005A1F62">
        <w:t xml:space="preserve">рейтингов </w:t>
      </w:r>
      <w:r w:rsidR="00D3063C" w:rsidRPr="005A1F62">
        <w:t>А</w:t>
      </w:r>
      <w:r w:rsidR="00924855" w:rsidRPr="005A1F62">
        <w:t>гентство</w:t>
      </w:r>
      <w:r w:rsidRPr="005A1F62">
        <w:t xml:space="preserve"> может использовать комбинацию различных источников информации, перечисленных выше (например, данные из отч</w:t>
      </w:r>
      <w:r w:rsidR="00CD78CF" w:rsidRPr="005A1F62">
        <w:t>е</w:t>
      </w:r>
      <w:r w:rsidRPr="005A1F62">
        <w:t xml:space="preserve">тности как по РСБУ, так и по МСФО). </w:t>
      </w:r>
    </w:p>
    <w:p w14:paraId="013D4036" w14:textId="2DF4CE06" w:rsidR="00A67214" w:rsidRPr="005A1F62" w:rsidRDefault="00A67214" w:rsidP="00DC2FED">
      <w:pPr>
        <w:pStyle w:val="afc"/>
        <w:spacing w:after="0"/>
        <w:ind w:firstLine="708"/>
        <w:jc w:val="both"/>
        <w:rPr>
          <w:szCs w:val="20"/>
        </w:rPr>
      </w:pPr>
      <w:r w:rsidRPr="005A1F62">
        <w:t xml:space="preserve">При присвоении рейтинга Агентство может </w:t>
      </w:r>
      <w:proofErr w:type="spellStart"/>
      <w:r w:rsidRPr="005A1F62">
        <w:t>переклассифицировать</w:t>
      </w:r>
      <w:proofErr w:type="spellEnd"/>
      <w:r w:rsidRPr="005A1F62">
        <w:t xml:space="preserve"> отдельные статьи баланса, отчета о финансовом результате и (или) составляющие их компоненты (например, счета </w:t>
      </w:r>
      <w:proofErr w:type="spellStart"/>
      <w:r w:rsidRPr="005A1F62">
        <w:t>оборотно</w:t>
      </w:r>
      <w:proofErr w:type="spellEnd"/>
      <w:r w:rsidRPr="005A1F62">
        <w:t xml:space="preserve">-сальдовой ведомости, символы отчета о финансовом результате), а также </w:t>
      </w:r>
      <w:r w:rsidR="00AE7DCE" w:rsidRPr="005A1F62">
        <w:t xml:space="preserve">составные части </w:t>
      </w:r>
      <w:r w:rsidRPr="005A1F62">
        <w:t xml:space="preserve">нормативных (регулятивных) агрегатов (например, </w:t>
      </w:r>
      <w:r w:rsidRPr="005A1F62">
        <w:rPr>
          <w:lang w:val="en-US"/>
        </w:rPr>
        <w:t>LAM</w:t>
      </w:r>
      <w:r w:rsidRPr="005A1F62">
        <w:t xml:space="preserve">, </w:t>
      </w:r>
      <w:r w:rsidRPr="005A1F62">
        <w:rPr>
          <w:lang w:val="en-US"/>
        </w:rPr>
        <w:t>LAT</w:t>
      </w:r>
      <w:r w:rsidRPr="005A1F62">
        <w:t xml:space="preserve">, </w:t>
      </w:r>
      <w:r w:rsidRPr="005A1F62">
        <w:rPr>
          <w:lang w:val="en-US"/>
        </w:rPr>
        <w:t>KSKR</w:t>
      </w:r>
      <w:r w:rsidRPr="005A1F62">
        <w:t xml:space="preserve">), исходя из экономического смысла. Например, долгосрочные обязательства могут быть </w:t>
      </w:r>
      <w:proofErr w:type="spellStart"/>
      <w:r w:rsidRPr="005A1F62">
        <w:t>переклассифицированы</w:t>
      </w:r>
      <w:proofErr w:type="spellEnd"/>
      <w:r w:rsidRPr="005A1F62">
        <w:t xml:space="preserve"> в краткосрочные, если кредитор имеет право досрочно требовать их исполнения</w:t>
      </w:r>
      <w:r w:rsidR="00976DEC" w:rsidRPr="005A1F62">
        <w:t>, и вероятность такого требования в среднесрочной перспективе оценена как повышенная</w:t>
      </w:r>
      <w:r w:rsidRPr="005A1F62">
        <w:t xml:space="preserve">. </w:t>
      </w:r>
      <w:r w:rsidR="00976DEC" w:rsidRPr="005A1F62">
        <w:t xml:space="preserve">Аналогичным образом может быть проведена реклассификация срочности активов. Так, срочность активов может быть </w:t>
      </w:r>
      <w:r w:rsidR="00976DEC" w:rsidRPr="005A1F62">
        <w:lastRenderedPageBreak/>
        <w:t>пересмотрена в меньшую сторону (вплоть до срочности до востребования), если банк имеет право досрочного вос</w:t>
      </w:r>
      <w:r w:rsidR="002A78AD" w:rsidRPr="005A1F62">
        <w:t>требования активов</w:t>
      </w:r>
      <w:r w:rsidR="00976DEC" w:rsidRPr="005A1F62">
        <w:t xml:space="preserve">. Срочность активов может быть пересмотрена в большую сторону, если Агентство выявило признаки их низкой ликвидности и сомневается в наличии рыночных условий для их реализации в сроки, в соответствии с которыми они классифицированы в отчетности. </w:t>
      </w:r>
      <w:r w:rsidRPr="005A1F62">
        <w:t>В так</w:t>
      </w:r>
      <w:r w:rsidR="00976DEC" w:rsidRPr="005A1F62">
        <w:t>их</w:t>
      </w:r>
      <w:r w:rsidRPr="005A1F62">
        <w:t xml:space="preserve"> случа</w:t>
      </w:r>
      <w:r w:rsidR="00976DEC" w:rsidRPr="005A1F62">
        <w:t>ях</w:t>
      </w:r>
      <w:r w:rsidRPr="005A1F62">
        <w:t xml:space="preserve"> финансовые коэффициенты</w:t>
      </w:r>
      <w:r w:rsidR="00211FAA" w:rsidRPr="005A1F62">
        <w:t>, в том числе обязательные нормативы и производные от них показатели,</w:t>
      </w:r>
      <w:r w:rsidRPr="005A1F62">
        <w:t xml:space="preserve"> корректируются с целью сопоставимости объектов рейтинга между собой.</w:t>
      </w:r>
    </w:p>
    <w:p w14:paraId="17BC0487" w14:textId="025A32CF" w:rsidR="009A561B" w:rsidRPr="005A1F62" w:rsidRDefault="009A561B" w:rsidP="00DC2FED">
      <w:pPr>
        <w:pStyle w:val="afc"/>
        <w:spacing w:after="0"/>
        <w:ind w:firstLine="708"/>
        <w:jc w:val="both"/>
      </w:pPr>
      <w:r w:rsidRPr="005A1F62">
        <w:t>Агентство может учесть предстоящие изменения в отчетности исходя из прогнозов Агентства</w:t>
      </w:r>
      <w:r w:rsidR="00AC0F30" w:rsidRPr="005A1F62">
        <w:t>,</w:t>
      </w:r>
      <w:r w:rsidRPr="005A1F62">
        <w:t xml:space="preserve"> и (или) планов объекта рейтинга</w:t>
      </w:r>
      <w:r w:rsidR="00AC0F30" w:rsidRPr="005A1F62">
        <w:t>,</w:t>
      </w:r>
      <w:r w:rsidRPr="005A1F62">
        <w:t xml:space="preserve"> и (или) при наличии достоверной информации об изменении структуры активов и пассивов, финансового результата после последней отчетной даты и рассчитывать коэффициенты и финансовые показатели с учетом ожидаемых / произошедших изменений. Например, если Агентство знает о планах объекта рейтинга по покупке иной кредитной организации, при этом такие вложения</w:t>
      </w:r>
      <w:r w:rsidR="00AC0F30" w:rsidRPr="005A1F62">
        <w:t>,</w:t>
      </w:r>
      <w:r w:rsidR="00A178C4" w:rsidRPr="005A1F62">
        <w:t xml:space="preserve"> согласно правилам учета</w:t>
      </w:r>
      <w:r w:rsidR="00AC0F30" w:rsidRPr="005A1F62">
        <w:t>,</w:t>
      </w:r>
      <w:r w:rsidRPr="005A1F62">
        <w:t xml:space="preserve"> должны вычитаться из капитала объекта рейтинга. Если эти планы о</w:t>
      </w:r>
      <w:r w:rsidR="00AB59E0" w:rsidRPr="005A1F62">
        <w:t>доб</w:t>
      </w:r>
      <w:r w:rsidRPr="005A1F62">
        <w:t>рены Банком России и антимонопольной службой, Агентство может скорректировать капитал до отражения этой операции в отчетности</w:t>
      </w:r>
      <w:r w:rsidR="00A178C4" w:rsidRPr="005A1F62">
        <w:t xml:space="preserve"> объекта рейтинга</w:t>
      </w:r>
      <w:r w:rsidRPr="005A1F62">
        <w:t>.</w:t>
      </w:r>
    </w:p>
    <w:p w14:paraId="23065E66" w14:textId="5D031BC5" w:rsidR="009A561B" w:rsidRPr="005A1F62" w:rsidRDefault="009A561B" w:rsidP="00DC2FED">
      <w:pPr>
        <w:tabs>
          <w:tab w:val="left" w:pos="0"/>
        </w:tabs>
        <w:ind w:firstLine="709"/>
        <w:jc w:val="both"/>
      </w:pPr>
      <w:r w:rsidRPr="005A1F62">
        <w:t xml:space="preserve">В случае </w:t>
      </w:r>
      <w:proofErr w:type="gramStart"/>
      <w:r w:rsidRPr="005A1F62">
        <w:t>недостаточности</w:t>
      </w:r>
      <w:proofErr w:type="gramEnd"/>
      <w:r w:rsidRPr="005A1F62">
        <w:t xml:space="preserve"> предоставленной объектом рейтинга информации </w:t>
      </w:r>
      <w:r w:rsidR="00D3063C" w:rsidRPr="005A1F62">
        <w:t>А</w:t>
      </w:r>
      <w:r w:rsidRPr="005A1F62">
        <w:t xml:space="preserve">гентство отказывается от присвоения / поддержания действующего кредитного рейтинга. Если при этом у объекта рейтинга есть действующий кредитный рейтинг, то такой кредитный рейтинг отзывается без подтверждения. </w:t>
      </w:r>
    </w:p>
    <w:p w14:paraId="4660411A" w14:textId="29FEBB52" w:rsidR="009A561B" w:rsidRPr="005A1F62" w:rsidRDefault="009A561B" w:rsidP="00AD25CE">
      <w:pPr>
        <w:pStyle w:val="Default"/>
        <w:ind w:firstLine="709"/>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 xml:space="preserve">Достаточность информации для присвоения кредитного рейтинга определяется исходя из возможности или невозможности проведения анализа в соответствии с настоящей методологией. </w:t>
      </w:r>
    </w:p>
    <w:p w14:paraId="75AE584F" w14:textId="77777777" w:rsidR="009A561B" w:rsidRPr="005A1F62" w:rsidRDefault="009A561B" w:rsidP="00DC2FED">
      <w:pPr>
        <w:pStyle w:val="Default"/>
        <w:ind w:firstLine="708"/>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 xml:space="preserve">Основные критерии, используемые для определения достаточности информации: </w:t>
      </w:r>
    </w:p>
    <w:p w14:paraId="3C7ED50C" w14:textId="347021D7" w:rsidR="009A561B" w:rsidRPr="005A1F62" w:rsidRDefault="009A561B" w:rsidP="00D44657">
      <w:pPr>
        <w:pStyle w:val="Default"/>
        <w:numPr>
          <w:ilvl w:val="0"/>
          <w:numId w:val="22"/>
        </w:numPr>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 xml:space="preserve">обеспечение возможности проведения анализа деятельности объекта рейтинга в соответствии с факторами, приведенными в настоящей методологии (раздел </w:t>
      </w:r>
      <w:r w:rsidRPr="005A1F62">
        <w:rPr>
          <w:rFonts w:ascii="Times New Roman" w:eastAsia="Times New Roman" w:hAnsi="Times New Roman" w:cs="Times New Roman"/>
          <w:color w:val="auto"/>
          <w:lang w:val="en-US" w:eastAsia="ru-RU"/>
        </w:rPr>
        <w:t>V</w:t>
      </w:r>
      <w:r w:rsidRPr="005A1F62">
        <w:rPr>
          <w:rFonts w:ascii="Times New Roman" w:eastAsia="Times New Roman" w:hAnsi="Times New Roman" w:cs="Times New Roman"/>
          <w:color w:val="auto"/>
          <w:lang w:eastAsia="ru-RU"/>
        </w:rPr>
        <w:t xml:space="preserve"> </w:t>
      </w:r>
      <w:r w:rsidR="000F6CE3" w:rsidRPr="005A1F62">
        <w:rPr>
          <w:rFonts w:ascii="Times New Roman" w:eastAsia="Times New Roman" w:hAnsi="Times New Roman" w:cs="Times New Roman"/>
          <w:color w:val="auto"/>
          <w:lang w:eastAsia="ru-RU"/>
        </w:rPr>
        <w:t>«</w:t>
      </w:r>
      <w:r w:rsidRPr="005A1F62">
        <w:rPr>
          <w:rFonts w:ascii="Times New Roman" w:eastAsia="Times New Roman" w:hAnsi="Times New Roman" w:cs="Times New Roman"/>
          <w:color w:val="auto"/>
          <w:lang w:eastAsia="ru-RU"/>
        </w:rPr>
        <w:t>Ключевые количественные и качественные факторы</w:t>
      </w:r>
      <w:r w:rsidR="000F6CE3" w:rsidRPr="005A1F62">
        <w:rPr>
          <w:rFonts w:ascii="Times New Roman" w:eastAsia="Times New Roman" w:hAnsi="Times New Roman" w:cs="Times New Roman"/>
          <w:color w:val="auto"/>
          <w:lang w:eastAsia="ru-RU"/>
        </w:rPr>
        <w:t>»</w:t>
      </w:r>
      <w:r w:rsidRPr="005A1F62">
        <w:rPr>
          <w:rFonts w:ascii="Times New Roman" w:eastAsia="Times New Roman" w:hAnsi="Times New Roman" w:cs="Times New Roman"/>
          <w:color w:val="auto"/>
          <w:lang w:eastAsia="ru-RU"/>
        </w:rPr>
        <w:t xml:space="preserve">); </w:t>
      </w:r>
    </w:p>
    <w:p w14:paraId="68BFFB0F" w14:textId="77777777" w:rsidR="009A561B" w:rsidRPr="005A1F62" w:rsidRDefault="009A561B" w:rsidP="00D44657">
      <w:pPr>
        <w:pStyle w:val="Default"/>
        <w:numPr>
          <w:ilvl w:val="0"/>
          <w:numId w:val="22"/>
        </w:numPr>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обеспечение возможности проведения анализа всех факторов поддержки и стресс-факторов, которые перечислены в настоящей методологии.</w:t>
      </w:r>
    </w:p>
    <w:p w14:paraId="280F5627" w14:textId="4B0AC6D8" w:rsidR="009A561B" w:rsidRPr="005A1F62" w:rsidRDefault="009A561B" w:rsidP="00DC2FED">
      <w:pPr>
        <w:ind w:firstLine="708"/>
        <w:jc w:val="both"/>
      </w:pPr>
      <w:r w:rsidRPr="005A1F62">
        <w:t xml:space="preserve">В случае если указанные выше критерии выполнены, </w:t>
      </w:r>
      <w:r w:rsidR="00793246" w:rsidRPr="005A1F62">
        <w:t xml:space="preserve">но кредитное рейтинговое агентство «Эксперт РА» </w:t>
      </w:r>
      <w:r w:rsidRPr="005A1F62">
        <w:t xml:space="preserve">получило неполный ответ на запрос о предоставлении информации, то оно имеет право принять решение о присвоении кредитного рейтинга с учетом корректировок оценок отдельных факторов, принятых рейтинговым комитетом. Как правило, такие корректировки носят консервативный характер. Отсутствие какой-либо информации трактуется как негативная информация. </w:t>
      </w:r>
    </w:p>
    <w:p w14:paraId="6F68D8A0" w14:textId="385D2600" w:rsidR="00A178C4" w:rsidRPr="005A1F62" w:rsidRDefault="00E71DF6" w:rsidP="00E71DF6">
      <w:pPr>
        <w:tabs>
          <w:tab w:val="left" w:pos="0"/>
          <w:tab w:val="left" w:pos="709"/>
        </w:tabs>
        <w:ind w:firstLine="709"/>
        <w:jc w:val="both"/>
      </w:pPr>
      <w:bookmarkStart w:id="19" w:name="_Hlk38354720"/>
      <w:r w:rsidRPr="005A1F62">
        <w:t xml:space="preserve">Кредитное рейтинговое агентство обеспечивает получение информации из достоверных источников и несет ответственность за выбор источника информации, за исключением случаев, если такая информация была предоставлена кредитному рейтинговому агентству рейтингуемым лицом. Тем не менее, если в ходе рейтингового анализа </w:t>
      </w:r>
      <w:r w:rsidR="00A178C4" w:rsidRPr="005A1F62">
        <w:t xml:space="preserve">Агентство выявляет признаки существенной недостоверности отчетности и иной информации, предоставленной объектом рейтинга, </w:t>
      </w:r>
      <w:r w:rsidR="00793246" w:rsidRPr="005A1F62">
        <w:t>А</w:t>
      </w:r>
      <w:r w:rsidR="00A178C4" w:rsidRPr="005A1F62">
        <w:t xml:space="preserve">гентство отказывается от присвоения / поддержания действующего кредитного рейтинга. Если при этом у банка есть действующий кредитный рейтинг, то он отзывается без подтверждения. </w:t>
      </w:r>
    </w:p>
    <w:bookmarkEnd w:id="19"/>
    <w:p w14:paraId="244B76C0" w14:textId="6D539B2B" w:rsidR="00A178C4" w:rsidRPr="005A1F62" w:rsidRDefault="00A178C4" w:rsidP="00DC2FED">
      <w:pPr>
        <w:tabs>
          <w:tab w:val="left" w:pos="0"/>
          <w:tab w:val="left" w:pos="709"/>
        </w:tabs>
        <w:ind w:firstLine="567"/>
        <w:jc w:val="both"/>
      </w:pPr>
      <w:r w:rsidRPr="005A1F62">
        <w:t xml:space="preserve">В случае выявления признаков незначительной недостоверности отчетности и (или) иной информации, предоставленной банком, </w:t>
      </w:r>
      <w:r w:rsidR="00793246" w:rsidRPr="005A1F62">
        <w:t xml:space="preserve">кредитное рейтинговое агентство «Эксперт РА» </w:t>
      </w:r>
      <w:r w:rsidRPr="005A1F62">
        <w:t>может снижать оценки отдельных баллов (например, оценку за корпоративное управление, информационную прозрачность) или выделять иной внутренний стресс-фактор.</w:t>
      </w:r>
    </w:p>
    <w:p w14:paraId="7E176AB4" w14:textId="77777777" w:rsidR="00033EC1" w:rsidRPr="005A1F62" w:rsidRDefault="00033EC1" w:rsidP="00DC2FED">
      <w:pPr>
        <w:tabs>
          <w:tab w:val="left" w:pos="0"/>
          <w:tab w:val="left" w:pos="709"/>
        </w:tabs>
        <w:ind w:firstLine="567"/>
        <w:jc w:val="both"/>
      </w:pPr>
      <w:r w:rsidRPr="005A1F62">
        <w:lastRenderedPageBreak/>
        <w:t>Если два или более источника информации, используемых при анализе, противоречат друг другу, при этом банком расхождения в должной мере не обоснованы, «Эксперт РА» использует источник информации, который наиболее консервативно отражает риски банка.</w:t>
      </w:r>
    </w:p>
    <w:p w14:paraId="63657C1E" w14:textId="77777777" w:rsidR="00033EC1" w:rsidRPr="005A1F62" w:rsidRDefault="00033EC1" w:rsidP="00DC2FED">
      <w:pPr>
        <w:tabs>
          <w:tab w:val="left" w:pos="0"/>
          <w:tab w:val="left" w:pos="709"/>
        </w:tabs>
        <w:ind w:firstLine="567"/>
        <w:jc w:val="both"/>
      </w:pPr>
      <w:r w:rsidRPr="005A1F62">
        <w:t>В случае кардинального и резкого изменения бизнес-модели банка при отсутствии репрезентативной информации для оценки рисков новой бизнес-модели Агентство отказывается от присвоения / поддержания кредитного рейтинга. Если при этом у банка есть действующий кредитный рейтинг, то он отзывается без подтверждения.</w:t>
      </w:r>
    </w:p>
    <w:p w14:paraId="47576723" w14:textId="77777777" w:rsidR="001F31BF" w:rsidRPr="005A1F62" w:rsidRDefault="001F31BF" w:rsidP="00DC2FED">
      <w:pPr>
        <w:tabs>
          <w:tab w:val="left" w:pos="0"/>
          <w:tab w:val="left" w:pos="709"/>
        </w:tabs>
        <w:ind w:firstLine="567"/>
        <w:jc w:val="both"/>
      </w:pPr>
    </w:p>
    <w:p w14:paraId="7F1C7431" w14:textId="77777777" w:rsidR="009B681E" w:rsidRPr="005A1F62" w:rsidRDefault="00FD6767" w:rsidP="00394502">
      <w:pPr>
        <w:pStyle w:val="1"/>
        <w:numPr>
          <w:ilvl w:val="0"/>
          <w:numId w:val="62"/>
        </w:numPr>
        <w:tabs>
          <w:tab w:val="left" w:pos="709"/>
        </w:tabs>
        <w:spacing w:before="0" w:after="0"/>
        <w:rPr>
          <w:rFonts w:ascii="Times New Roman" w:hAnsi="Times New Roman" w:cs="Times New Roman"/>
        </w:rPr>
      </w:pPr>
      <w:r w:rsidRPr="005A1F62">
        <w:rPr>
          <w:rFonts w:ascii="Times New Roman" w:hAnsi="Times New Roman" w:cs="Times New Roman"/>
        </w:rPr>
        <w:br w:type="page"/>
      </w:r>
      <w:bookmarkStart w:id="20" w:name="_Toc459363740"/>
      <w:bookmarkStart w:id="21" w:name="_Toc44433447"/>
      <w:r w:rsidR="009B681E" w:rsidRPr="005A1F62">
        <w:rPr>
          <w:rFonts w:ascii="Times New Roman" w:hAnsi="Times New Roman" w:cs="Times New Roman"/>
        </w:rPr>
        <w:lastRenderedPageBreak/>
        <w:t>Структура анализа и метод расчета баллов</w:t>
      </w:r>
      <w:bookmarkEnd w:id="17"/>
      <w:bookmarkEnd w:id="18"/>
      <w:bookmarkEnd w:id="20"/>
      <w:bookmarkEnd w:id="21"/>
    </w:p>
    <w:p w14:paraId="01A26AC6" w14:textId="77777777" w:rsidR="009B681E" w:rsidRPr="005A1F62" w:rsidRDefault="009B681E" w:rsidP="00DC2FED">
      <w:pPr>
        <w:tabs>
          <w:tab w:val="left" w:pos="709"/>
        </w:tabs>
        <w:ind w:firstLine="567"/>
        <w:jc w:val="both"/>
      </w:pPr>
    </w:p>
    <w:p w14:paraId="4EE6E1DB" w14:textId="77777777" w:rsidR="009B681E" w:rsidRPr="005A1F62" w:rsidRDefault="009B681E" w:rsidP="00DC2FED">
      <w:pPr>
        <w:numPr>
          <w:ilvl w:val="0"/>
          <w:numId w:val="1"/>
        </w:numPr>
        <w:tabs>
          <w:tab w:val="clear" w:pos="720"/>
          <w:tab w:val="left" w:pos="709"/>
        </w:tabs>
        <w:ind w:left="0" w:firstLine="567"/>
        <w:jc w:val="both"/>
      </w:pPr>
      <w:r w:rsidRPr="005A1F62">
        <w:t xml:space="preserve">Рейтинг банка строится на основе анализа блоков факторов: </w:t>
      </w:r>
      <w:r w:rsidR="002241F9" w:rsidRPr="005A1F62">
        <w:t xml:space="preserve">самостоятельная кредитоспособность </w:t>
      </w:r>
      <w:r w:rsidRPr="005A1F62">
        <w:t xml:space="preserve">банка (с учетом внутренних факторов поддержки и подверженности внутренним стресс-факторам) и </w:t>
      </w:r>
      <w:r w:rsidR="002241F9" w:rsidRPr="005A1F62">
        <w:t xml:space="preserve">значимость </w:t>
      </w:r>
      <w:r w:rsidRPr="005A1F62">
        <w:t>внешних факторов поддержки</w:t>
      </w:r>
      <w:r w:rsidR="002241F9" w:rsidRPr="005A1F62">
        <w:t xml:space="preserve"> (ФП)</w:t>
      </w:r>
      <w:r w:rsidRPr="005A1F62">
        <w:t xml:space="preserve"> и стресс-факторов</w:t>
      </w:r>
      <w:r w:rsidR="002241F9" w:rsidRPr="005A1F62">
        <w:t xml:space="preserve"> (СФ)</w:t>
      </w:r>
      <w:r w:rsidRPr="005A1F62">
        <w:t>. Изначально определяется рейтинг самостоятельной кредитоспособности банка, далее производится корректировка на внешние</w:t>
      </w:r>
      <w:r w:rsidR="00CD78CF" w:rsidRPr="005A1F62">
        <w:t xml:space="preserve"> </w:t>
      </w:r>
      <w:r w:rsidRPr="005A1F62">
        <w:t xml:space="preserve">факторы поддержки и стресс-факторы для определения итогового рейтингового числа. </w:t>
      </w:r>
    </w:p>
    <w:p w14:paraId="07C3D658" w14:textId="77777777" w:rsidR="009B681E" w:rsidRPr="005A1F62" w:rsidRDefault="009B681E" w:rsidP="00DC2FED">
      <w:pPr>
        <w:numPr>
          <w:ilvl w:val="0"/>
          <w:numId w:val="1"/>
        </w:numPr>
        <w:tabs>
          <w:tab w:val="clear" w:pos="720"/>
          <w:tab w:val="left" w:pos="709"/>
        </w:tabs>
        <w:ind w:left="0" w:firstLine="567"/>
        <w:jc w:val="both"/>
      </w:pPr>
      <w:r w:rsidRPr="005A1F62">
        <w:t xml:space="preserve">Самостоятельная кредитоспособность банка определяется как взвешенная сумма </w:t>
      </w:r>
      <w:r w:rsidR="00BA6E17" w:rsidRPr="005A1F62">
        <w:t xml:space="preserve">балльных </w:t>
      </w:r>
      <w:r w:rsidRPr="005A1F62">
        <w:t>оценок</w:t>
      </w:r>
      <w:r w:rsidR="009F4E96" w:rsidRPr="005A1F62">
        <w:t xml:space="preserve"> (далее – рейтинговое число)</w:t>
      </w:r>
      <w:r w:rsidRPr="005A1F62">
        <w:t xml:space="preserve"> блоков факторов: рыночные позиции, финансовые риски, управление, стратегия и риск-менеджмент, внутренние факторы поддержки и стресс-факторы.</w:t>
      </w:r>
      <w:r w:rsidR="00A9585E" w:rsidRPr="005A1F62">
        <w:t xml:space="preserve"> </w:t>
      </w:r>
    </w:p>
    <w:p w14:paraId="205D8217" w14:textId="0AE416F7" w:rsidR="009B681E" w:rsidRPr="005A1F62" w:rsidRDefault="009B681E" w:rsidP="00DC2FED">
      <w:pPr>
        <w:numPr>
          <w:ilvl w:val="0"/>
          <w:numId w:val="1"/>
        </w:numPr>
        <w:tabs>
          <w:tab w:val="clear" w:pos="720"/>
          <w:tab w:val="left" w:pos="709"/>
        </w:tabs>
        <w:ind w:left="0" w:firstLine="567"/>
        <w:jc w:val="both"/>
      </w:pPr>
      <w:r w:rsidRPr="005A1F62">
        <w:t>Блок «рыночные позиции банка» включает анализ следующих и</w:t>
      </w:r>
      <w:r w:rsidR="007804FF" w:rsidRPr="005A1F62">
        <w:t xml:space="preserve">нтегральных факторов: деловая </w:t>
      </w:r>
      <w:r w:rsidRPr="005A1F62">
        <w:t>репутация банка, специализация и кэпти</w:t>
      </w:r>
      <w:r w:rsidR="007804FF" w:rsidRPr="005A1F62">
        <w:t>вность, конкурентные позиции</w:t>
      </w:r>
      <w:r w:rsidRPr="005A1F62">
        <w:t xml:space="preserve"> банка. Внутри каждого из блоков оценка производится в соответствии с правилами определения экспертных оценок, указанными в разделе </w:t>
      </w:r>
      <w:r w:rsidR="00A9437E" w:rsidRPr="005A1F62">
        <w:rPr>
          <w:lang w:val="en-US"/>
        </w:rPr>
        <w:t>V</w:t>
      </w:r>
      <w:r w:rsidRPr="005A1F62">
        <w:t>.</w:t>
      </w:r>
    </w:p>
    <w:p w14:paraId="4B2E8387" w14:textId="5F3D9977" w:rsidR="009B681E" w:rsidRPr="005A1F62" w:rsidRDefault="009B681E" w:rsidP="00DC2FED">
      <w:pPr>
        <w:numPr>
          <w:ilvl w:val="0"/>
          <w:numId w:val="1"/>
        </w:numPr>
        <w:tabs>
          <w:tab w:val="clear" w:pos="720"/>
          <w:tab w:val="left" w:pos="709"/>
        </w:tabs>
        <w:ind w:left="0" w:firstLine="567"/>
        <w:jc w:val="both"/>
      </w:pPr>
      <w:r w:rsidRPr="005A1F62">
        <w:t xml:space="preserve">Блок «финансовые риски» включает анализ следующих интегральных факторов: достаточность и структура капитала банка, чувствительность капитала к реализации кредитных рисков, качество активов и внебалансовых обязательств под риском, концентрация активных операций на крупных клиентах, прибыльность операций, структура ресурсной базы, ликвидность, рыночные риски. Внутри каждого из блоков оценка производится в соответствии с правилами определения экспертных оценок, указанными в разделе </w:t>
      </w:r>
      <w:r w:rsidR="00A9437E" w:rsidRPr="005A1F62">
        <w:rPr>
          <w:lang w:val="en-US"/>
        </w:rPr>
        <w:t>V</w:t>
      </w:r>
      <w:r w:rsidRPr="005A1F62">
        <w:t>.</w:t>
      </w:r>
    </w:p>
    <w:p w14:paraId="78C321A7" w14:textId="77777777" w:rsidR="009B681E" w:rsidRPr="005A1F62" w:rsidRDefault="009B681E" w:rsidP="00DC2FED">
      <w:pPr>
        <w:numPr>
          <w:ilvl w:val="0"/>
          <w:numId w:val="1"/>
        </w:numPr>
        <w:tabs>
          <w:tab w:val="clear" w:pos="720"/>
          <w:tab w:val="left" w:pos="709"/>
        </w:tabs>
        <w:ind w:left="0" w:firstLine="567"/>
        <w:jc w:val="both"/>
      </w:pPr>
      <w:r w:rsidRPr="005A1F62">
        <w:t xml:space="preserve">Блок «управление и риск-менеджмент» включает анализ следующих интегральных факторов: корпоративное управление и организация бизнес-процессов, информационная прозрачность, структура собственности, управление рисками и стратегия развития. Внутри каждого из блоков оценка производится в соответствии с правилами определения экспертных оценок, указанными в разделе </w:t>
      </w:r>
      <w:r w:rsidR="00A9437E" w:rsidRPr="005A1F62">
        <w:rPr>
          <w:lang w:val="en-US"/>
        </w:rPr>
        <w:t>V</w:t>
      </w:r>
      <w:r w:rsidRPr="005A1F62">
        <w:t>.</w:t>
      </w:r>
    </w:p>
    <w:p w14:paraId="1A91697D" w14:textId="77777777" w:rsidR="009B681E" w:rsidRPr="005A1F62" w:rsidRDefault="009B681E" w:rsidP="00DC2FED">
      <w:pPr>
        <w:numPr>
          <w:ilvl w:val="0"/>
          <w:numId w:val="1"/>
        </w:numPr>
        <w:tabs>
          <w:tab w:val="clear" w:pos="720"/>
          <w:tab w:val="left" w:pos="709"/>
        </w:tabs>
        <w:ind w:left="0" w:firstLine="567"/>
        <w:jc w:val="both"/>
      </w:pPr>
      <w:r w:rsidRPr="005A1F62">
        <w:t>Оценки отдельных показателей внутри каждого из факторов</w:t>
      </w:r>
      <w:r w:rsidR="00855062" w:rsidRPr="005A1F62">
        <w:t xml:space="preserve"> (кроме СФ и ФП)</w:t>
      </w:r>
      <w:r w:rsidRPr="005A1F62">
        <w:t xml:space="preserve"> могут быть как непрерывными, так и дискретными, но в любом случае принимают значения в интервале от </w:t>
      </w:r>
      <w:r w:rsidR="002241F9" w:rsidRPr="005A1F62">
        <w:t>-</w:t>
      </w:r>
      <w:r w:rsidRPr="005A1F62">
        <w:t>1 до 1</w:t>
      </w:r>
      <w:r w:rsidR="00855062" w:rsidRPr="005A1F62">
        <w:t>.</w:t>
      </w:r>
      <w:r w:rsidR="00FD6767" w:rsidRPr="005A1F62">
        <w:t xml:space="preserve"> </w:t>
      </w:r>
      <w:r w:rsidRPr="005A1F62">
        <w:t>В случае если оценка дискретная, она может принимать одно из следующих значений</w:t>
      </w:r>
      <w:r w:rsidR="002241F9" w:rsidRPr="005A1F62">
        <w:t>.</w:t>
      </w:r>
    </w:p>
    <w:p w14:paraId="2EE02EA7" w14:textId="77777777" w:rsidR="00984204" w:rsidRPr="005A1F62" w:rsidRDefault="00984204" w:rsidP="00DC2F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8675"/>
      </w:tblGrid>
      <w:tr w:rsidR="009B681E" w:rsidRPr="005A1F62" w14:paraId="2693995A" w14:textId="77777777" w:rsidTr="00FD68D7">
        <w:tc>
          <w:tcPr>
            <w:tcW w:w="675" w:type="dxa"/>
            <w:shd w:val="clear" w:color="auto" w:fill="auto"/>
            <w:tcMar>
              <w:top w:w="0" w:type="dxa"/>
              <w:left w:w="108" w:type="dxa"/>
              <w:bottom w:w="0" w:type="dxa"/>
              <w:right w:w="108" w:type="dxa"/>
            </w:tcMar>
            <w:hideMark/>
          </w:tcPr>
          <w:p w14:paraId="696A94DB" w14:textId="77777777" w:rsidR="009B681E" w:rsidRPr="005A1F62" w:rsidRDefault="009B681E" w:rsidP="00DC2FED">
            <w:pPr>
              <w:tabs>
                <w:tab w:val="left" w:pos="709"/>
              </w:tabs>
              <w:jc w:val="both"/>
            </w:pPr>
            <w:r w:rsidRPr="005A1F62">
              <w:t>1</w:t>
            </w:r>
          </w:p>
        </w:tc>
        <w:tc>
          <w:tcPr>
            <w:tcW w:w="8896" w:type="dxa"/>
            <w:shd w:val="clear" w:color="auto" w:fill="auto"/>
            <w:tcMar>
              <w:top w:w="0" w:type="dxa"/>
              <w:left w:w="108" w:type="dxa"/>
              <w:bottom w:w="0" w:type="dxa"/>
              <w:right w:w="108" w:type="dxa"/>
            </w:tcMar>
            <w:hideMark/>
          </w:tcPr>
          <w:p w14:paraId="38DD8DBF" w14:textId="77777777" w:rsidR="009B681E" w:rsidRPr="005A1F62" w:rsidRDefault="009B681E" w:rsidP="00FE3B86">
            <w:pPr>
              <w:tabs>
                <w:tab w:val="left" w:pos="709"/>
              </w:tabs>
              <w:jc w:val="both"/>
            </w:pPr>
            <w:r w:rsidRPr="005A1F62">
              <w:t>Фактор (показатель) оказывает положительное влияние на уровень кредитоспособности</w:t>
            </w:r>
          </w:p>
        </w:tc>
      </w:tr>
      <w:tr w:rsidR="009B681E" w:rsidRPr="005A1F62" w14:paraId="5123036A" w14:textId="77777777" w:rsidTr="00FD68D7">
        <w:tc>
          <w:tcPr>
            <w:tcW w:w="675" w:type="dxa"/>
            <w:shd w:val="clear" w:color="auto" w:fill="auto"/>
            <w:tcMar>
              <w:top w:w="0" w:type="dxa"/>
              <w:left w:w="108" w:type="dxa"/>
              <w:bottom w:w="0" w:type="dxa"/>
              <w:right w:w="108" w:type="dxa"/>
            </w:tcMar>
            <w:hideMark/>
          </w:tcPr>
          <w:p w14:paraId="076ED7AF" w14:textId="77777777" w:rsidR="009B681E" w:rsidRPr="005A1F62" w:rsidRDefault="009B681E" w:rsidP="00DC2FED">
            <w:pPr>
              <w:tabs>
                <w:tab w:val="left" w:pos="709"/>
              </w:tabs>
              <w:jc w:val="both"/>
            </w:pPr>
            <w:r w:rsidRPr="005A1F62">
              <w:t>0,5</w:t>
            </w:r>
          </w:p>
        </w:tc>
        <w:tc>
          <w:tcPr>
            <w:tcW w:w="8896" w:type="dxa"/>
            <w:shd w:val="clear" w:color="auto" w:fill="auto"/>
            <w:tcMar>
              <w:top w:w="0" w:type="dxa"/>
              <w:left w:w="108" w:type="dxa"/>
              <w:bottom w:w="0" w:type="dxa"/>
              <w:right w:w="108" w:type="dxa"/>
            </w:tcMar>
            <w:hideMark/>
          </w:tcPr>
          <w:p w14:paraId="4254FAB7" w14:textId="77777777" w:rsidR="009B681E" w:rsidRPr="005A1F62" w:rsidRDefault="009B681E" w:rsidP="00FE3B86">
            <w:pPr>
              <w:tabs>
                <w:tab w:val="left" w:pos="709"/>
              </w:tabs>
              <w:jc w:val="both"/>
            </w:pPr>
            <w:r w:rsidRPr="005A1F62">
              <w:t>Фактор (показатель) оказывает умеренно положительное влияние на уровень кредитоспособности</w:t>
            </w:r>
          </w:p>
        </w:tc>
      </w:tr>
      <w:tr w:rsidR="009B681E" w:rsidRPr="005A1F62" w14:paraId="22475CA2" w14:textId="77777777" w:rsidTr="00FD68D7">
        <w:tc>
          <w:tcPr>
            <w:tcW w:w="675" w:type="dxa"/>
            <w:shd w:val="clear" w:color="auto" w:fill="auto"/>
            <w:tcMar>
              <w:top w:w="0" w:type="dxa"/>
              <w:left w:w="108" w:type="dxa"/>
              <w:bottom w:w="0" w:type="dxa"/>
              <w:right w:w="108" w:type="dxa"/>
            </w:tcMar>
            <w:hideMark/>
          </w:tcPr>
          <w:p w14:paraId="4746D78B" w14:textId="77777777" w:rsidR="009B681E" w:rsidRPr="005A1F62" w:rsidRDefault="009B681E" w:rsidP="00DC2FED">
            <w:pPr>
              <w:tabs>
                <w:tab w:val="left" w:pos="709"/>
              </w:tabs>
              <w:jc w:val="both"/>
            </w:pPr>
            <w:r w:rsidRPr="005A1F62">
              <w:t>0</w:t>
            </w:r>
          </w:p>
        </w:tc>
        <w:tc>
          <w:tcPr>
            <w:tcW w:w="8896" w:type="dxa"/>
            <w:shd w:val="clear" w:color="auto" w:fill="auto"/>
            <w:tcMar>
              <w:top w:w="0" w:type="dxa"/>
              <w:left w:w="108" w:type="dxa"/>
              <w:bottom w:w="0" w:type="dxa"/>
              <w:right w:w="108" w:type="dxa"/>
            </w:tcMar>
            <w:hideMark/>
          </w:tcPr>
          <w:p w14:paraId="03C7C7C4" w14:textId="77777777" w:rsidR="009B681E" w:rsidRPr="005A1F62" w:rsidRDefault="009B681E" w:rsidP="00FE3B86">
            <w:pPr>
              <w:tabs>
                <w:tab w:val="left" w:pos="709"/>
              </w:tabs>
              <w:jc w:val="both"/>
            </w:pPr>
            <w:r w:rsidRPr="005A1F62">
              <w:t>Фактор (показатель) оказывает нейтральное влияние на уровень кредитоспособности</w:t>
            </w:r>
          </w:p>
        </w:tc>
      </w:tr>
      <w:tr w:rsidR="009B681E" w:rsidRPr="005A1F62" w14:paraId="72FF9D28" w14:textId="77777777" w:rsidTr="00FD68D7">
        <w:tc>
          <w:tcPr>
            <w:tcW w:w="675" w:type="dxa"/>
            <w:shd w:val="clear" w:color="auto" w:fill="auto"/>
            <w:tcMar>
              <w:top w:w="0" w:type="dxa"/>
              <w:left w:w="108" w:type="dxa"/>
              <w:bottom w:w="0" w:type="dxa"/>
              <w:right w:w="108" w:type="dxa"/>
            </w:tcMar>
            <w:hideMark/>
          </w:tcPr>
          <w:p w14:paraId="26B96FB2" w14:textId="77777777" w:rsidR="009B681E" w:rsidRPr="005A1F62" w:rsidRDefault="009B681E" w:rsidP="00DC2FED">
            <w:pPr>
              <w:tabs>
                <w:tab w:val="left" w:pos="709"/>
              </w:tabs>
              <w:jc w:val="both"/>
            </w:pPr>
            <w:r w:rsidRPr="005A1F62">
              <w:t>-0,5</w:t>
            </w:r>
          </w:p>
        </w:tc>
        <w:tc>
          <w:tcPr>
            <w:tcW w:w="8896" w:type="dxa"/>
            <w:shd w:val="clear" w:color="auto" w:fill="auto"/>
            <w:tcMar>
              <w:top w:w="0" w:type="dxa"/>
              <w:left w:w="108" w:type="dxa"/>
              <w:bottom w:w="0" w:type="dxa"/>
              <w:right w:w="108" w:type="dxa"/>
            </w:tcMar>
            <w:hideMark/>
          </w:tcPr>
          <w:p w14:paraId="32FEC606" w14:textId="77777777" w:rsidR="009B681E" w:rsidRPr="005A1F62" w:rsidRDefault="009B681E" w:rsidP="00FE3B86">
            <w:pPr>
              <w:tabs>
                <w:tab w:val="left" w:pos="709"/>
              </w:tabs>
              <w:jc w:val="both"/>
            </w:pPr>
            <w:r w:rsidRPr="005A1F62">
              <w:t>Фактор (показатель) оказывает умеренно негативное влияние на уровень кредитоспособности</w:t>
            </w:r>
          </w:p>
        </w:tc>
      </w:tr>
      <w:tr w:rsidR="009B681E" w:rsidRPr="005A1F62" w14:paraId="192EEBF3" w14:textId="77777777" w:rsidTr="00FD68D7">
        <w:tc>
          <w:tcPr>
            <w:tcW w:w="675" w:type="dxa"/>
            <w:shd w:val="clear" w:color="auto" w:fill="auto"/>
            <w:tcMar>
              <w:top w:w="0" w:type="dxa"/>
              <w:left w:w="108" w:type="dxa"/>
              <w:bottom w:w="0" w:type="dxa"/>
              <w:right w:w="108" w:type="dxa"/>
            </w:tcMar>
            <w:hideMark/>
          </w:tcPr>
          <w:p w14:paraId="533D0496" w14:textId="77777777" w:rsidR="009B681E" w:rsidRPr="005A1F62" w:rsidRDefault="009B681E" w:rsidP="00DC2FED">
            <w:pPr>
              <w:tabs>
                <w:tab w:val="left" w:pos="709"/>
              </w:tabs>
              <w:jc w:val="both"/>
            </w:pPr>
            <w:r w:rsidRPr="005A1F62">
              <w:t>-1</w:t>
            </w:r>
          </w:p>
        </w:tc>
        <w:tc>
          <w:tcPr>
            <w:tcW w:w="8896" w:type="dxa"/>
            <w:shd w:val="clear" w:color="auto" w:fill="auto"/>
            <w:tcMar>
              <w:top w:w="0" w:type="dxa"/>
              <w:left w:w="108" w:type="dxa"/>
              <w:bottom w:w="0" w:type="dxa"/>
              <w:right w:w="108" w:type="dxa"/>
            </w:tcMar>
            <w:hideMark/>
          </w:tcPr>
          <w:p w14:paraId="66E5CE79" w14:textId="77777777" w:rsidR="009B681E" w:rsidRPr="005A1F62" w:rsidRDefault="009B681E" w:rsidP="00FE3B86">
            <w:pPr>
              <w:tabs>
                <w:tab w:val="left" w:pos="709"/>
              </w:tabs>
              <w:jc w:val="both"/>
            </w:pPr>
            <w:r w:rsidRPr="005A1F62">
              <w:t>Фактор (показатель) оказывает негативное влияние на уровень кредитоспособности</w:t>
            </w:r>
          </w:p>
        </w:tc>
      </w:tr>
    </w:tbl>
    <w:p w14:paraId="381E83A6" w14:textId="77777777" w:rsidR="009B681E" w:rsidRPr="005A1F62" w:rsidRDefault="009B681E" w:rsidP="00DC2FED">
      <w:pPr>
        <w:tabs>
          <w:tab w:val="left" w:pos="709"/>
        </w:tabs>
        <w:ind w:firstLine="567"/>
        <w:jc w:val="both"/>
      </w:pPr>
    </w:p>
    <w:p w14:paraId="05AD3DE4" w14:textId="5DBF0399" w:rsidR="009B681E" w:rsidRPr="005A1F62" w:rsidRDefault="009E6D29" w:rsidP="00DC2FED">
      <w:pPr>
        <w:numPr>
          <w:ilvl w:val="0"/>
          <w:numId w:val="1"/>
        </w:numPr>
        <w:tabs>
          <w:tab w:val="clear" w:pos="720"/>
          <w:tab w:val="left" w:pos="709"/>
        </w:tabs>
        <w:ind w:left="0" w:firstLine="567"/>
        <w:jc w:val="both"/>
      </w:pPr>
      <w:r w:rsidRPr="005A1F62">
        <w:t>Аналитик</w:t>
      </w:r>
      <w:r w:rsidR="009B681E" w:rsidRPr="005A1F62">
        <w:t xml:space="preserve"> вправе (в некоторых ситуациях, предусмотренных настоящей </w:t>
      </w:r>
      <w:r w:rsidR="00B708CC" w:rsidRPr="005A1F62">
        <w:t>методологией</w:t>
      </w:r>
      <w:r w:rsidR="009B681E" w:rsidRPr="005A1F62">
        <w:t xml:space="preserve">, должен) корректировать оценку показателя на </w:t>
      </w:r>
      <w:r w:rsidR="0054104E" w:rsidRPr="005A1F62">
        <w:t>указанное в описании фактора число баллов</w:t>
      </w:r>
      <w:r w:rsidR="009B681E" w:rsidRPr="005A1F62">
        <w:t xml:space="preserve">. </w:t>
      </w:r>
      <w:r w:rsidR="009F4E96" w:rsidRPr="005A1F62">
        <w:t xml:space="preserve">Все случаи корректировок должны быть </w:t>
      </w:r>
      <w:proofErr w:type="spellStart"/>
      <w:r w:rsidR="009F4E96" w:rsidRPr="005A1F62">
        <w:t>обоснован</w:t>
      </w:r>
      <w:r w:rsidR="002241F9" w:rsidRPr="005A1F62">
        <w:t>н</w:t>
      </w:r>
      <w:r w:rsidR="009F4E96" w:rsidRPr="005A1F62">
        <w:t>ы</w:t>
      </w:r>
      <w:proofErr w:type="spellEnd"/>
      <w:r w:rsidR="009F4E96" w:rsidRPr="005A1F62">
        <w:t xml:space="preserve"> и доведены до сведения рейтингового комитета</w:t>
      </w:r>
      <w:r w:rsidR="00BA6E17" w:rsidRPr="005A1F62">
        <w:t>.</w:t>
      </w:r>
      <w:r w:rsidR="009F4E96" w:rsidRPr="005A1F62">
        <w:t xml:space="preserve"> </w:t>
      </w:r>
      <w:r w:rsidR="00BA6E17" w:rsidRPr="005A1F62">
        <w:t>Д</w:t>
      </w:r>
      <w:r w:rsidR="009B681E" w:rsidRPr="005A1F62">
        <w:t>аже после корректировки</w:t>
      </w:r>
      <w:r w:rsidR="00A9585E" w:rsidRPr="005A1F62">
        <w:t xml:space="preserve"> </w:t>
      </w:r>
      <w:r w:rsidR="009B681E" w:rsidRPr="005A1F62">
        <w:t>оценка показателя</w:t>
      </w:r>
      <w:r w:rsidR="00DD15AB" w:rsidRPr="005A1F62">
        <w:t xml:space="preserve"> (кроме некоторых стресс-факторов и факторов поддержки)</w:t>
      </w:r>
      <w:r w:rsidR="009B681E" w:rsidRPr="005A1F62">
        <w:t xml:space="preserve"> должна оставаться в диапазоне от -1 до </w:t>
      </w:r>
      <w:r w:rsidR="009B681E" w:rsidRPr="005A1F62">
        <w:lastRenderedPageBreak/>
        <w:t xml:space="preserve">1. Сумма весов всех факторов, отнесенных к внутренней кредитоспособности, равна 1, поэтому рейтинговое число на данном этапе может принимать значения от -1 до 1. </w:t>
      </w:r>
    </w:p>
    <w:p w14:paraId="1A3D1242" w14:textId="77777777" w:rsidR="00D515C2" w:rsidRPr="005A1F62" w:rsidRDefault="009B681E" w:rsidP="00DC2FED">
      <w:pPr>
        <w:numPr>
          <w:ilvl w:val="0"/>
          <w:numId w:val="1"/>
        </w:numPr>
        <w:tabs>
          <w:tab w:val="clear" w:pos="720"/>
          <w:tab w:val="left" w:pos="709"/>
        </w:tabs>
        <w:ind w:left="0" w:firstLine="567"/>
        <w:jc w:val="both"/>
      </w:pPr>
      <w:bookmarkStart w:id="22" w:name="_Hlk508193439"/>
      <w:r w:rsidRPr="005A1F62">
        <w:t xml:space="preserve">После оценки блоков факторов, отнесенных к внутренней кредитоспособности, </w:t>
      </w:r>
      <w:r w:rsidR="009E6D29" w:rsidRPr="005A1F62">
        <w:t>аналитик</w:t>
      </w:r>
      <w:r w:rsidRPr="005A1F62">
        <w:t xml:space="preserve"> производит оценку внутренних факторов поддержки и стресс-факторов, в соответствии с которой корректирует ранее полученное рейтинговое число и получает рейтинговое число для рейтинга самостоятельной кредитоспособности.</w:t>
      </w:r>
      <w:r w:rsidR="00855062" w:rsidRPr="005A1F62">
        <w:t xml:space="preserve"> </w:t>
      </w:r>
    </w:p>
    <w:p w14:paraId="792234C9" w14:textId="4A87A7BC" w:rsidR="00D515C2" w:rsidRPr="005A1F62" w:rsidRDefault="00D515C2" w:rsidP="00DC2FED">
      <w:pPr>
        <w:numPr>
          <w:ilvl w:val="0"/>
          <w:numId w:val="1"/>
        </w:numPr>
        <w:tabs>
          <w:tab w:val="clear" w:pos="720"/>
          <w:tab w:val="left" w:pos="709"/>
        </w:tabs>
        <w:ind w:left="0" w:firstLine="567"/>
        <w:jc w:val="both"/>
      </w:pPr>
      <w:r w:rsidRPr="005A1F62">
        <w:t>Влияние стр</w:t>
      </w:r>
      <w:r w:rsidR="000E01FE" w:rsidRPr="005A1F62">
        <w:t>есс-факторов и факторов поддержки (кроме иных</w:t>
      </w:r>
      <w:r w:rsidR="00F054B7" w:rsidRPr="005A1F62">
        <w:t xml:space="preserve"> стресс-факторов и факторов поддержки</w:t>
      </w:r>
      <w:r w:rsidR="000E01FE" w:rsidRPr="005A1F62">
        <w:t xml:space="preserve">) </w:t>
      </w:r>
      <w:r w:rsidRPr="005A1F62">
        <w:t>на рейтинговое число зависит от их силы</w:t>
      </w:r>
      <w:r w:rsidR="00D60C08" w:rsidRPr="005A1F62">
        <w:t>.</w:t>
      </w:r>
    </w:p>
    <w:p w14:paraId="377B3FF8" w14:textId="77777777" w:rsidR="00DC2FED" w:rsidRPr="005A1F62" w:rsidRDefault="00DC2FED" w:rsidP="00DC2FED">
      <w:pPr>
        <w:ind w:left="567"/>
        <w:jc w:val="both"/>
      </w:pPr>
    </w:p>
    <w:tbl>
      <w:tblPr>
        <w:tblStyle w:val="af0"/>
        <w:tblW w:w="0" w:type="auto"/>
        <w:tblLook w:val="04A0" w:firstRow="1" w:lastRow="0" w:firstColumn="1" w:lastColumn="0" w:noHBand="0" w:noVBand="1"/>
      </w:tblPr>
      <w:tblGrid>
        <w:gridCol w:w="4680"/>
        <w:gridCol w:w="4665"/>
      </w:tblGrid>
      <w:tr w:rsidR="002B2425" w:rsidRPr="005A1F62" w14:paraId="77020ACE" w14:textId="77777777" w:rsidTr="002B2425">
        <w:tc>
          <w:tcPr>
            <w:tcW w:w="4785" w:type="dxa"/>
          </w:tcPr>
          <w:p w14:paraId="670A2696" w14:textId="0CC7620B" w:rsidR="002B2425" w:rsidRPr="005A1F62" w:rsidRDefault="002B2425" w:rsidP="00DC2FED">
            <w:pPr>
              <w:rPr>
                <w:b/>
              </w:rPr>
            </w:pPr>
            <w:r w:rsidRPr="005A1F62">
              <w:rPr>
                <w:b/>
              </w:rPr>
              <w:t>Сила СФ/ФП</w:t>
            </w:r>
          </w:p>
        </w:tc>
        <w:tc>
          <w:tcPr>
            <w:tcW w:w="4786" w:type="dxa"/>
          </w:tcPr>
          <w:p w14:paraId="0B773391" w14:textId="0E30440F" w:rsidR="002B2425" w:rsidRPr="005A1F62" w:rsidRDefault="002B2425" w:rsidP="00DC2FED">
            <w:pPr>
              <w:rPr>
                <w:b/>
              </w:rPr>
            </w:pPr>
            <w:r w:rsidRPr="005A1F62">
              <w:rPr>
                <w:b/>
              </w:rPr>
              <w:t>Влияние на рейтинговое число</w:t>
            </w:r>
            <w:r w:rsidR="00D60C08" w:rsidRPr="005A1F62">
              <w:rPr>
                <w:b/>
              </w:rPr>
              <w:t>, баллы</w:t>
            </w:r>
          </w:p>
        </w:tc>
      </w:tr>
      <w:tr w:rsidR="002B2425" w:rsidRPr="005A1F62" w14:paraId="4D0BE7D5" w14:textId="77777777" w:rsidTr="002B2425">
        <w:tc>
          <w:tcPr>
            <w:tcW w:w="4785" w:type="dxa"/>
          </w:tcPr>
          <w:p w14:paraId="24656577" w14:textId="00FD2134" w:rsidR="002B2425" w:rsidRPr="005A1F62" w:rsidRDefault="002B2425" w:rsidP="00DC2FED">
            <w:r w:rsidRPr="005A1F62">
              <w:t>Умеренный</w:t>
            </w:r>
          </w:p>
        </w:tc>
        <w:tc>
          <w:tcPr>
            <w:tcW w:w="4786" w:type="dxa"/>
          </w:tcPr>
          <w:p w14:paraId="60F25DF8" w14:textId="0A8AA5F8" w:rsidR="002B2425" w:rsidRPr="005A1F62" w:rsidRDefault="002B2425" w:rsidP="00DC2FED">
            <w:r w:rsidRPr="005A1F62">
              <w:t xml:space="preserve">10 </w:t>
            </w:r>
          </w:p>
        </w:tc>
      </w:tr>
      <w:tr w:rsidR="002B2425" w:rsidRPr="005A1F62" w14:paraId="4C846D10" w14:textId="77777777" w:rsidTr="002B2425">
        <w:tc>
          <w:tcPr>
            <w:tcW w:w="4785" w:type="dxa"/>
          </w:tcPr>
          <w:p w14:paraId="5CC9B011" w14:textId="3DE82E9B" w:rsidR="002B2425" w:rsidRPr="005A1F62" w:rsidRDefault="002B2425" w:rsidP="00DC2FED">
            <w:r w:rsidRPr="005A1F62">
              <w:t>Сильный</w:t>
            </w:r>
          </w:p>
        </w:tc>
        <w:tc>
          <w:tcPr>
            <w:tcW w:w="4786" w:type="dxa"/>
          </w:tcPr>
          <w:p w14:paraId="40746646" w14:textId="1428CCCC" w:rsidR="002B2425" w:rsidRPr="005A1F62" w:rsidRDefault="002B2425" w:rsidP="00DC2FED">
            <w:r w:rsidRPr="005A1F62">
              <w:t xml:space="preserve">20 </w:t>
            </w:r>
          </w:p>
        </w:tc>
      </w:tr>
      <w:tr w:rsidR="002B2425" w:rsidRPr="005A1F62" w14:paraId="4EC0B309" w14:textId="77777777" w:rsidTr="002B2425">
        <w:tc>
          <w:tcPr>
            <w:tcW w:w="4785" w:type="dxa"/>
          </w:tcPr>
          <w:p w14:paraId="0F58CC4B" w14:textId="54FB7CDE" w:rsidR="002B2425" w:rsidRPr="005A1F62" w:rsidRDefault="002B2425" w:rsidP="00DC2FED">
            <w:r w:rsidRPr="005A1F62">
              <w:t>Очень сильный</w:t>
            </w:r>
          </w:p>
        </w:tc>
        <w:tc>
          <w:tcPr>
            <w:tcW w:w="4786" w:type="dxa"/>
          </w:tcPr>
          <w:p w14:paraId="5CA205AD" w14:textId="6009D41E" w:rsidR="002B2425" w:rsidRPr="005A1F62" w:rsidRDefault="002B2425" w:rsidP="00DC2FED">
            <w:r w:rsidRPr="005A1F62">
              <w:t xml:space="preserve">30 </w:t>
            </w:r>
          </w:p>
        </w:tc>
      </w:tr>
      <w:tr w:rsidR="002B2425" w:rsidRPr="005A1F62" w14:paraId="50500C0C" w14:textId="77777777" w:rsidTr="002B2425">
        <w:tc>
          <w:tcPr>
            <w:tcW w:w="4785" w:type="dxa"/>
          </w:tcPr>
          <w:p w14:paraId="51A13D68" w14:textId="43DAAD78" w:rsidR="002B2425" w:rsidRPr="005A1F62" w:rsidRDefault="002B2425" w:rsidP="00DC2FED">
            <w:r w:rsidRPr="005A1F62">
              <w:t>Сверхсильный</w:t>
            </w:r>
          </w:p>
        </w:tc>
        <w:tc>
          <w:tcPr>
            <w:tcW w:w="4786" w:type="dxa"/>
          </w:tcPr>
          <w:p w14:paraId="31BD9028" w14:textId="36F626A9" w:rsidR="002B2425" w:rsidRPr="005A1F62" w:rsidRDefault="002B2425" w:rsidP="00DC2FED">
            <w:r w:rsidRPr="005A1F62">
              <w:t xml:space="preserve">40 </w:t>
            </w:r>
          </w:p>
        </w:tc>
      </w:tr>
      <w:tr w:rsidR="002B2425" w:rsidRPr="005A1F62" w14:paraId="62E6D0CF" w14:textId="77777777" w:rsidTr="002B2425">
        <w:tc>
          <w:tcPr>
            <w:tcW w:w="4785" w:type="dxa"/>
          </w:tcPr>
          <w:p w14:paraId="29EB0712" w14:textId="3950254B" w:rsidR="002B2425" w:rsidRPr="005A1F62" w:rsidRDefault="002B2425" w:rsidP="00DC2FED">
            <w:r w:rsidRPr="005A1F62">
              <w:t>Исключительный</w:t>
            </w:r>
          </w:p>
        </w:tc>
        <w:tc>
          <w:tcPr>
            <w:tcW w:w="4786" w:type="dxa"/>
          </w:tcPr>
          <w:p w14:paraId="387B07CB" w14:textId="74E532E8" w:rsidR="002B2425" w:rsidRPr="005A1F62" w:rsidRDefault="002B2425" w:rsidP="00DC2FED">
            <w:r w:rsidRPr="005A1F62">
              <w:t xml:space="preserve">50 </w:t>
            </w:r>
          </w:p>
        </w:tc>
      </w:tr>
      <w:tr w:rsidR="002B2425" w:rsidRPr="005A1F62" w14:paraId="152B6F24" w14:textId="77777777" w:rsidTr="002B2425">
        <w:tc>
          <w:tcPr>
            <w:tcW w:w="4785" w:type="dxa"/>
          </w:tcPr>
          <w:p w14:paraId="4BE57BC7" w14:textId="2176CDBF" w:rsidR="002B2425" w:rsidRPr="005A1F62" w:rsidRDefault="002B2425" w:rsidP="00DC2FED">
            <w:r w:rsidRPr="005A1F62">
              <w:t>Максимальный</w:t>
            </w:r>
          </w:p>
        </w:tc>
        <w:tc>
          <w:tcPr>
            <w:tcW w:w="4786" w:type="dxa"/>
          </w:tcPr>
          <w:p w14:paraId="3DCA4E52" w14:textId="796D4C72" w:rsidR="002B2425" w:rsidRPr="005A1F62" w:rsidRDefault="002B2425" w:rsidP="00DC2FED">
            <w:r w:rsidRPr="005A1F62">
              <w:t xml:space="preserve">60 </w:t>
            </w:r>
          </w:p>
        </w:tc>
      </w:tr>
    </w:tbl>
    <w:p w14:paraId="27D73537" w14:textId="56161A3F" w:rsidR="00492711" w:rsidRPr="005A1F62" w:rsidRDefault="00492711" w:rsidP="00DC2FED">
      <w:pPr>
        <w:tabs>
          <w:tab w:val="left" w:pos="709"/>
        </w:tabs>
        <w:jc w:val="both"/>
      </w:pPr>
    </w:p>
    <w:p w14:paraId="06213B14" w14:textId="6BD32E82" w:rsidR="009B681E" w:rsidRPr="005A1F62" w:rsidRDefault="00492711" w:rsidP="00DC2FED">
      <w:pPr>
        <w:numPr>
          <w:ilvl w:val="0"/>
          <w:numId w:val="1"/>
        </w:numPr>
        <w:tabs>
          <w:tab w:val="clear" w:pos="720"/>
          <w:tab w:val="left" w:pos="709"/>
        </w:tabs>
        <w:ind w:left="0" w:firstLine="567"/>
        <w:jc w:val="both"/>
      </w:pPr>
      <w:bookmarkStart w:id="23" w:name="_Hlk508193387"/>
      <w:r w:rsidRPr="005A1F62">
        <w:t>В</w:t>
      </w:r>
      <w:r w:rsidR="009B681E" w:rsidRPr="005A1F62">
        <w:t xml:space="preserve">нутренние факторы поддержки и стресс-факторы </w:t>
      </w:r>
      <w:r w:rsidRPr="005A1F62">
        <w:t xml:space="preserve">описаны </w:t>
      </w:r>
      <w:r w:rsidR="009B681E" w:rsidRPr="005A1F62">
        <w:t xml:space="preserve">в </w:t>
      </w:r>
      <w:r w:rsidR="00614F25" w:rsidRPr="005A1F62">
        <w:t>под</w:t>
      </w:r>
      <w:r w:rsidR="009B681E" w:rsidRPr="005A1F62">
        <w:t>разделе IV</w:t>
      </w:r>
      <w:r w:rsidR="00614F25" w:rsidRPr="005A1F62">
        <w:t xml:space="preserve"> раздела V «</w:t>
      </w:r>
      <w:r w:rsidR="00033EC1" w:rsidRPr="005A1F62">
        <w:t>Ключевые количественные и качественные факторы</w:t>
      </w:r>
      <w:r w:rsidR="00614F25" w:rsidRPr="005A1F62">
        <w:t>»</w:t>
      </w:r>
      <w:r w:rsidR="009B681E" w:rsidRPr="005A1F62">
        <w:t>. При выявлении нескольких стресс-факторов (факторов поддержки) «штрафы» и «бонусы» складываются</w:t>
      </w:r>
      <w:r w:rsidR="00AA4471" w:rsidRPr="005A1F62">
        <w:t xml:space="preserve">. </w:t>
      </w:r>
      <w:r w:rsidR="009B681E" w:rsidRPr="005A1F62">
        <w:t xml:space="preserve">Затем </w:t>
      </w:r>
      <w:r w:rsidR="009E6D29" w:rsidRPr="005A1F62">
        <w:t>аналитик</w:t>
      </w:r>
      <w:r w:rsidR="009B681E" w:rsidRPr="005A1F62">
        <w:t xml:space="preserve"> корректирует рейтинговое число самостоятельной кредитоспособности на внешние факторы поддержки и стресс-факторы и получ</w:t>
      </w:r>
      <w:r w:rsidR="00F054B7" w:rsidRPr="005A1F62">
        <w:t>ает итоговое рейтинговое число.</w:t>
      </w:r>
    </w:p>
    <w:p w14:paraId="20121D2A" w14:textId="26C75CF9" w:rsidR="00A018E4" w:rsidRPr="005A1F62" w:rsidRDefault="00A018E4" w:rsidP="00DC2FED">
      <w:pPr>
        <w:numPr>
          <w:ilvl w:val="0"/>
          <w:numId w:val="1"/>
        </w:numPr>
        <w:tabs>
          <w:tab w:val="clear" w:pos="720"/>
          <w:tab w:val="left" w:pos="709"/>
        </w:tabs>
        <w:ind w:left="0" w:firstLine="567"/>
        <w:jc w:val="both"/>
      </w:pPr>
      <w:r w:rsidRPr="005A1F62">
        <w:t>Иной стресс-фактор, как и иной фактор поддержки (</w:t>
      </w:r>
      <w:r w:rsidR="00C21B6B" w:rsidRPr="005A1F62">
        <w:t xml:space="preserve">раздел </w:t>
      </w:r>
      <w:r w:rsidR="00D60C08" w:rsidRPr="005A1F62">
        <w:t xml:space="preserve">«Факторы </w:t>
      </w:r>
      <w:r w:rsidR="00C21B6B" w:rsidRPr="005A1F62">
        <w:t xml:space="preserve">поддержки и </w:t>
      </w:r>
      <w:r w:rsidR="007A2E01" w:rsidRPr="005A1F62">
        <w:t>стресс</w:t>
      </w:r>
      <w:r w:rsidR="00C21B6B" w:rsidRPr="005A1F62">
        <w:t>-факторы</w:t>
      </w:r>
      <w:r w:rsidR="00D60C08" w:rsidRPr="005A1F62">
        <w:t>»</w:t>
      </w:r>
      <w:r w:rsidRPr="005A1F62">
        <w:t>), может быть</w:t>
      </w:r>
      <w:r w:rsidR="000E01FE" w:rsidRPr="005A1F62">
        <w:t xml:space="preserve"> как внутренним, так и внешним.</w:t>
      </w:r>
    </w:p>
    <w:p w14:paraId="0E51D39B" w14:textId="77777777" w:rsidR="00DC2FED" w:rsidRPr="005A1F62" w:rsidRDefault="000E01FE" w:rsidP="00DC2FED">
      <w:pPr>
        <w:numPr>
          <w:ilvl w:val="0"/>
          <w:numId w:val="1"/>
        </w:numPr>
        <w:tabs>
          <w:tab w:val="clear" w:pos="720"/>
          <w:tab w:val="left" w:pos="709"/>
        </w:tabs>
        <w:ind w:left="0" w:firstLine="567"/>
        <w:jc w:val="both"/>
      </w:pPr>
      <w:r w:rsidRPr="005A1F62">
        <w:t>Влияние иных стресс-факторов и факторов поддержки на рейтинговое число зависит от их силы</w:t>
      </w:r>
      <w:r w:rsidR="00D60C08" w:rsidRPr="005A1F62">
        <w:t>.</w:t>
      </w:r>
    </w:p>
    <w:p w14:paraId="18361744" w14:textId="4EAC41BD" w:rsidR="000E01FE" w:rsidRPr="005A1F62" w:rsidRDefault="000E01FE" w:rsidP="00DC2FED">
      <w:pPr>
        <w:ind w:left="567"/>
        <w:jc w:val="both"/>
      </w:pPr>
    </w:p>
    <w:tbl>
      <w:tblPr>
        <w:tblStyle w:val="af0"/>
        <w:tblW w:w="0" w:type="auto"/>
        <w:tblLook w:val="04A0" w:firstRow="1" w:lastRow="0" w:firstColumn="1" w:lastColumn="0" w:noHBand="0" w:noVBand="1"/>
      </w:tblPr>
      <w:tblGrid>
        <w:gridCol w:w="4669"/>
        <w:gridCol w:w="4676"/>
      </w:tblGrid>
      <w:tr w:rsidR="000E01FE" w:rsidRPr="005A1F62" w14:paraId="7B154B74" w14:textId="77777777" w:rsidTr="00D51091">
        <w:tc>
          <w:tcPr>
            <w:tcW w:w="4785" w:type="dxa"/>
          </w:tcPr>
          <w:p w14:paraId="6E273CDB" w14:textId="77777777" w:rsidR="000E01FE" w:rsidRPr="005A1F62" w:rsidRDefault="000E01FE" w:rsidP="00DC2FED">
            <w:pPr>
              <w:rPr>
                <w:b/>
              </w:rPr>
            </w:pPr>
            <w:r w:rsidRPr="005A1F62">
              <w:rPr>
                <w:b/>
              </w:rPr>
              <w:t>Сила СФ/ФП</w:t>
            </w:r>
          </w:p>
        </w:tc>
        <w:tc>
          <w:tcPr>
            <w:tcW w:w="4786" w:type="dxa"/>
          </w:tcPr>
          <w:p w14:paraId="72567D64" w14:textId="3A72272E" w:rsidR="000E01FE" w:rsidRPr="005A1F62" w:rsidRDefault="000E01FE" w:rsidP="00DC2FED">
            <w:pPr>
              <w:rPr>
                <w:b/>
              </w:rPr>
            </w:pPr>
            <w:r w:rsidRPr="005A1F62">
              <w:rPr>
                <w:b/>
              </w:rPr>
              <w:t>Влияние на рейтинговое число</w:t>
            </w:r>
            <w:r w:rsidR="00D60C08" w:rsidRPr="005A1F62">
              <w:rPr>
                <w:b/>
              </w:rPr>
              <w:t>, баллы</w:t>
            </w:r>
          </w:p>
        </w:tc>
      </w:tr>
      <w:tr w:rsidR="000E01FE" w:rsidRPr="005A1F62" w14:paraId="768EBA87" w14:textId="77777777" w:rsidTr="00D51091">
        <w:tc>
          <w:tcPr>
            <w:tcW w:w="4785" w:type="dxa"/>
          </w:tcPr>
          <w:p w14:paraId="7AFC9128" w14:textId="77777777" w:rsidR="000E01FE" w:rsidRPr="005A1F62" w:rsidRDefault="000E01FE" w:rsidP="00DC2FED">
            <w:r w:rsidRPr="005A1F62">
              <w:t>Умеренный</w:t>
            </w:r>
          </w:p>
        </w:tc>
        <w:tc>
          <w:tcPr>
            <w:tcW w:w="4786" w:type="dxa"/>
          </w:tcPr>
          <w:p w14:paraId="46599AA6" w14:textId="2E2533F4" w:rsidR="000E01FE" w:rsidRPr="005A1F62" w:rsidRDefault="000E01FE" w:rsidP="00DC2FED">
            <w:r w:rsidRPr="005A1F62">
              <w:t xml:space="preserve">7 </w:t>
            </w:r>
          </w:p>
        </w:tc>
      </w:tr>
      <w:tr w:rsidR="000E01FE" w:rsidRPr="005A1F62" w14:paraId="353466FF" w14:textId="77777777" w:rsidTr="00D51091">
        <w:tc>
          <w:tcPr>
            <w:tcW w:w="4785" w:type="dxa"/>
          </w:tcPr>
          <w:p w14:paraId="5C96C048" w14:textId="77777777" w:rsidR="000E01FE" w:rsidRPr="005A1F62" w:rsidRDefault="000E01FE" w:rsidP="00DC2FED">
            <w:r w:rsidRPr="005A1F62">
              <w:t>Сильный</w:t>
            </w:r>
          </w:p>
        </w:tc>
        <w:tc>
          <w:tcPr>
            <w:tcW w:w="4786" w:type="dxa"/>
          </w:tcPr>
          <w:p w14:paraId="1E5B7216" w14:textId="4A2B94D1" w:rsidR="000E01FE" w:rsidRPr="005A1F62" w:rsidRDefault="000E01FE" w:rsidP="00DC2FED">
            <w:r w:rsidRPr="005A1F62">
              <w:t>14</w:t>
            </w:r>
          </w:p>
        </w:tc>
      </w:tr>
    </w:tbl>
    <w:p w14:paraId="71F5A733" w14:textId="4DAB7660" w:rsidR="00D57002" w:rsidRPr="005A1F62" w:rsidRDefault="00D57002" w:rsidP="00DC2FED">
      <w:pPr>
        <w:tabs>
          <w:tab w:val="left" w:pos="709"/>
        </w:tabs>
      </w:pPr>
    </w:p>
    <w:p w14:paraId="7F820944" w14:textId="77777777" w:rsidR="00DC2FED" w:rsidRPr="005A1F62" w:rsidRDefault="000E01FE" w:rsidP="00DC2FED">
      <w:pPr>
        <w:numPr>
          <w:ilvl w:val="0"/>
          <w:numId w:val="1"/>
        </w:numPr>
        <w:tabs>
          <w:tab w:val="clear" w:pos="720"/>
          <w:tab w:val="left" w:pos="709"/>
        </w:tabs>
        <w:ind w:left="0" w:firstLine="567"/>
        <w:jc w:val="both"/>
      </w:pPr>
      <w:r w:rsidRPr="005A1F62">
        <w:t>Сила стресс-факторов и факторов поддержки может варьироваться в следующих диапазонах</w:t>
      </w:r>
      <w:r w:rsidR="00D60C08" w:rsidRPr="005A1F62">
        <w:t>.</w:t>
      </w:r>
    </w:p>
    <w:p w14:paraId="75DFB77C" w14:textId="0BA17E35" w:rsidR="000E01FE" w:rsidRPr="005A1F62" w:rsidRDefault="000E01FE" w:rsidP="00DC2FED">
      <w:pPr>
        <w:ind w:left="567"/>
        <w:jc w:val="both"/>
      </w:pPr>
    </w:p>
    <w:tbl>
      <w:tblPr>
        <w:tblStyle w:val="af0"/>
        <w:tblW w:w="0" w:type="auto"/>
        <w:tblLook w:val="04A0" w:firstRow="1" w:lastRow="0" w:firstColumn="1" w:lastColumn="0" w:noHBand="0" w:noVBand="1"/>
      </w:tblPr>
      <w:tblGrid>
        <w:gridCol w:w="5524"/>
        <w:gridCol w:w="3821"/>
      </w:tblGrid>
      <w:tr w:rsidR="000E01FE" w:rsidRPr="005A1F62" w14:paraId="01026653" w14:textId="77777777" w:rsidTr="00FE3B86">
        <w:tc>
          <w:tcPr>
            <w:tcW w:w="5524" w:type="dxa"/>
          </w:tcPr>
          <w:p w14:paraId="2F18BE77" w14:textId="1E426A9D" w:rsidR="000E01FE" w:rsidRPr="005A1F62" w:rsidRDefault="00BA1B61" w:rsidP="00DC2FED">
            <w:pPr>
              <w:jc w:val="both"/>
              <w:rPr>
                <w:b/>
              </w:rPr>
            </w:pPr>
            <w:r w:rsidRPr="005A1F62">
              <w:rPr>
                <w:b/>
              </w:rPr>
              <w:t>Внутренние факторы поддержки</w:t>
            </w:r>
          </w:p>
        </w:tc>
        <w:tc>
          <w:tcPr>
            <w:tcW w:w="3821" w:type="dxa"/>
          </w:tcPr>
          <w:p w14:paraId="634FA1E3" w14:textId="45E57EB2" w:rsidR="000E01FE" w:rsidRPr="005A1F62" w:rsidRDefault="00BA1B61" w:rsidP="00DC2FED">
            <w:pPr>
              <w:jc w:val="both"/>
              <w:rPr>
                <w:b/>
              </w:rPr>
            </w:pPr>
            <w:r w:rsidRPr="005A1F62">
              <w:rPr>
                <w:b/>
              </w:rPr>
              <w:t>Диапазон</w:t>
            </w:r>
          </w:p>
        </w:tc>
      </w:tr>
      <w:tr w:rsidR="000E01FE" w:rsidRPr="005A1F62" w14:paraId="00AA0D66" w14:textId="77777777" w:rsidTr="00FE3B86">
        <w:tc>
          <w:tcPr>
            <w:tcW w:w="5524" w:type="dxa"/>
          </w:tcPr>
          <w:p w14:paraId="541C1DFF" w14:textId="5F7378B1" w:rsidR="000E01FE" w:rsidRPr="005A1F62" w:rsidRDefault="00BA1B61" w:rsidP="00DC2FED">
            <w:pPr>
              <w:jc w:val="both"/>
            </w:pPr>
            <w:r w:rsidRPr="005A1F62">
              <w:t>Иной фактор поддержки</w:t>
            </w:r>
          </w:p>
        </w:tc>
        <w:tc>
          <w:tcPr>
            <w:tcW w:w="3821" w:type="dxa"/>
          </w:tcPr>
          <w:p w14:paraId="55B7A10B" w14:textId="30008843" w:rsidR="000E01FE" w:rsidRPr="005A1F62" w:rsidRDefault="00BA1B61" w:rsidP="00DC2FED">
            <w:pPr>
              <w:jc w:val="both"/>
            </w:pPr>
            <w:r w:rsidRPr="005A1F62">
              <w:t>От умеренного до сильного</w:t>
            </w:r>
          </w:p>
        </w:tc>
      </w:tr>
      <w:tr w:rsidR="000E01FE" w:rsidRPr="005A1F62" w14:paraId="6C49A417" w14:textId="77777777" w:rsidTr="00FE3B86">
        <w:tc>
          <w:tcPr>
            <w:tcW w:w="5524" w:type="dxa"/>
          </w:tcPr>
          <w:p w14:paraId="16D0B2D6" w14:textId="50325281" w:rsidR="000E01FE" w:rsidRPr="005A1F62" w:rsidRDefault="00BA1B61" w:rsidP="00DC2FED">
            <w:pPr>
              <w:jc w:val="both"/>
              <w:rPr>
                <w:b/>
              </w:rPr>
            </w:pPr>
            <w:r w:rsidRPr="005A1F62">
              <w:rPr>
                <w:b/>
              </w:rPr>
              <w:t>Внутренние стресс-факторы</w:t>
            </w:r>
          </w:p>
        </w:tc>
        <w:tc>
          <w:tcPr>
            <w:tcW w:w="3821" w:type="dxa"/>
          </w:tcPr>
          <w:p w14:paraId="5F6978BC" w14:textId="03F2B647" w:rsidR="000E01FE" w:rsidRPr="005A1F62" w:rsidRDefault="00BA1B61" w:rsidP="00DC2FED">
            <w:pPr>
              <w:jc w:val="both"/>
              <w:rPr>
                <w:b/>
              </w:rPr>
            </w:pPr>
            <w:r w:rsidRPr="005A1F62">
              <w:rPr>
                <w:b/>
              </w:rPr>
              <w:t>Диапазон</w:t>
            </w:r>
          </w:p>
        </w:tc>
      </w:tr>
      <w:tr w:rsidR="000E01FE" w:rsidRPr="005A1F62" w14:paraId="6F57C759" w14:textId="77777777" w:rsidTr="00FE3B86">
        <w:tc>
          <w:tcPr>
            <w:tcW w:w="5524" w:type="dxa"/>
          </w:tcPr>
          <w:p w14:paraId="6028FC24" w14:textId="1A682E59" w:rsidR="000E01FE" w:rsidRPr="005A1F62" w:rsidRDefault="00BA1B61" w:rsidP="00DC2FED">
            <w:pPr>
              <w:jc w:val="both"/>
            </w:pPr>
            <w:r w:rsidRPr="005A1F62">
              <w:t>Стресс-фактор специализации и кэптивности</w:t>
            </w:r>
          </w:p>
        </w:tc>
        <w:tc>
          <w:tcPr>
            <w:tcW w:w="3821" w:type="dxa"/>
          </w:tcPr>
          <w:p w14:paraId="1F5DDF9A" w14:textId="7F32CCF4" w:rsidR="000E01FE" w:rsidRPr="005A1F62" w:rsidRDefault="00BA1B61" w:rsidP="00DC2FED">
            <w:pPr>
              <w:jc w:val="both"/>
            </w:pPr>
            <w:r w:rsidRPr="005A1F62">
              <w:t>От умеренного до сильного</w:t>
            </w:r>
          </w:p>
        </w:tc>
      </w:tr>
      <w:tr w:rsidR="000E01FE" w:rsidRPr="005A1F62" w14:paraId="78D69743" w14:textId="77777777" w:rsidTr="00FE3B86">
        <w:tc>
          <w:tcPr>
            <w:tcW w:w="5524" w:type="dxa"/>
          </w:tcPr>
          <w:p w14:paraId="15878836" w14:textId="45E1BDD3" w:rsidR="000E01FE" w:rsidRPr="005A1F62" w:rsidRDefault="00BA1B61" w:rsidP="00DC2FED">
            <w:pPr>
              <w:jc w:val="both"/>
            </w:pPr>
            <w:r w:rsidRPr="005A1F62">
              <w:t>Стресс-фактор за географию деятельности</w:t>
            </w:r>
          </w:p>
        </w:tc>
        <w:tc>
          <w:tcPr>
            <w:tcW w:w="3821" w:type="dxa"/>
          </w:tcPr>
          <w:p w14:paraId="0B81423B" w14:textId="6F06CE1D" w:rsidR="000E01FE" w:rsidRPr="005A1F62" w:rsidRDefault="00BA1B61" w:rsidP="00DC2FED">
            <w:pPr>
              <w:jc w:val="both"/>
            </w:pPr>
            <w:r w:rsidRPr="005A1F62">
              <w:t>Только умеренный</w:t>
            </w:r>
          </w:p>
        </w:tc>
      </w:tr>
      <w:tr w:rsidR="000E01FE" w:rsidRPr="005A1F62" w14:paraId="6A4A7DB2" w14:textId="77777777" w:rsidTr="00FE3B86">
        <w:trPr>
          <w:trHeight w:val="190"/>
        </w:trPr>
        <w:tc>
          <w:tcPr>
            <w:tcW w:w="5524" w:type="dxa"/>
          </w:tcPr>
          <w:p w14:paraId="5B75F0A1" w14:textId="41D1357C" w:rsidR="000E01FE" w:rsidRPr="005A1F62" w:rsidRDefault="00BA1B61" w:rsidP="00DC2FED">
            <w:pPr>
              <w:jc w:val="both"/>
            </w:pPr>
            <w:r w:rsidRPr="005A1F62">
              <w:t>Стресс-фактор за риски регулирования и надзора</w:t>
            </w:r>
          </w:p>
        </w:tc>
        <w:tc>
          <w:tcPr>
            <w:tcW w:w="3821" w:type="dxa"/>
          </w:tcPr>
          <w:p w14:paraId="569D441A" w14:textId="60B8EF75" w:rsidR="000E01FE" w:rsidRPr="005A1F62" w:rsidRDefault="00BA1B61" w:rsidP="00DC2FED">
            <w:pPr>
              <w:jc w:val="both"/>
            </w:pPr>
            <w:r w:rsidRPr="005A1F62">
              <w:t>От умеренного до сверхсильного</w:t>
            </w:r>
          </w:p>
        </w:tc>
      </w:tr>
      <w:tr w:rsidR="000E01FE" w:rsidRPr="005A1F62" w14:paraId="4F4D1036" w14:textId="77777777" w:rsidTr="00FE3B86">
        <w:tc>
          <w:tcPr>
            <w:tcW w:w="5524" w:type="dxa"/>
          </w:tcPr>
          <w:p w14:paraId="46C51737" w14:textId="1FCB10EA" w:rsidR="000E01FE" w:rsidRPr="005A1F62" w:rsidRDefault="00BA1B61" w:rsidP="00DC2FED">
            <w:pPr>
              <w:jc w:val="both"/>
            </w:pPr>
            <w:r w:rsidRPr="005A1F62">
              <w:t>Стресс-фактор ресурсной базы</w:t>
            </w:r>
          </w:p>
        </w:tc>
        <w:tc>
          <w:tcPr>
            <w:tcW w:w="3821" w:type="dxa"/>
          </w:tcPr>
          <w:p w14:paraId="121874FF" w14:textId="403B8B17" w:rsidR="000E01FE" w:rsidRPr="005A1F62" w:rsidRDefault="0009723F" w:rsidP="00DC2FED">
            <w:pPr>
              <w:jc w:val="both"/>
            </w:pPr>
            <w:r w:rsidRPr="005A1F62">
              <w:t>От умеренного до сильного</w:t>
            </w:r>
          </w:p>
        </w:tc>
      </w:tr>
      <w:tr w:rsidR="000E01FE" w:rsidRPr="005A1F62" w14:paraId="6FF4EFD7" w14:textId="77777777" w:rsidTr="00FE3B86">
        <w:tc>
          <w:tcPr>
            <w:tcW w:w="5524" w:type="dxa"/>
          </w:tcPr>
          <w:p w14:paraId="5A73BC96" w14:textId="2A5AA7D0" w:rsidR="000E01FE" w:rsidRPr="005A1F62" w:rsidRDefault="00BA1B61" w:rsidP="00DC2FED">
            <w:pPr>
              <w:jc w:val="both"/>
            </w:pPr>
            <w:r w:rsidRPr="005A1F62">
              <w:t>Стресс-фактор активно-пассивных операций</w:t>
            </w:r>
          </w:p>
        </w:tc>
        <w:tc>
          <w:tcPr>
            <w:tcW w:w="3821" w:type="dxa"/>
          </w:tcPr>
          <w:p w14:paraId="25169F95" w14:textId="424393DD" w:rsidR="000E01FE" w:rsidRPr="005A1F62" w:rsidRDefault="0009723F" w:rsidP="00DC2FED">
            <w:pPr>
              <w:jc w:val="both"/>
            </w:pPr>
            <w:r w:rsidRPr="005A1F62">
              <w:t>От умеренного до сверхсильного</w:t>
            </w:r>
          </w:p>
        </w:tc>
      </w:tr>
      <w:tr w:rsidR="00BA1B61" w:rsidRPr="005A1F62" w14:paraId="0E21BECC" w14:textId="77777777" w:rsidTr="00FE3B86">
        <w:tc>
          <w:tcPr>
            <w:tcW w:w="5524" w:type="dxa"/>
          </w:tcPr>
          <w:p w14:paraId="1A339D55" w14:textId="67A7072E" w:rsidR="00BA1B61" w:rsidRPr="005A1F62" w:rsidRDefault="00BA1B61" w:rsidP="00DC2FED">
            <w:pPr>
              <w:jc w:val="both"/>
            </w:pPr>
            <w:r w:rsidRPr="005A1F62">
              <w:t>Иной стресс-фактор</w:t>
            </w:r>
          </w:p>
        </w:tc>
        <w:tc>
          <w:tcPr>
            <w:tcW w:w="3821" w:type="dxa"/>
          </w:tcPr>
          <w:p w14:paraId="4927923B" w14:textId="2F56330D" w:rsidR="00BA1B61" w:rsidRPr="005A1F62" w:rsidRDefault="0009723F" w:rsidP="00DC2FED">
            <w:pPr>
              <w:jc w:val="both"/>
            </w:pPr>
            <w:r w:rsidRPr="005A1F62">
              <w:t>От умеренного до сильного</w:t>
            </w:r>
          </w:p>
        </w:tc>
      </w:tr>
      <w:tr w:rsidR="00BA1B61" w:rsidRPr="005A1F62" w14:paraId="66740555" w14:textId="77777777" w:rsidTr="00FE3B86">
        <w:tc>
          <w:tcPr>
            <w:tcW w:w="5524" w:type="dxa"/>
          </w:tcPr>
          <w:p w14:paraId="6A77CF72" w14:textId="1B983E89" w:rsidR="00BA1B61" w:rsidRPr="005A1F62" w:rsidRDefault="0009723F" w:rsidP="00DC2FED">
            <w:pPr>
              <w:jc w:val="both"/>
              <w:rPr>
                <w:b/>
              </w:rPr>
            </w:pPr>
            <w:r w:rsidRPr="005A1F62">
              <w:rPr>
                <w:b/>
              </w:rPr>
              <w:t>Внешние факторы поддержки</w:t>
            </w:r>
          </w:p>
        </w:tc>
        <w:tc>
          <w:tcPr>
            <w:tcW w:w="3821" w:type="dxa"/>
          </w:tcPr>
          <w:p w14:paraId="115E3716" w14:textId="3A3423C7" w:rsidR="00BA1B61" w:rsidRPr="005A1F62" w:rsidRDefault="0009723F" w:rsidP="00DC2FED">
            <w:pPr>
              <w:jc w:val="both"/>
              <w:rPr>
                <w:b/>
              </w:rPr>
            </w:pPr>
            <w:r w:rsidRPr="005A1F62">
              <w:rPr>
                <w:b/>
              </w:rPr>
              <w:t>Диапазон</w:t>
            </w:r>
          </w:p>
        </w:tc>
      </w:tr>
      <w:tr w:rsidR="00BA1B61" w:rsidRPr="005A1F62" w14:paraId="1EB2A35C" w14:textId="77777777" w:rsidTr="00FE3B86">
        <w:tc>
          <w:tcPr>
            <w:tcW w:w="5524" w:type="dxa"/>
          </w:tcPr>
          <w:p w14:paraId="23A033B2" w14:textId="1D3B326E" w:rsidR="00BA1B61" w:rsidRPr="005A1F62" w:rsidRDefault="0009723F" w:rsidP="00DC2FED">
            <w:pPr>
              <w:jc w:val="both"/>
            </w:pPr>
            <w:r w:rsidRPr="005A1F62">
              <w:t>Фактор поддержки со стороны собственников</w:t>
            </w:r>
          </w:p>
        </w:tc>
        <w:tc>
          <w:tcPr>
            <w:tcW w:w="3821" w:type="dxa"/>
          </w:tcPr>
          <w:p w14:paraId="53EBF8BF" w14:textId="0B56A445" w:rsidR="00BA1B61" w:rsidRPr="005A1F62" w:rsidRDefault="0009723F" w:rsidP="00DC2FED">
            <w:pPr>
              <w:jc w:val="both"/>
            </w:pPr>
            <w:r w:rsidRPr="005A1F62">
              <w:t>От умеренного до сильного</w:t>
            </w:r>
          </w:p>
        </w:tc>
      </w:tr>
      <w:tr w:rsidR="0009723F" w:rsidRPr="005A1F62" w14:paraId="0928ECA2" w14:textId="77777777" w:rsidTr="00FE3B86">
        <w:tc>
          <w:tcPr>
            <w:tcW w:w="5524" w:type="dxa"/>
          </w:tcPr>
          <w:p w14:paraId="48B1D21D" w14:textId="677A85F3" w:rsidR="0009723F" w:rsidRPr="005A1F62" w:rsidRDefault="0009723F" w:rsidP="00DC2FED">
            <w:pPr>
              <w:jc w:val="both"/>
            </w:pPr>
            <w:r w:rsidRPr="005A1F62">
              <w:t>Фактор поддержки со стороны органов власти</w:t>
            </w:r>
          </w:p>
        </w:tc>
        <w:tc>
          <w:tcPr>
            <w:tcW w:w="3821" w:type="dxa"/>
          </w:tcPr>
          <w:p w14:paraId="68D687E9" w14:textId="3E5D1D2F" w:rsidR="0009723F" w:rsidRPr="005A1F62" w:rsidRDefault="0009723F" w:rsidP="00DC2FED">
            <w:pPr>
              <w:jc w:val="both"/>
            </w:pPr>
            <w:r w:rsidRPr="005A1F62">
              <w:t>От умеренного до максимального</w:t>
            </w:r>
          </w:p>
        </w:tc>
      </w:tr>
      <w:tr w:rsidR="0009723F" w:rsidRPr="005A1F62" w14:paraId="6AFD0519" w14:textId="77777777" w:rsidTr="00FE3B86">
        <w:tc>
          <w:tcPr>
            <w:tcW w:w="5524" w:type="dxa"/>
          </w:tcPr>
          <w:p w14:paraId="2BB02BE5" w14:textId="2FAA9C7D" w:rsidR="0009723F" w:rsidRPr="005A1F62" w:rsidRDefault="0009723F" w:rsidP="00DC2FED">
            <w:pPr>
              <w:jc w:val="both"/>
            </w:pPr>
            <w:r w:rsidRPr="005A1F62">
              <w:t>Иной фактор поддержки</w:t>
            </w:r>
          </w:p>
        </w:tc>
        <w:tc>
          <w:tcPr>
            <w:tcW w:w="3821" w:type="dxa"/>
          </w:tcPr>
          <w:p w14:paraId="2090B859" w14:textId="05B333C4" w:rsidR="0009723F" w:rsidRPr="005A1F62" w:rsidRDefault="0009723F" w:rsidP="00DC2FED">
            <w:pPr>
              <w:jc w:val="both"/>
            </w:pPr>
            <w:r w:rsidRPr="005A1F62">
              <w:t>От умеренного до сильного</w:t>
            </w:r>
          </w:p>
        </w:tc>
      </w:tr>
      <w:tr w:rsidR="0009723F" w:rsidRPr="005A1F62" w14:paraId="5315F5AE" w14:textId="77777777" w:rsidTr="00FE3B86">
        <w:tc>
          <w:tcPr>
            <w:tcW w:w="5524" w:type="dxa"/>
          </w:tcPr>
          <w:p w14:paraId="63814A35" w14:textId="3B278A6A" w:rsidR="0009723F" w:rsidRPr="005A1F62" w:rsidRDefault="0009723F" w:rsidP="00DC2FED">
            <w:pPr>
              <w:jc w:val="both"/>
              <w:rPr>
                <w:b/>
              </w:rPr>
            </w:pPr>
            <w:r w:rsidRPr="005A1F62">
              <w:rPr>
                <w:b/>
              </w:rPr>
              <w:t>Внешние стресс-факторы</w:t>
            </w:r>
          </w:p>
        </w:tc>
        <w:tc>
          <w:tcPr>
            <w:tcW w:w="3821" w:type="dxa"/>
          </w:tcPr>
          <w:p w14:paraId="7208B508" w14:textId="1E7E685B" w:rsidR="0009723F" w:rsidRPr="005A1F62" w:rsidRDefault="0009723F" w:rsidP="00DC2FED">
            <w:pPr>
              <w:jc w:val="both"/>
              <w:rPr>
                <w:b/>
              </w:rPr>
            </w:pPr>
            <w:r w:rsidRPr="005A1F62">
              <w:rPr>
                <w:b/>
              </w:rPr>
              <w:t>Диапазон</w:t>
            </w:r>
          </w:p>
        </w:tc>
      </w:tr>
      <w:tr w:rsidR="0009723F" w:rsidRPr="005A1F62" w14:paraId="3714134D" w14:textId="77777777" w:rsidTr="00FE3B86">
        <w:tc>
          <w:tcPr>
            <w:tcW w:w="5524" w:type="dxa"/>
          </w:tcPr>
          <w:p w14:paraId="7E8511E3" w14:textId="63F9363C" w:rsidR="0009723F" w:rsidRPr="005A1F62" w:rsidRDefault="0009723F" w:rsidP="00DC2FED">
            <w:pPr>
              <w:jc w:val="both"/>
            </w:pPr>
            <w:r w:rsidRPr="005A1F62">
              <w:lastRenderedPageBreak/>
              <w:t>Стресс</w:t>
            </w:r>
            <w:r w:rsidR="002B7067" w:rsidRPr="005A1F62">
              <w:t>-фактор за негативные действия собственников</w:t>
            </w:r>
          </w:p>
        </w:tc>
        <w:tc>
          <w:tcPr>
            <w:tcW w:w="3821" w:type="dxa"/>
          </w:tcPr>
          <w:p w14:paraId="520C25D4" w14:textId="1216B01F" w:rsidR="0009723F" w:rsidRPr="005A1F62" w:rsidRDefault="002B7067" w:rsidP="00DC2FED">
            <w:pPr>
              <w:jc w:val="both"/>
            </w:pPr>
            <w:r w:rsidRPr="005A1F62">
              <w:t>От умеренного до сильного</w:t>
            </w:r>
          </w:p>
        </w:tc>
      </w:tr>
      <w:tr w:rsidR="0009723F" w:rsidRPr="005A1F62" w14:paraId="6D85F609" w14:textId="77777777" w:rsidTr="00FE3B86">
        <w:tc>
          <w:tcPr>
            <w:tcW w:w="5524" w:type="dxa"/>
          </w:tcPr>
          <w:p w14:paraId="01918162" w14:textId="731F88BA" w:rsidR="0009723F" w:rsidRPr="005A1F62" w:rsidRDefault="00C96B17" w:rsidP="00DC2FED">
            <w:pPr>
              <w:jc w:val="both"/>
            </w:pPr>
            <w:r w:rsidRPr="005A1F62">
              <w:t>Стресс-фактор за риски регулирования и надзора</w:t>
            </w:r>
          </w:p>
        </w:tc>
        <w:tc>
          <w:tcPr>
            <w:tcW w:w="3821" w:type="dxa"/>
          </w:tcPr>
          <w:p w14:paraId="461D4FAA" w14:textId="1DC37AC3" w:rsidR="0009723F" w:rsidRPr="005A1F62" w:rsidRDefault="00C96B17" w:rsidP="00DC2FED">
            <w:pPr>
              <w:jc w:val="both"/>
            </w:pPr>
            <w:r w:rsidRPr="005A1F62">
              <w:t>От умеренного до сильного</w:t>
            </w:r>
          </w:p>
        </w:tc>
      </w:tr>
      <w:tr w:rsidR="0009723F" w:rsidRPr="005A1F62" w14:paraId="7A064893" w14:textId="77777777" w:rsidTr="00FE3B86">
        <w:tc>
          <w:tcPr>
            <w:tcW w:w="5524" w:type="dxa"/>
          </w:tcPr>
          <w:p w14:paraId="2EB6DC94" w14:textId="37CEB774" w:rsidR="0009723F" w:rsidRPr="005A1F62" w:rsidRDefault="00C96B17" w:rsidP="00DC2FED">
            <w:pPr>
              <w:jc w:val="both"/>
            </w:pPr>
            <w:r w:rsidRPr="005A1F62">
              <w:t>Стресс-фактор за риски, связанные с санацией других банков</w:t>
            </w:r>
          </w:p>
        </w:tc>
        <w:tc>
          <w:tcPr>
            <w:tcW w:w="3821" w:type="dxa"/>
          </w:tcPr>
          <w:p w14:paraId="3838E718" w14:textId="69F3D5A3" w:rsidR="0009723F" w:rsidRPr="005A1F62" w:rsidRDefault="00C96B17" w:rsidP="00DC2FED">
            <w:pPr>
              <w:jc w:val="both"/>
            </w:pPr>
            <w:r w:rsidRPr="005A1F62">
              <w:t>От умеренного до сильного</w:t>
            </w:r>
          </w:p>
        </w:tc>
      </w:tr>
      <w:tr w:rsidR="0009723F" w:rsidRPr="005A1F62" w14:paraId="5377B1C7" w14:textId="77777777" w:rsidTr="00FE3B86">
        <w:tc>
          <w:tcPr>
            <w:tcW w:w="5524" w:type="dxa"/>
          </w:tcPr>
          <w:p w14:paraId="33F9D33B" w14:textId="71124B0A" w:rsidR="0009723F" w:rsidRPr="005A1F62" w:rsidRDefault="00C96B17" w:rsidP="00DC2FED">
            <w:pPr>
              <w:jc w:val="both"/>
            </w:pPr>
            <w:r w:rsidRPr="005A1F62">
              <w:t>Иной стресс-фактор</w:t>
            </w:r>
          </w:p>
        </w:tc>
        <w:tc>
          <w:tcPr>
            <w:tcW w:w="3821" w:type="dxa"/>
          </w:tcPr>
          <w:p w14:paraId="12293F8D" w14:textId="00F4A599" w:rsidR="0009723F" w:rsidRPr="005A1F62" w:rsidRDefault="00C96B17" w:rsidP="00DC2FED">
            <w:pPr>
              <w:jc w:val="both"/>
            </w:pPr>
            <w:r w:rsidRPr="005A1F62">
              <w:t>От умеренного до сильного</w:t>
            </w:r>
          </w:p>
        </w:tc>
      </w:tr>
      <w:bookmarkEnd w:id="22"/>
      <w:bookmarkEnd w:id="23"/>
    </w:tbl>
    <w:p w14:paraId="5E1DBF5F" w14:textId="04DA8143" w:rsidR="000E01FE" w:rsidRPr="005A1F62" w:rsidRDefault="000E01FE" w:rsidP="00DC2FED"/>
    <w:p w14:paraId="781C52A6" w14:textId="4DFFC8C5" w:rsidR="00D57002" w:rsidRPr="005A1F62" w:rsidRDefault="00D57002" w:rsidP="00DC2FED">
      <w:pPr>
        <w:numPr>
          <w:ilvl w:val="0"/>
          <w:numId w:val="1"/>
        </w:numPr>
        <w:tabs>
          <w:tab w:val="clear" w:pos="720"/>
          <w:tab w:val="left" w:pos="709"/>
        </w:tabs>
        <w:ind w:left="0" w:firstLine="567"/>
        <w:jc w:val="both"/>
      </w:pPr>
      <w:r w:rsidRPr="005A1F62">
        <w:t>Показатели, используемые для оценки качественных и количественных факторов, рассчитываются на основе отчетности по РСБУ, МСФО и иных источников информации. Если в методологии не указано иное, то и</w:t>
      </w:r>
      <w:r w:rsidR="00C96B17" w:rsidRPr="005A1F62">
        <w:t>спользуется отчетность по РСБУ.</w:t>
      </w:r>
    </w:p>
    <w:p w14:paraId="7B31173F" w14:textId="2C3F23BF" w:rsidR="009B681E" w:rsidRPr="005A1F62" w:rsidRDefault="00FE3B86" w:rsidP="00DC2FED">
      <w:pPr>
        <w:numPr>
          <w:ilvl w:val="0"/>
          <w:numId w:val="1"/>
        </w:numPr>
        <w:tabs>
          <w:tab w:val="clear" w:pos="720"/>
          <w:tab w:val="left" w:pos="709"/>
        </w:tabs>
        <w:ind w:left="0" w:firstLine="567"/>
        <w:jc w:val="both"/>
      </w:pPr>
      <w:r w:rsidRPr="005A1F62">
        <w:t>На основании полученного рейтингового числа определяется уровень рейтинга кредитоспособности банка (критерии приведены в таблице).</w:t>
      </w:r>
    </w:p>
    <w:p w14:paraId="2555CDE4" w14:textId="2DD2D851" w:rsidR="00F2754E" w:rsidRPr="005A1F62" w:rsidRDefault="00F2754E" w:rsidP="00DC2FED">
      <w:pPr>
        <w:pStyle w:val="afb"/>
      </w:pPr>
    </w:p>
    <w:p w14:paraId="0CA4932F" w14:textId="20BF8A78" w:rsidR="002F4E99" w:rsidRPr="005A1F62" w:rsidRDefault="002F4E99" w:rsidP="00FE3B86">
      <w:pPr>
        <w:pStyle w:val="RAEXdefault"/>
        <w:rPr>
          <w:rFonts w:cs="Times New Roman"/>
          <w:vanish/>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432"/>
        <w:gridCol w:w="5097"/>
      </w:tblGrid>
      <w:tr w:rsidR="00A9437E" w:rsidRPr="005A1F62" w14:paraId="3551ED2E" w14:textId="77777777" w:rsidTr="006E01D2">
        <w:tc>
          <w:tcPr>
            <w:tcW w:w="972" w:type="pct"/>
            <w:shd w:val="clear" w:color="auto" w:fill="auto"/>
            <w:vAlign w:val="center"/>
          </w:tcPr>
          <w:p w14:paraId="20AF1ECF" w14:textId="4BFAC8DF" w:rsidR="00A9437E" w:rsidRPr="005A1F62" w:rsidRDefault="00D60C08" w:rsidP="00DC2FED">
            <w:pPr>
              <w:pStyle w:val="RAEXdefault"/>
              <w:jc w:val="left"/>
              <w:rPr>
                <w:rFonts w:cs="Times New Roman"/>
                <w:color w:val="000000"/>
                <w:szCs w:val="24"/>
                <w:lang w:val="ru-RU"/>
              </w:rPr>
            </w:pPr>
            <w:r w:rsidRPr="005A1F62">
              <w:rPr>
                <w:rFonts w:cs="Times New Roman"/>
                <w:color w:val="000000"/>
                <w:szCs w:val="24"/>
                <w:lang w:val="ru-RU"/>
              </w:rPr>
              <w:t>Категория</w:t>
            </w:r>
          </w:p>
        </w:tc>
        <w:tc>
          <w:tcPr>
            <w:tcW w:w="1301" w:type="pct"/>
            <w:shd w:val="clear" w:color="auto" w:fill="auto"/>
            <w:vAlign w:val="center"/>
          </w:tcPr>
          <w:p w14:paraId="793DAF88" w14:textId="0ED58F16" w:rsidR="00A9437E" w:rsidRPr="005A1F62" w:rsidRDefault="00D60C08" w:rsidP="00DC2FED">
            <w:pPr>
              <w:rPr>
                <w:color w:val="000000"/>
              </w:rPr>
            </w:pPr>
            <w:r w:rsidRPr="005A1F62">
              <w:rPr>
                <w:color w:val="000000"/>
              </w:rPr>
              <w:t>Уровень</w:t>
            </w:r>
          </w:p>
        </w:tc>
        <w:tc>
          <w:tcPr>
            <w:tcW w:w="2727" w:type="pct"/>
            <w:shd w:val="clear" w:color="auto" w:fill="auto"/>
            <w:vAlign w:val="center"/>
          </w:tcPr>
          <w:p w14:paraId="4E83E76C" w14:textId="77777777" w:rsidR="00A9437E" w:rsidRPr="005A1F62" w:rsidRDefault="00A9437E" w:rsidP="00DC2FED">
            <w:pPr>
              <w:pStyle w:val="RAEXdefault"/>
              <w:jc w:val="left"/>
              <w:rPr>
                <w:rFonts w:cs="Times New Roman"/>
                <w:szCs w:val="24"/>
                <w:lang w:val="ru-RU"/>
              </w:rPr>
            </w:pPr>
            <w:r w:rsidRPr="005A1F62">
              <w:rPr>
                <w:rFonts w:cs="Times New Roman"/>
                <w:szCs w:val="24"/>
                <w:lang w:val="ru-RU"/>
              </w:rPr>
              <w:t xml:space="preserve">Диапазоны рейтинговых чисел </w:t>
            </w:r>
          </w:p>
        </w:tc>
      </w:tr>
      <w:tr w:rsidR="00A9437E" w:rsidRPr="005A1F62" w14:paraId="1382D144" w14:textId="77777777" w:rsidTr="006E01D2">
        <w:tc>
          <w:tcPr>
            <w:tcW w:w="972" w:type="pct"/>
            <w:shd w:val="clear" w:color="auto" w:fill="auto"/>
            <w:vAlign w:val="center"/>
          </w:tcPr>
          <w:p w14:paraId="2304DA79" w14:textId="77777777" w:rsidR="00A9437E" w:rsidRPr="005A1F62" w:rsidRDefault="00A9437E" w:rsidP="00DC2FED">
            <w:pPr>
              <w:pStyle w:val="RAEXdefault"/>
              <w:jc w:val="left"/>
              <w:rPr>
                <w:rFonts w:cs="Times New Roman"/>
                <w:szCs w:val="24"/>
              </w:rPr>
            </w:pPr>
            <w:r w:rsidRPr="005A1F62">
              <w:rPr>
                <w:rFonts w:cs="Times New Roman"/>
                <w:color w:val="000000"/>
                <w:szCs w:val="24"/>
              </w:rPr>
              <w:t>AAA</w:t>
            </w:r>
          </w:p>
        </w:tc>
        <w:tc>
          <w:tcPr>
            <w:tcW w:w="1301" w:type="pct"/>
            <w:shd w:val="clear" w:color="auto" w:fill="auto"/>
            <w:vAlign w:val="center"/>
          </w:tcPr>
          <w:p w14:paraId="0C3E28DB" w14:textId="77777777" w:rsidR="00A9437E" w:rsidRPr="005A1F62" w:rsidRDefault="00A9437E" w:rsidP="00DC2FED">
            <w:pPr>
              <w:rPr>
                <w:color w:val="000000"/>
              </w:rPr>
            </w:pPr>
            <w:r w:rsidRPr="005A1F62">
              <w:rPr>
                <w:color w:val="000000"/>
                <w:lang w:val="en-US"/>
              </w:rPr>
              <w:t>ru</w:t>
            </w:r>
            <w:r w:rsidRPr="005A1F62">
              <w:rPr>
                <w:color w:val="000000"/>
              </w:rPr>
              <w:t>AAA</w:t>
            </w:r>
          </w:p>
        </w:tc>
        <w:tc>
          <w:tcPr>
            <w:tcW w:w="2727" w:type="pct"/>
            <w:shd w:val="clear" w:color="auto" w:fill="auto"/>
            <w:vAlign w:val="center"/>
          </w:tcPr>
          <w:p w14:paraId="47B20551" w14:textId="0375A898" w:rsidR="00A9437E" w:rsidRPr="005A1F62" w:rsidRDefault="00833AF5" w:rsidP="00DC2FED">
            <w:pPr>
              <w:rPr>
                <w:color w:val="000000"/>
                <w:lang w:val="en-US"/>
              </w:rPr>
            </w:pPr>
            <w:r w:rsidRPr="005A1F62">
              <w:rPr>
                <w:color w:val="000000"/>
              </w:rPr>
              <w:t>≥</w:t>
            </w:r>
            <w:r w:rsidR="00A9437E" w:rsidRPr="005A1F62">
              <w:rPr>
                <w:color w:val="000000"/>
              </w:rPr>
              <w:t>0,85</w:t>
            </w:r>
          </w:p>
        </w:tc>
      </w:tr>
      <w:tr w:rsidR="00A9437E" w:rsidRPr="005A1F62" w14:paraId="02BDB6FA" w14:textId="77777777" w:rsidTr="006E01D2">
        <w:tc>
          <w:tcPr>
            <w:tcW w:w="972" w:type="pct"/>
            <w:vMerge w:val="restart"/>
            <w:shd w:val="clear" w:color="auto" w:fill="auto"/>
            <w:vAlign w:val="center"/>
          </w:tcPr>
          <w:p w14:paraId="1CA2D334" w14:textId="77777777" w:rsidR="00A9437E" w:rsidRPr="005A1F62" w:rsidRDefault="00A9437E" w:rsidP="00DC2FED">
            <w:pPr>
              <w:pStyle w:val="RAEXdefault"/>
              <w:jc w:val="left"/>
              <w:rPr>
                <w:rFonts w:cs="Times New Roman"/>
                <w:szCs w:val="24"/>
              </w:rPr>
            </w:pPr>
            <w:r w:rsidRPr="005A1F62">
              <w:rPr>
                <w:rFonts w:cs="Times New Roman"/>
                <w:color w:val="000000"/>
                <w:szCs w:val="24"/>
              </w:rPr>
              <w:t>AA</w:t>
            </w:r>
          </w:p>
        </w:tc>
        <w:tc>
          <w:tcPr>
            <w:tcW w:w="1301" w:type="pct"/>
            <w:shd w:val="clear" w:color="auto" w:fill="auto"/>
            <w:vAlign w:val="center"/>
          </w:tcPr>
          <w:p w14:paraId="2D8D3FE4" w14:textId="77777777" w:rsidR="00A9437E" w:rsidRPr="005A1F62" w:rsidRDefault="00A9437E" w:rsidP="00DC2FED">
            <w:pPr>
              <w:rPr>
                <w:color w:val="000000"/>
              </w:rPr>
            </w:pPr>
            <w:r w:rsidRPr="005A1F62">
              <w:rPr>
                <w:color w:val="000000"/>
                <w:lang w:val="en-US"/>
              </w:rPr>
              <w:t>ru</w:t>
            </w:r>
            <w:r w:rsidRPr="005A1F62">
              <w:rPr>
                <w:color w:val="000000"/>
              </w:rPr>
              <w:t>AA+</w:t>
            </w:r>
          </w:p>
        </w:tc>
        <w:tc>
          <w:tcPr>
            <w:tcW w:w="2727" w:type="pct"/>
            <w:shd w:val="clear" w:color="auto" w:fill="auto"/>
            <w:vAlign w:val="center"/>
          </w:tcPr>
          <w:p w14:paraId="1ED8EB0B" w14:textId="7D933502" w:rsidR="00A9437E" w:rsidRPr="005A1F62" w:rsidRDefault="00A9437E" w:rsidP="00DC2FED">
            <w:pPr>
              <w:rPr>
                <w:color w:val="000000"/>
              </w:rPr>
            </w:pPr>
            <w:r w:rsidRPr="005A1F62">
              <w:rPr>
                <w:color w:val="000000"/>
                <w:lang w:val="en-US"/>
              </w:rPr>
              <w:t>[</w:t>
            </w:r>
            <w:r w:rsidRPr="005A1F62">
              <w:rPr>
                <w:color w:val="000000"/>
              </w:rPr>
              <w:t>0,78;</w:t>
            </w:r>
            <w:r w:rsidR="00D60C08" w:rsidRPr="005A1F62">
              <w:rPr>
                <w:color w:val="000000"/>
              </w:rPr>
              <w:t xml:space="preserve"> </w:t>
            </w:r>
            <w:r w:rsidRPr="005A1F62">
              <w:rPr>
                <w:color w:val="000000"/>
              </w:rPr>
              <w:t>0,85)</w:t>
            </w:r>
          </w:p>
        </w:tc>
      </w:tr>
      <w:tr w:rsidR="00A9437E" w:rsidRPr="005A1F62" w14:paraId="54F23D79" w14:textId="77777777" w:rsidTr="006E01D2">
        <w:tc>
          <w:tcPr>
            <w:tcW w:w="972" w:type="pct"/>
            <w:vMerge/>
            <w:shd w:val="clear" w:color="auto" w:fill="auto"/>
            <w:vAlign w:val="center"/>
          </w:tcPr>
          <w:p w14:paraId="43214E37" w14:textId="77777777" w:rsidR="00A9437E" w:rsidRPr="005A1F62" w:rsidRDefault="00A9437E" w:rsidP="00DC2FED">
            <w:pPr>
              <w:pStyle w:val="RAEXdefault"/>
              <w:jc w:val="left"/>
              <w:rPr>
                <w:rFonts w:cs="Times New Roman"/>
                <w:szCs w:val="24"/>
                <w:lang w:val="ru-RU"/>
              </w:rPr>
            </w:pPr>
          </w:p>
        </w:tc>
        <w:tc>
          <w:tcPr>
            <w:tcW w:w="1301" w:type="pct"/>
            <w:shd w:val="clear" w:color="auto" w:fill="auto"/>
            <w:vAlign w:val="center"/>
          </w:tcPr>
          <w:p w14:paraId="6FC27310" w14:textId="77777777" w:rsidR="00A9437E" w:rsidRPr="005A1F62" w:rsidRDefault="00A9437E" w:rsidP="00DC2FED">
            <w:pPr>
              <w:rPr>
                <w:color w:val="000000"/>
              </w:rPr>
            </w:pPr>
            <w:r w:rsidRPr="005A1F62">
              <w:rPr>
                <w:color w:val="000000"/>
                <w:lang w:val="en-US"/>
              </w:rPr>
              <w:t>ru</w:t>
            </w:r>
            <w:r w:rsidRPr="005A1F62">
              <w:rPr>
                <w:color w:val="000000"/>
              </w:rPr>
              <w:t>AA</w:t>
            </w:r>
          </w:p>
        </w:tc>
        <w:tc>
          <w:tcPr>
            <w:tcW w:w="2727" w:type="pct"/>
            <w:shd w:val="clear" w:color="auto" w:fill="auto"/>
            <w:vAlign w:val="center"/>
          </w:tcPr>
          <w:p w14:paraId="11C530EA" w14:textId="3B709F00" w:rsidR="00A9437E" w:rsidRPr="005A1F62" w:rsidRDefault="00A9437E" w:rsidP="00DC2FED">
            <w:pPr>
              <w:rPr>
                <w:color w:val="000000"/>
              </w:rPr>
            </w:pPr>
            <w:r w:rsidRPr="005A1F62">
              <w:rPr>
                <w:color w:val="000000"/>
                <w:lang w:val="en-US"/>
              </w:rPr>
              <w:t>[</w:t>
            </w:r>
            <w:r w:rsidRPr="005A1F62">
              <w:rPr>
                <w:color w:val="000000"/>
              </w:rPr>
              <w:t>0,71;</w:t>
            </w:r>
            <w:r w:rsidR="00D60C08" w:rsidRPr="005A1F62">
              <w:rPr>
                <w:color w:val="000000"/>
              </w:rPr>
              <w:t xml:space="preserve"> </w:t>
            </w:r>
            <w:r w:rsidRPr="005A1F62">
              <w:rPr>
                <w:color w:val="000000"/>
              </w:rPr>
              <w:t>0,78)</w:t>
            </w:r>
          </w:p>
        </w:tc>
      </w:tr>
      <w:tr w:rsidR="00A9437E" w:rsidRPr="005A1F62" w14:paraId="7616E014" w14:textId="77777777" w:rsidTr="006E01D2">
        <w:tc>
          <w:tcPr>
            <w:tcW w:w="972" w:type="pct"/>
            <w:vMerge/>
            <w:shd w:val="clear" w:color="auto" w:fill="auto"/>
            <w:vAlign w:val="center"/>
          </w:tcPr>
          <w:p w14:paraId="6C2D3B32" w14:textId="77777777" w:rsidR="00A9437E" w:rsidRPr="005A1F62" w:rsidRDefault="00A9437E" w:rsidP="00DC2FED">
            <w:pPr>
              <w:pStyle w:val="RAEXdefault"/>
              <w:jc w:val="left"/>
              <w:rPr>
                <w:rFonts w:cs="Times New Roman"/>
                <w:szCs w:val="24"/>
              </w:rPr>
            </w:pPr>
          </w:p>
        </w:tc>
        <w:tc>
          <w:tcPr>
            <w:tcW w:w="1301" w:type="pct"/>
            <w:shd w:val="clear" w:color="auto" w:fill="auto"/>
            <w:vAlign w:val="center"/>
          </w:tcPr>
          <w:p w14:paraId="1E44F11D" w14:textId="77777777" w:rsidR="00A9437E" w:rsidRPr="005A1F62" w:rsidRDefault="00A9437E" w:rsidP="00DC2FED">
            <w:pPr>
              <w:rPr>
                <w:color w:val="000000"/>
              </w:rPr>
            </w:pPr>
            <w:r w:rsidRPr="005A1F62">
              <w:rPr>
                <w:color w:val="000000"/>
                <w:lang w:val="en-US"/>
              </w:rPr>
              <w:t>ru</w:t>
            </w:r>
            <w:r w:rsidRPr="005A1F62">
              <w:rPr>
                <w:color w:val="000000"/>
              </w:rPr>
              <w:t>AA-</w:t>
            </w:r>
          </w:p>
        </w:tc>
        <w:tc>
          <w:tcPr>
            <w:tcW w:w="2727" w:type="pct"/>
            <w:shd w:val="clear" w:color="auto" w:fill="auto"/>
            <w:vAlign w:val="center"/>
          </w:tcPr>
          <w:p w14:paraId="55E2BA6E" w14:textId="7F4E83F2" w:rsidR="00A9437E" w:rsidRPr="005A1F62" w:rsidRDefault="00A9437E" w:rsidP="00DC2FED">
            <w:pPr>
              <w:rPr>
                <w:color w:val="000000"/>
              </w:rPr>
            </w:pPr>
            <w:r w:rsidRPr="005A1F62">
              <w:rPr>
                <w:color w:val="000000"/>
                <w:lang w:val="en-US"/>
              </w:rPr>
              <w:t>[</w:t>
            </w:r>
            <w:r w:rsidRPr="005A1F62">
              <w:rPr>
                <w:color w:val="000000"/>
              </w:rPr>
              <w:t>0,64;</w:t>
            </w:r>
            <w:r w:rsidR="00D60C08" w:rsidRPr="005A1F62">
              <w:rPr>
                <w:color w:val="000000"/>
              </w:rPr>
              <w:t xml:space="preserve"> </w:t>
            </w:r>
            <w:r w:rsidRPr="005A1F62">
              <w:rPr>
                <w:color w:val="000000"/>
              </w:rPr>
              <w:t>0,71)</w:t>
            </w:r>
          </w:p>
        </w:tc>
      </w:tr>
      <w:tr w:rsidR="00A9437E" w:rsidRPr="005A1F62" w14:paraId="1BFACAF3" w14:textId="77777777" w:rsidTr="006E01D2">
        <w:tc>
          <w:tcPr>
            <w:tcW w:w="972" w:type="pct"/>
            <w:vMerge w:val="restart"/>
            <w:shd w:val="clear" w:color="auto" w:fill="auto"/>
            <w:vAlign w:val="center"/>
          </w:tcPr>
          <w:p w14:paraId="669F6277" w14:textId="77777777" w:rsidR="00A9437E" w:rsidRPr="005A1F62" w:rsidRDefault="00A9437E" w:rsidP="00DC2FED">
            <w:pPr>
              <w:pStyle w:val="RAEXdefault"/>
              <w:jc w:val="left"/>
              <w:rPr>
                <w:rFonts w:cs="Times New Roman"/>
                <w:szCs w:val="24"/>
              </w:rPr>
            </w:pPr>
            <w:r w:rsidRPr="005A1F62">
              <w:rPr>
                <w:rFonts w:cs="Times New Roman"/>
                <w:color w:val="000000"/>
                <w:szCs w:val="24"/>
              </w:rPr>
              <w:t>A</w:t>
            </w:r>
          </w:p>
        </w:tc>
        <w:tc>
          <w:tcPr>
            <w:tcW w:w="1301" w:type="pct"/>
            <w:shd w:val="clear" w:color="auto" w:fill="auto"/>
            <w:vAlign w:val="center"/>
          </w:tcPr>
          <w:p w14:paraId="0B914B2C" w14:textId="77777777" w:rsidR="00A9437E" w:rsidRPr="005A1F62" w:rsidRDefault="00A9437E" w:rsidP="00DC2FED">
            <w:pPr>
              <w:rPr>
                <w:color w:val="000000"/>
              </w:rPr>
            </w:pPr>
            <w:r w:rsidRPr="005A1F62">
              <w:rPr>
                <w:color w:val="000000"/>
                <w:lang w:val="en-US"/>
              </w:rPr>
              <w:t>ru</w:t>
            </w:r>
            <w:r w:rsidRPr="005A1F62">
              <w:rPr>
                <w:color w:val="000000"/>
              </w:rPr>
              <w:t>A+</w:t>
            </w:r>
          </w:p>
        </w:tc>
        <w:tc>
          <w:tcPr>
            <w:tcW w:w="2727" w:type="pct"/>
            <w:shd w:val="clear" w:color="auto" w:fill="auto"/>
            <w:vAlign w:val="center"/>
          </w:tcPr>
          <w:p w14:paraId="5FFD8597" w14:textId="0EEE0012" w:rsidR="00A9437E" w:rsidRPr="005A1F62" w:rsidRDefault="00A9437E" w:rsidP="00DC2FED">
            <w:pPr>
              <w:rPr>
                <w:color w:val="000000"/>
              </w:rPr>
            </w:pPr>
            <w:r w:rsidRPr="005A1F62">
              <w:rPr>
                <w:color w:val="000000"/>
                <w:lang w:val="en-US"/>
              </w:rPr>
              <w:t>[</w:t>
            </w:r>
            <w:r w:rsidRPr="005A1F62">
              <w:rPr>
                <w:color w:val="000000"/>
              </w:rPr>
              <w:t>0,57;</w:t>
            </w:r>
            <w:r w:rsidR="00D60C08" w:rsidRPr="005A1F62">
              <w:rPr>
                <w:color w:val="000000"/>
              </w:rPr>
              <w:t xml:space="preserve"> </w:t>
            </w:r>
            <w:r w:rsidRPr="005A1F62">
              <w:rPr>
                <w:color w:val="000000"/>
              </w:rPr>
              <w:t>0,64)</w:t>
            </w:r>
          </w:p>
        </w:tc>
      </w:tr>
      <w:tr w:rsidR="00A9437E" w:rsidRPr="005A1F62" w14:paraId="1D03AF34" w14:textId="77777777" w:rsidTr="006E01D2">
        <w:tc>
          <w:tcPr>
            <w:tcW w:w="972" w:type="pct"/>
            <w:vMerge/>
            <w:shd w:val="clear" w:color="auto" w:fill="auto"/>
            <w:vAlign w:val="center"/>
          </w:tcPr>
          <w:p w14:paraId="7F487EA0" w14:textId="77777777" w:rsidR="00A9437E" w:rsidRPr="005A1F62" w:rsidRDefault="00A9437E" w:rsidP="00DC2FED">
            <w:pPr>
              <w:pStyle w:val="RAEXdefault"/>
              <w:jc w:val="left"/>
              <w:rPr>
                <w:rFonts w:cs="Times New Roman"/>
                <w:szCs w:val="24"/>
                <w:lang w:val="ru-RU"/>
              </w:rPr>
            </w:pPr>
          </w:p>
        </w:tc>
        <w:tc>
          <w:tcPr>
            <w:tcW w:w="1301" w:type="pct"/>
            <w:shd w:val="clear" w:color="auto" w:fill="auto"/>
            <w:vAlign w:val="center"/>
          </w:tcPr>
          <w:p w14:paraId="1B2EC2BA" w14:textId="77777777" w:rsidR="00A9437E" w:rsidRPr="005A1F62" w:rsidRDefault="00A9437E" w:rsidP="00DC2FED">
            <w:pPr>
              <w:rPr>
                <w:color w:val="000000"/>
              </w:rPr>
            </w:pPr>
            <w:r w:rsidRPr="005A1F62">
              <w:rPr>
                <w:color w:val="000000"/>
                <w:lang w:val="en-US"/>
              </w:rPr>
              <w:t>ru</w:t>
            </w:r>
            <w:r w:rsidRPr="005A1F62">
              <w:rPr>
                <w:color w:val="000000"/>
              </w:rPr>
              <w:t>A</w:t>
            </w:r>
          </w:p>
        </w:tc>
        <w:tc>
          <w:tcPr>
            <w:tcW w:w="2727" w:type="pct"/>
            <w:shd w:val="clear" w:color="auto" w:fill="auto"/>
            <w:vAlign w:val="center"/>
          </w:tcPr>
          <w:p w14:paraId="6BF1241F" w14:textId="3606966E" w:rsidR="00A9437E" w:rsidRPr="005A1F62" w:rsidRDefault="00A9437E" w:rsidP="00DC2FED">
            <w:pPr>
              <w:rPr>
                <w:color w:val="000000"/>
              </w:rPr>
            </w:pPr>
            <w:r w:rsidRPr="005A1F62">
              <w:rPr>
                <w:color w:val="000000"/>
                <w:lang w:val="en-US"/>
              </w:rPr>
              <w:t>[</w:t>
            </w:r>
            <w:r w:rsidRPr="005A1F62">
              <w:rPr>
                <w:color w:val="000000"/>
              </w:rPr>
              <w:t>0,5;</w:t>
            </w:r>
            <w:r w:rsidR="00D60C08" w:rsidRPr="005A1F62">
              <w:rPr>
                <w:color w:val="000000"/>
              </w:rPr>
              <w:t xml:space="preserve"> </w:t>
            </w:r>
            <w:r w:rsidRPr="005A1F62">
              <w:rPr>
                <w:color w:val="000000"/>
              </w:rPr>
              <w:t>0,57)</w:t>
            </w:r>
          </w:p>
        </w:tc>
      </w:tr>
      <w:tr w:rsidR="00A9437E" w:rsidRPr="005A1F62" w14:paraId="5CE2F8B4" w14:textId="77777777" w:rsidTr="006E01D2">
        <w:tc>
          <w:tcPr>
            <w:tcW w:w="972" w:type="pct"/>
            <w:vMerge/>
            <w:shd w:val="clear" w:color="auto" w:fill="auto"/>
            <w:vAlign w:val="center"/>
          </w:tcPr>
          <w:p w14:paraId="31650DC5" w14:textId="77777777" w:rsidR="00A9437E" w:rsidRPr="005A1F62" w:rsidRDefault="00A9437E" w:rsidP="00DC2FED">
            <w:pPr>
              <w:pStyle w:val="RAEXdefault"/>
              <w:jc w:val="left"/>
              <w:rPr>
                <w:rFonts w:cs="Times New Roman"/>
                <w:szCs w:val="24"/>
                <w:lang w:val="ru-RU"/>
              </w:rPr>
            </w:pPr>
          </w:p>
        </w:tc>
        <w:tc>
          <w:tcPr>
            <w:tcW w:w="1301" w:type="pct"/>
            <w:shd w:val="clear" w:color="auto" w:fill="auto"/>
            <w:vAlign w:val="center"/>
          </w:tcPr>
          <w:p w14:paraId="0CCE1B08" w14:textId="77777777" w:rsidR="00A9437E" w:rsidRPr="005A1F62" w:rsidRDefault="00A9437E" w:rsidP="00DC2FED">
            <w:pPr>
              <w:rPr>
                <w:color w:val="000000"/>
              </w:rPr>
            </w:pPr>
            <w:r w:rsidRPr="005A1F62">
              <w:rPr>
                <w:color w:val="000000"/>
                <w:lang w:val="en-US"/>
              </w:rPr>
              <w:t>ru</w:t>
            </w:r>
            <w:r w:rsidRPr="005A1F62">
              <w:rPr>
                <w:color w:val="000000"/>
              </w:rPr>
              <w:t>A-</w:t>
            </w:r>
          </w:p>
        </w:tc>
        <w:tc>
          <w:tcPr>
            <w:tcW w:w="2727" w:type="pct"/>
            <w:shd w:val="clear" w:color="auto" w:fill="auto"/>
            <w:vAlign w:val="center"/>
          </w:tcPr>
          <w:p w14:paraId="59EFBAED" w14:textId="16F5F2AD" w:rsidR="00A9437E" w:rsidRPr="005A1F62" w:rsidRDefault="00A9437E" w:rsidP="00DC2FED">
            <w:pPr>
              <w:rPr>
                <w:color w:val="000000"/>
              </w:rPr>
            </w:pPr>
            <w:r w:rsidRPr="005A1F62">
              <w:rPr>
                <w:color w:val="000000"/>
                <w:lang w:val="en-US"/>
              </w:rPr>
              <w:t>[</w:t>
            </w:r>
            <w:r w:rsidRPr="005A1F62">
              <w:rPr>
                <w:color w:val="000000"/>
              </w:rPr>
              <w:t>0,43;</w:t>
            </w:r>
            <w:r w:rsidR="00D60C08" w:rsidRPr="005A1F62">
              <w:rPr>
                <w:color w:val="000000"/>
              </w:rPr>
              <w:t xml:space="preserve"> </w:t>
            </w:r>
            <w:r w:rsidRPr="005A1F62">
              <w:rPr>
                <w:color w:val="000000"/>
              </w:rPr>
              <w:t>0,5)</w:t>
            </w:r>
          </w:p>
        </w:tc>
      </w:tr>
      <w:tr w:rsidR="00A9437E" w:rsidRPr="005A1F62" w14:paraId="41A62FCF" w14:textId="77777777" w:rsidTr="006E01D2">
        <w:tc>
          <w:tcPr>
            <w:tcW w:w="972" w:type="pct"/>
            <w:vMerge w:val="restart"/>
            <w:shd w:val="clear" w:color="auto" w:fill="auto"/>
            <w:vAlign w:val="center"/>
          </w:tcPr>
          <w:p w14:paraId="0A6BECBB" w14:textId="77777777" w:rsidR="00A9437E" w:rsidRPr="005A1F62" w:rsidRDefault="00A9437E" w:rsidP="00DC2FED">
            <w:pPr>
              <w:pStyle w:val="RAEXdefault"/>
              <w:jc w:val="left"/>
              <w:rPr>
                <w:rFonts w:cs="Times New Roman"/>
                <w:szCs w:val="24"/>
                <w:lang w:val="ru-RU"/>
              </w:rPr>
            </w:pPr>
            <w:r w:rsidRPr="005A1F62">
              <w:rPr>
                <w:rFonts w:cs="Times New Roman"/>
                <w:color w:val="000000"/>
                <w:szCs w:val="24"/>
              </w:rPr>
              <w:t>BBB</w:t>
            </w:r>
          </w:p>
        </w:tc>
        <w:tc>
          <w:tcPr>
            <w:tcW w:w="1301" w:type="pct"/>
            <w:shd w:val="clear" w:color="auto" w:fill="auto"/>
            <w:vAlign w:val="center"/>
          </w:tcPr>
          <w:p w14:paraId="69658584" w14:textId="77777777" w:rsidR="00A9437E" w:rsidRPr="005A1F62" w:rsidRDefault="00A9437E" w:rsidP="00DC2FED">
            <w:pPr>
              <w:rPr>
                <w:color w:val="000000"/>
              </w:rPr>
            </w:pPr>
            <w:r w:rsidRPr="005A1F62">
              <w:rPr>
                <w:color w:val="000000"/>
                <w:lang w:val="en-US"/>
              </w:rPr>
              <w:t>ru</w:t>
            </w:r>
            <w:r w:rsidRPr="005A1F62">
              <w:rPr>
                <w:color w:val="000000"/>
              </w:rPr>
              <w:t>BBB+</w:t>
            </w:r>
          </w:p>
        </w:tc>
        <w:tc>
          <w:tcPr>
            <w:tcW w:w="2727" w:type="pct"/>
            <w:shd w:val="clear" w:color="auto" w:fill="auto"/>
            <w:vAlign w:val="center"/>
          </w:tcPr>
          <w:p w14:paraId="76C01302" w14:textId="4D87EB50" w:rsidR="00A9437E" w:rsidRPr="005A1F62" w:rsidRDefault="00A9437E" w:rsidP="00DC2FED">
            <w:pPr>
              <w:rPr>
                <w:color w:val="000000"/>
              </w:rPr>
            </w:pPr>
            <w:r w:rsidRPr="005A1F62">
              <w:rPr>
                <w:color w:val="000000"/>
                <w:lang w:val="en-US"/>
              </w:rPr>
              <w:t>[</w:t>
            </w:r>
            <w:r w:rsidRPr="005A1F62">
              <w:rPr>
                <w:color w:val="000000"/>
              </w:rPr>
              <w:t>0,36;</w:t>
            </w:r>
            <w:r w:rsidR="00D60C08" w:rsidRPr="005A1F62">
              <w:rPr>
                <w:color w:val="000000"/>
              </w:rPr>
              <w:t xml:space="preserve"> </w:t>
            </w:r>
            <w:r w:rsidRPr="005A1F62">
              <w:rPr>
                <w:color w:val="000000"/>
              </w:rPr>
              <w:t>0,43)</w:t>
            </w:r>
          </w:p>
        </w:tc>
      </w:tr>
      <w:tr w:rsidR="00A9437E" w:rsidRPr="005A1F62" w14:paraId="701B30B5" w14:textId="77777777" w:rsidTr="006E01D2">
        <w:tc>
          <w:tcPr>
            <w:tcW w:w="972" w:type="pct"/>
            <w:vMerge/>
            <w:shd w:val="clear" w:color="auto" w:fill="auto"/>
            <w:vAlign w:val="center"/>
          </w:tcPr>
          <w:p w14:paraId="1F84EA3F" w14:textId="77777777" w:rsidR="00A9437E" w:rsidRPr="005A1F62" w:rsidRDefault="00A9437E" w:rsidP="00DC2FED">
            <w:pPr>
              <w:pStyle w:val="RAEXdefault"/>
              <w:jc w:val="left"/>
              <w:rPr>
                <w:rFonts w:cs="Times New Roman"/>
                <w:szCs w:val="24"/>
                <w:lang w:val="ru-RU"/>
              </w:rPr>
            </w:pPr>
          </w:p>
        </w:tc>
        <w:tc>
          <w:tcPr>
            <w:tcW w:w="1301" w:type="pct"/>
            <w:shd w:val="clear" w:color="auto" w:fill="auto"/>
            <w:vAlign w:val="center"/>
          </w:tcPr>
          <w:p w14:paraId="491B48C1" w14:textId="77777777" w:rsidR="00A9437E" w:rsidRPr="005A1F62" w:rsidRDefault="00A9437E" w:rsidP="00DC2FED">
            <w:pPr>
              <w:rPr>
                <w:color w:val="000000"/>
              </w:rPr>
            </w:pPr>
            <w:r w:rsidRPr="005A1F62">
              <w:rPr>
                <w:color w:val="000000"/>
                <w:lang w:val="en-US"/>
              </w:rPr>
              <w:t>ru</w:t>
            </w:r>
            <w:r w:rsidRPr="005A1F62">
              <w:rPr>
                <w:color w:val="000000"/>
              </w:rPr>
              <w:t>BBB</w:t>
            </w:r>
          </w:p>
        </w:tc>
        <w:tc>
          <w:tcPr>
            <w:tcW w:w="2727" w:type="pct"/>
            <w:shd w:val="clear" w:color="auto" w:fill="auto"/>
            <w:vAlign w:val="center"/>
          </w:tcPr>
          <w:p w14:paraId="36C2F419" w14:textId="4E4F5531" w:rsidR="00A9437E" w:rsidRPr="005A1F62" w:rsidRDefault="00A9437E" w:rsidP="00DC2FED">
            <w:pPr>
              <w:rPr>
                <w:color w:val="000000"/>
              </w:rPr>
            </w:pPr>
            <w:r w:rsidRPr="005A1F62">
              <w:rPr>
                <w:color w:val="000000"/>
                <w:lang w:val="en-US"/>
              </w:rPr>
              <w:t>[</w:t>
            </w:r>
            <w:r w:rsidRPr="005A1F62">
              <w:rPr>
                <w:color w:val="000000"/>
              </w:rPr>
              <w:t>0,29;</w:t>
            </w:r>
            <w:r w:rsidR="00D60C08" w:rsidRPr="005A1F62">
              <w:rPr>
                <w:color w:val="000000"/>
              </w:rPr>
              <w:t xml:space="preserve"> </w:t>
            </w:r>
            <w:r w:rsidRPr="005A1F62">
              <w:rPr>
                <w:color w:val="000000"/>
              </w:rPr>
              <w:t>0,36)</w:t>
            </w:r>
          </w:p>
        </w:tc>
      </w:tr>
      <w:tr w:rsidR="00A9437E" w:rsidRPr="005A1F62" w14:paraId="0571481E" w14:textId="77777777" w:rsidTr="006E01D2">
        <w:tc>
          <w:tcPr>
            <w:tcW w:w="972" w:type="pct"/>
            <w:vMerge/>
            <w:shd w:val="clear" w:color="auto" w:fill="auto"/>
            <w:vAlign w:val="center"/>
          </w:tcPr>
          <w:p w14:paraId="5E28707C" w14:textId="77777777" w:rsidR="00A9437E" w:rsidRPr="005A1F62" w:rsidRDefault="00A9437E" w:rsidP="00DC2FED">
            <w:pPr>
              <w:pStyle w:val="RAEXdefault"/>
              <w:jc w:val="left"/>
              <w:rPr>
                <w:rFonts w:cs="Times New Roman"/>
                <w:szCs w:val="24"/>
              </w:rPr>
            </w:pPr>
          </w:p>
        </w:tc>
        <w:tc>
          <w:tcPr>
            <w:tcW w:w="1301" w:type="pct"/>
            <w:shd w:val="clear" w:color="auto" w:fill="auto"/>
            <w:vAlign w:val="center"/>
          </w:tcPr>
          <w:p w14:paraId="50703211" w14:textId="77777777" w:rsidR="00A9437E" w:rsidRPr="005A1F62" w:rsidRDefault="00A9437E" w:rsidP="00DC2FED">
            <w:pPr>
              <w:rPr>
                <w:color w:val="000000"/>
              </w:rPr>
            </w:pPr>
            <w:r w:rsidRPr="005A1F62">
              <w:rPr>
                <w:color w:val="000000"/>
                <w:lang w:val="en-US"/>
              </w:rPr>
              <w:t>ru</w:t>
            </w:r>
            <w:r w:rsidRPr="005A1F62">
              <w:rPr>
                <w:color w:val="000000"/>
              </w:rPr>
              <w:t>BBB-</w:t>
            </w:r>
          </w:p>
        </w:tc>
        <w:tc>
          <w:tcPr>
            <w:tcW w:w="2727" w:type="pct"/>
            <w:shd w:val="clear" w:color="auto" w:fill="auto"/>
            <w:vAlign w:val="center"/>
          </w:tcPr>
          <w:p w14:paraId="7B3D9B07" w14:textId="3B746FB6" w:rsidR="00A9437E" w:rsidRPr="005A1F62" w:rsidRDefault="00A9437E" w:rsidP="00DC2FED">
            <w:pPr>
              <w:rPr>
                <w:color w:val="000000"/>
              </w:rPr>
            </w:pPr>
            <w:r w:rsidRPr="005A1F62">
              <w:rPr>
                <w:color w:val="000000"/>
                <w:lang w:val="en-US"/>
              </w:rPr>
              <w:t>[</w:t>
            </w:r>
            <w:r w:rsidRPr="005A1F62">
              <w:rPr>
                <w:color w:val="000000"/>
              </w:rPr>
              <w:t>0,22;</w:t>
            </w:r>
            <w:r w:rsidR="00D60C08" w:rsidRPr="005A1F62">
              <w:rPr>
                <w:color w:val="000000"/>
              </w:rPr>
              <w:t xml:space="preserve"> </w:t>
            </w:r>
            <w:r w:rsidRPr="005A1F62">
              <w:rPr>
                <w:color w:val="000000"/>
              </w:rPr>
              <w:t>0,29)</w:t>
            </w:r>
          </w:p>
        </w:tc>
      </w:tr>
      <w:tr w:rsidR="00A9437E" w:rsidRPr="005A1F62" w14:paraId="6F7886B5" w14:textId="77777777" w:rsidTr="006E01D2">
        <w:tc>
          <w:tcPr>
            <w:tcW w:w="972" w:type="pct"/>
            <w:vMerge w:val="restart"/>
            <w:shd w:val="clear" w:color="auto" w:fill="auto"/>
            <w:vAlign w:val="center"/>
          </w:tcPr>
          <w:p w14:paraId="65E86204" w14:textId="77777777" w:rsidR="00A9437E" w:rsidRPr="005A1F62" w:rsidRDefault="00A9437E" w:rsidP="00DC2FED">
            <w:pPr>
              <w:pStyle w:val="RAEXdefault"/>
              <w:jc w:val="left"/>
              <w:rPr>
                <w:rFonts w:cs="Times New Roman"/>
                <w:color w:val="000000"/>
                <w:szCs w:val="24"/>
              </w:rPr>
            </w:pPr>
            <w:r w:rsidRPr="005A1F62">
              <w:rPr>
                <w:rFonts w:cs="Times New Roman"/>
                <w:color w:val="000000"/>
                <w:szCs w:val="24"/>
              </w:rPr>
              <w:t>BB</w:t>
            </w:r>
          </w:p>
          <w:p w14:paraId="1F05195C" w14:textId="77777777" w:rsidR="00A9437E" w:rsidRPr="005A1F62" w:rsidRDefault="00A9437E" w:rsidP="00DC2FED">
            <w:pPr>
              <w:rPr>
                <w:lang w:val="en-US"/>
              </w:rPr>
            </w:pPr>
          </w:p>
        </w:tc>
        <w:tc>
          <w:tcPr>
            <w:tcW w:w="1301" w:type="pct"/>
            <w:shd w:val="clear" w:color="auto" w:fill="auto"/>
            <w:vAlign w:val="center"/>
          </w:tcPr>
          <w:p w14:paraId="21AA9319" w14:textId="77777777" w:rsidR="00A9437E" w:rsidRPr="005A1F62" w:rsidRDefault="00A9437E" w:rsidP="00DC2FED">
            <w:pPr>
              <w:rPr>
                <w:color w:val="000000"/>
              </w:rPr>
            </w:pPr>
            <w:r w:rsidRPr="005A1F62">
              <w:rPr>
                <w:color w:val="000000"/>
                <w:lang w:val="en-US"/>
              </w:rPr>
              <w:t>ru</w:t>
            </w:r>
            <w:r w:rsidRPr="005A1F62">
              <w:rPr>
                <w:color w:val="000000"/>
              </w:rPr>
              <w:t>BB+</w:t>
            </w:r>
          </w:p>
        </w:tc>
        <w:tc>
          <w:tcPr>
            <w:tcW w:w="2727" w:type="pct"/>
            <w:shd w:val="clear" w:color="auto" w:fill="auto"/>
            <w:vAlign w:val="center"/>
          </w:tcPr>
          <w:p w14:paraId="27D9F429" w14:textId="60F312E0" w:rsidR="00A9437E" w:rsidRPr="005A1F62" w:rsidRDefault="00A9437E" w:rsidP="00DC2FED">
            <w:pPr>
              <w:rPr>
                <w:color w:val="000000"/>
              </w:rPr>
            </w:pPr>
            <w:r w:rsidRPr="005A1F62">
              <w:rPr>
                <w:color w:val="000000"/>
                <w:lang w:val="en-US"/>
              </w:rPr>
              <w:t>[</w:t>
            </w:r>
            <w:r w:rsidRPr="005A1F62">
              <w:rPr>
                <w:color w:val="000000"/>
              </w:rPr>
              <w:t>0,15;</w:t>
            </w:r>
            <w:r w:rsidR="00D60C08" w:rsidRPr="005A1F62">
              <w:rPr>
                <w:color w:val="000000"/>
              </w:rPr>
              <w:t xml:space="preserve"> </w:t>
            </w:r>
            <w:r w:rsidRPr="005A1F62">
              <w:rPr>
                <w:color w:val="000000"/>
              </w:rPr>
              <w:t>0,22)</w:t>
            </w:r>
          </w:p>
        </w:tc>
      </w:tr>
      <w:tr w:rsidR="00A9437E" w:rsidRPr="005A1F62" w14:paraId="51D30A0C" w14:textId="77777777" w:rsidTr="006E01D2">
        <w:tc>
          <w:tcPr>
            <w:tcW w:w="972" w:type="pct"/>
            <w:vMerge/>
            <w:shd w:val="clear" w:color="auto" w:fill="auto"/>
            <w:vAlign w:val="center"/>
          </w:tcPr>
          <w:p w14:paraId="7DD4C855" w14:textId="77777777" w:rsidR="00A9437E" w:rsidRPr="005A1F62" w:rsidRDefault="00A9437E" w:rsidP="00DC2FED">
            <w:pPr>
              <w:pStyle w:val="RAEXdefault"/>
              <w:jc w:val="left"/>
              <w:rPr>
                <w:rFonts w:cs="Times New Roman"/>
                <w:szCs w:val="24"/>
                <w:lang w:val="ru-RU"/>
              </w:rPr>
            </w:pPr>
          </w:p>
        </w:tc>
        <w:tc>
          <w:tcPr>
            <w:tcW w:w="1301" w:type="pct"/>
            <w:shd w:val="clear" w:color="auto" w:fill="auto"/>
            <w:vAlign w:val="center"/>
          </w:tcPr>
          <w:p w14:paraId="67166B60" w14:textId="77777777" w:rsidR="00A9437E" w:rsidRPr="005A1F62" w:rsidRDefault="00A9437E" w:rsidP="00DC2FED">
            <w:pPr>
              <w:rPr>
                <w:color w:val="000000"/>
              </w:rPr>
            </w:pPr>
            <w:r w:rsidRPr="005A1F62">
              <w:rPr>
                <w:color w:val="000000"/>
                <w:lang w:val="en-US"/>
              </w:rPr>
              <w:t>ru</w:t>
            </w:r>
            <w:r w:rsidRPr="005A1F62">
              <w:rPr>
                <w:color w:val="000000"/>
              </w:rPr>
              <w:t>BB</w:t>
            </w:r>
          </w:p>
        </w:tc>
        <w:tc>
          <w:tcPr>
            <w:tcW w:w="2727" w:type="pct"/>
            <w:shd w:val="clear" w:color="auto" w:fill="auto"/>
            <w:vAlign w:val="center"/>
          </w:tcPr>
          <w:p w14:paraId="62221D83" w14:textId="033769F6" w:rsidR="00A9437E" w:rsidRPr="005A1F62" w:rsidRDefault="00A9437E" w:rsidP="00DC2FED">
            <w:pPr>
              <w:rPr>
                <w:color w:val="000000"/>
              </w:rPr>
            </w:pPr>
            <w:r w:rsidRPr="005A1F62">
              <w:rPr>
                <w:color w:val="000000"/>
                <w:lang w:val="en-US"/>
              </w:rPr>
              <w:t>[</w:t>
            </w:r>
            <w:r w:rsidRPr="005A1F62">
              <w:rPr>
                <w:color w:val="000000"/>
              </w:rPr>
              <w:t>0,08;</w:t>
            </w:r>
            <w:r w:rsidR="00D60C08" w:rsidRPr="005A1F62">
              <w:rPr>
                <w:color w:val="000000"/>
              </w:rPr>
              <w:t xml:space="preserve"> </w:t>
            </w:r>
            <w:r w:rsidRPr="005A1F62">
              <w:rPr>
                <w:color w:val="000000"/>
              </w:rPr>
              <w:t>0,15)</w:t>
            </w:r>
          </w:p>
        </w:tc>
      </w:tr>
      <w:tr w:rsidR="00A9437E" w:rsidRPr="005A1F62" w14:paraId="5A42472D" w14:textId="77777777" w:rsidTr="006E01D2">
        <w:tc>
          <w:tcPr>
            <w:tcW w:w="972" w:type="pct"/>
            <w:vMerge/>
            <w:shd w:val="clear" w:color="auto" w:fill="auto"/>
            <w:vAlign w:val="center"/>
          </w:tcPr>
          <w:p w14:paraId="283557EF" w14:textId="77777777" w:rsidR="00A9437E" w:rsidRPr="005A1F62" w:rsidRDefault="00A9437E" w:rsidP="00DC2FED">
            <w:pPr>
              <w:pStyle w:val="RAEXdefault"/>
              <w:jc w:val="left"/>
              <w:rPr>
                <w:rFonts w:cs="Times New Roman"/>
                <w:szCs w:val="24"/>
              </w:rPr>
            </w:pPr>
          </w:p>
        </w:tc>
        <w:tc>
          <w:tcPr>
            <w:tcW w:w="1301" w:type="pct"/>
            <w:shd w:val="clear" w:color="auto" w:fill="auto"/>
            <w:vAlign w:val="center"/>
          </w:tcPr>
          <w:p w14:paraId="217B430B" w14:textId="77777777" w:rsidR="00A9437E" w:rsidRPr="005A1F62" w:rsidRDefault="00A9437E" w:rsidP="00DC2FED">
            <w:pPr>
              <w:rPr>
                <w:color w:val="000000"/>
              </w:rPr>
            </w:pPr>
            <w:r w:rsidRPr="005A1F62">
              <w:rPr>
                <w:color w:val="000000"/>
                <w:lang w:val="en-US"/>
              </w:rPr>
              <w:t>ru</w:t>
            </w:r>
            <w:r w:rsidRPr="005A1F62">
              <w:rPr>
                <w:color w:val="000000"/>
              </w:rPr>
              <w:t>BB-</w:t>
            </w:r>
          </w:p>
        </w:tc>
        <w:tc>
          <w:tcPr>
            <w:tcW w:w="2727" w:type="pct"/>
            <w:shd w:val="clear" w:color="auto" w:fill="auto"/>
            <w:vAlign w:val="center"/>
          </w:tcPr>
          <w:p w14:paraId="10C7C0F6" w14:textId="47EF7401" w:rsidR="00A9437E" w:rsidRPr="005A1F62" w:rsidRDefault="00A9437E" w:rsidP="00DC2FED">
            <w:pPr>
              <w:rPr>
                <w:color w:val="000000"/>
              </w:rPr>
            </w:pPr>
            <w:r w:rsidRPr="005A1F62">
              <w:rPr>
                <w:color w:val="000000"/>
                <w:lang w:val="en-US"/>
              </w:rPr>
              <w:t>[</w:t>
            </w:r>
            <w:r w:rsidRPr="005A1F62">
              <w:rPr>
                <w:color w:val="000000"/>
              </w:rPr>
              <w:t>0,01;</w:t>
            </w:r>
            <w:r w:rsidR="00D60C08" w:rsidRPr="005A1F62">
              <w:rPr>
                <w:color w:val="000000"/>
              </w:rPr>
              <w:t xml:space="preserve"> </w:t>
            </w:r>
            <w:r w:rsidRPr="005A1F62">
              <w:rPr>
                <w:color w:val="000000"/>
              </w:rPr>
              <w:t>0,08)</w:t>
            </w:r>
          </w:p>
        </w:tc>
      </w:tr>
      <w:tr w:rsidR="00A9437E" w:rsidRPr="005A1F62" w14:paraId="6EF2B070" w14:textId="77777777" w:rsidTr="006E01D2">
        <w:tc>
          <w:tcPr>
            <w:tcW w:w="972" w:type="pct"/>
            <w:vMerge w:val="restart"/>
            <w:shd w:val="clear" w:color="auto" w:fill="auto"/>
            <w:vAlign w:val="center"/>
          </w:tcPr>
          <w:p w14:paraId="3BB170D3" w14:textId="77777777" w:rsidR="00A9437E" w:rsidRPr="005A1F62" w:rsidRDefault="00A9437E" w:rsidP="00DC2FED">
            <w:pPr>
              <w:pStyle w:val="RAEXdefault"/>
              <w:jc w:val="left"/>
              <w:rPr>
                <w:rFonts w:cs="Times New Roman"/>
                <w:szCs w:val="24"/>
              </w:rPr>
            </w:pPr>
            <w:r w:rsidRPr="005A1F62">
              <w:rPr>
                <w:rFonts w:cs="Times New Roman"/>
                <w:color w:val="000000"/>
                <w:szCs w:val="24"/>
              </w:rPr>
              <w:t>B</w:t>
            </w:r>
          </w:p>
        </w:tc>
        <w:tc>
          <w:tcPr>
            <w:tcW w:w="1301" w:type="pct"/>
            <w:shd w:val="clear" w:color="auto" w:fill="auto"/>
            <w:vAlign w:val="center"/>
          </w:tcPr>
          <w:p w14:paraId="21422293" w14:textId="77777777" w:rsidR="00A9437E" w:rsidRPr="005A1F62" w:rsidRDefault="00A9437E" w:rsidP="00DC2FED">
            <w:pPr>
              <w:rPr>
                <w:color w:val="000000"/>
              </w:rPr>
            </w:pPr>
            <w:r w:rsidRPr="005A1F62">
              <w:rPr>
                <w:color w:val="000000"/>
                <w:lang w:val="en-US"/>
              </w:rPr>
              <w:t>ru</w:t>
            </w:r>
            <w:r w:rsidRPr="005A1F62">
              <w:rPr>
                <w:color w:val="000000"/>
              </w:rPr>
              <w:t>B+</w:t>
            </w:r>
          </w:p>
        </w:tc>
        <w:tc>
          <w:tcPr>
            <w:tcW w:w="2727" w:type="pct"/>
            <w:shd w:val="clear" w:color="auto" w:fill="auto"/>
            <w:vAlign w:val="center"/>
          </w:tcPr>
          <w:p w14:paraId="013525AB" w14:textId="2D21DA9C" w:rsidR="00A9437E" w:rsidRPr="005A1F62" w:rsidRDefault="00A9437E" w:rsidP="00DC2FED">
            <w:pPr>
              <w:rPr>
                <w:color w:val="000000"/>
              </w:rPr>
            </w:pPr>
            <w:r w:rsidRPr="005A1F62">
              <w:rPr>
                <w:color w:val="000000"/>
                <w:lang w:val="en-US"/>
              </w:rPr>
              <w:t>[</w:t>
            </w:r>
            <w:r w:rsidRPr="005A1F62">
              <w:rPr>
                <w:color w:val="000000"/>
              </w:rPr>
              <w:t>-0,06;</w:t>
            </w:r>
            <w:r w:rsidR="00D60C08" w:rsidRPr="005A1F62">
              <w:rPr>
                <w:color w:val="000000"/>
              </w:rPr>
              <w:t xml:space="preserve"> </w:t>
            </w:r>
            <w:r w:rsidRPr="005A1F62">
              <w:rPr>
                <w:color w:val="000000"/>
              </w:rPr>
              <w:t>0,01)</w:t>
            </w:r>
          </w:p>
        </w:tc>
      </w:tr>
      <w:tr w:rsidR="00A9437E" w:rsidRPr="005A1F62" w14:paraId="66E30D58" w14:textId="77777777" w:rsidTr="006E01D2">
        <w:tc>
          <w:tcPr>
            <w:tcW w:w="972" w:type="pct"/>
            <w:vMerge/>
            <w:shd w:val="clear" w:color="auto" w:fill="auto"/>
            <w:vAlign w:val="center"/>
          </w:tcPr>
          <w:p w14:paraId="6F67B60B" w14:textId="77777777" w:rsidR="00A9437E" w:rsidRPr="005A1F62" w:rsidRDefault="00A9437E" w:rsidP="00DC2FED">
            <w:pPr>
              <w:pStyle w:val="RAEXdefault"/>
              <w:jc w:val="left"/>
              <w:rPr>
                <w:rFonts w:cs="Times New Roman"/>
                <w:szCs w:val="24"/>
                <w:lang w:val="ru-RU"/>
              </w:rPr>
            </w:pPr>
          </w:p>
        </w:tc>
        <w:tc>
          <w:tcPr>
            <w:tcW w:w="1301" w:type="pct"/>
            <w:shd w:val="clear" w:color="auto" w:fill="auto"/>
            <w:vAlign w:val="center"/>
          </w:tcPr>
          <w:p w14:paraId="78BFA506" w14:textId="77777777" w:rsidR="00A9437E" w:rsidRPr="005A1F62" w:rsidRDefault="00A9437E" w:rsidP="00DC2FED">
            <w:pPr>
              <w:rPr>
                <w:color w:val="000000"/>
              </w:rPr>
            </w:pPr>
            <w:r w:rsidRPr="005A1F62">
              <w:rPr>
                <w:color w:val="000000"/>
                <w:lang w:val="en-US"/>
              </w:rPr>
              <w:t>ru</w:t>
            </w:r>
            <w:r w:rsidRPr="005A1F62">
              <w:rPr>
                <w:color w:val="000000"/>
              </w:rPr>
              <w:t>B</w:t>
            </w:r>
          </w:p>
        </w:tc>
        <w:tc>
          <w:tcPr>
            <w:tcW w:w="2727" w:type="pct"/>
            <w:shd w:val="clear" w:color="auto" w:fill="auto"/>
            <w:vAlign w:val="center"/>
          </w:tcPr>
          <w:p w14:paraId="6B2AE012" w14:textId="5FEE876F" w:rsidR="00A9437E" w:rsidRPr="005A1F62" w:rsidRDefault="00A9437E" w:rsidP="00DC2FED">
            <w:pPr>
              <w:rPr>
                <w:color w:val="000000"/>
              </w:rPr>
            </w:pPr>
            <w:r w:rsidRPr="005A1F62">
              <w:rPr>
                <w:color w:val="000000"/>
                <w:lang w:val="en-US"/>
              </w:rPr>
              <w:t>[</w:t>
            </w:r>
            <w:r w:rsidRPr="005A1F62">
              <w:rPr>
                <w:color w:val="000000"/>
              </w:rPr>
              <w:t>-0,13;</w:t>
            </w:r>
            <w:r w:rsidR="00D60C08" w:rsidRPr="005A1F62">
              <w:rPr>
                <w:color w:val="000000"/>
              </w:rPr>
              <w:t xml:space="preserve"> </w:t>
            </w:r>
            <w:r w:rsidRPr="005A1F62">
              <w:rPr>
                <w:color w:val="000000"/>
              </w:rPr>
              <w:t>-0,06)</w:t>
            </w:r>
          </w:p>
        </w:tc>
      </w:tr>
      <w:tr w:rsidR="00A9437E" w:rsidRPr="005A1F62" w14:paraId="2910CB87" w14:textId="77777777" w:rsidTr="006E01D2">
        <w:tc>
          <w:tcPr>
            <w:tcW w:w="972" w:type="pct"/>
            <w:vMerge/>
            <w:shd w:val="clear" w:color="auto" w:fill="auto"/>
            <w:vAlign w:val="center"/>
          </w:tcPr>
          <w:p w14:paraId="2F83DE15" w14:textId="77777777" w:rsidR="00A9437E" w:rsidRPr="005A1F62" w:rsidRDefault="00A9437E" w:rsidP="00DC2FED">
            <w:pPr>
              <w:pStyle w:val="RAEXdefault"/>
              <w:jc w:val="left"/>
              <w:rPr>
                <w:rFonts w:cs="Times New Roman"/>
                <w:szCs w:val="24"/>
              </w:rPr>
            </w:pPr>
          </w:p>
        </w:tc>
        <w:tc>
          <w:tcPr>
            <w:tcW w:w="1301" w:type="pct"/>
            <w:shd w:val="clear" w:color="auto" w:fill="auto"/>
            <w:vAlign w:val="center"/>
          </w:tcPr>
          <w:p w14:paraId="70EBA1CB" w14:textId="77777777" w:rsidR="00A9437E" w:rsidRPr="005A1F62" w:rsidRDefault="00A9437E" w:rsidP="00DC2FED">
            <w:pPr>
              <w:rPr>
                <w:color w:val="000000"/>
              </w:rPr>
            </w:pPr>
            <w:r w:rsidRPr="005A1F62">
              <w:rPr>
                <w:color w:val="000000"/>
                <w:lang w:val="en-US"/>
              </w:rPr>
              <w:t>ru</w:t>
            </w:r>
            <w:r w:rsidRPr="005A1F62">
              <w:rPr>
                <w:color w:val="000000"/>
              </w:rPr>
              <w:t>B-</w:t>
            </w:r>
          </w:p>
        </w:tc>
        <w:tc>
          <w:tcPr>
            <w:tcW w:w="2727" w:type="pct"/>
            <w:shd w:val="clear" w:color="auto" w:fill="auto"/>
            <w:vAlign w:val="center"/>
          </w:tcPr>
          <w:p w14:paraId="1AAAE49B" w14:textId="6335B314" w:rsidR="00A9437E" w:rsidRPr="005A1F62" w:rsidRDefault="00A9437E" w:rsidP="00DC2FED">
            <w:pPr>
              <w:rPr>
                <w:color w:val="000000"/>
              </w:rPr>
            </w:pPr>
            <w:r w:rsidRPr="005A1F62">
              <w:rPr>
                <w:color w:val="000000"/>
                <w:lang w:val="en-US"/>
              </w:rPr>
              <w:t>[</w:t>
            </w:r>
            <w:r w:rsidRPr="005A1F62">
              <w:rPr>
                <w:color w:val="000000"/>
              </w:rPr>
              <w:t>-0,2;</w:t>
            </w:r>
            <w:r w:rsidR="00D60C08" w:rsidRPr="005A1F62">
              <w:rPr>
                <w:color w:val="000000"/>
              </w:rPr>
              <w:t xml:space="preserve"> </w:t>
            </w:r>
            <w:r w:rsidRPr="005A1F62">
              <w:rPr>
                <w:color w:val="000000"/>
              </w:rPr>
              <w:t>-0,13)</w:t>
            </w:r>
          </w:p>
        </w:tc>
      </w:tr>
      <w:tr w:rsidR="00A9437E" w:rsidRPr="005A1F62" w14:paraId="3847C0EA" w14:textId="77777777" w:rsidTr="006E01D2">
        <w:tc>
          <w:tcPr>
            <w:tcW w:w="972" w:type="pct"/>
            <w:shd w:val="clear" w:color="auto" w:fill="auto"/>
            <w:vAlign w:val="center"/>
          </w:tcPr>
          <w:p w14:paraId="045CBCE2" w14:textId="77777777" w:rsidR="00A9437E" w:rsidRPr="005A1F62" w:rsidRDefault="00A9437E" w:rsidP="00DC2FED">
            <w:pPr>
              <w:pStyle w:val="RAEXdefault"/>
              <w:jc w:val="left"/>
              <w:rPr>
                <w:rFonts w:cs="Times New Roman"/>
                <w:szCs w:val="24"/>
              </w:rPr>
            </w:pPr>
            <w:r w:rsidRPr="005A1F62">
              <w:rPr>
                <w:rFonts w:cs="Times New Roman"/>
                <w:color w:val="000000"/>
                <w:szCs w:val="24"/>
              </w:rPr>
              <w:t>CCC</w:t>
            </w:r>
          </w:p>
        </w:tc>
        <w:tc>
          <w:tcPr>
            <w:tcW w:w="1301" w:type="pct"/>
            <w:shd w:val="clear" w:color="auto" w:fill="auto"/>
            <w:vAlign w:val="center"/>
          </w:tcPr>
          <w:p w14:paraId="74C6DE79" w14:textId="77777777" w:rsidR="00A9437E" w:rsidRPr="005A1F62" w:rsidRDefault="00A9437E" w:rsidP="00DC2FED">
            <w:pPr>
              <w:rPr>
                <w:color w:val="000000"/>
              </w:rPr>
            </w:pPr>
            <w:r w:rsidRPr="005A1F62">
              <w:rPr>
                <w:color w:val="000000"/>
                <w:lang w:val="en-US"/>
              </w:rPr>
              <w:t>ru</w:t>
            </w:r>
            <w:r w:rsidRPr="005A1F62">
              <w:rPr>
                <w:color w:val="000000"/>
              </w:rPr>
              <w:t>CCC</w:t>
            </w:r>
          </w:p>
        </w:tc>
        <w:tc>
          <w:tcPr>
            <w:tcW w:w="2727" w:type="pct"/>
            <w:shd w:val="clear" w:color="auto" w:fill="auto"/>
            <w:vAlign w:val="center"/>
          </w:tcPr>
          <w:p w14:paraId="0C51C6E4" w14:textId="12879192" w:rsidR="00A9437E" w:rsidRPr="005A1F62" w:rsidRDefault="00885607" w:rsidP="00DC2FED">
            <w:pPr>
              <w:rPr>
                <w:color w:val="000000"/>
              </w:rPr>
            </w:pPr>
            <w:r w:rsidRPr="005A1F62">
              <w:rPr>
                <w:color w:val="000000"/>
                <w:lang w:val="en-US"/>
              </w:rPr>
              <w:t>&lt;</w:t>
            </w:r>
            <w:r w:rsidR="00A9437E" w:rsidRPr="005A1F62">
              <w:rPr>
                <w:color w:val="000000"/>
              </w:rPr>
              <w:t>-0,2</w:t>
            </w:r>
          </w:p>
        </w:tc>
      </w:tr>
      <w:tr w:rsidR="00A9437E" w:rsidRPr="005A1F62" w14:paraId="07659C4C" w14:textId="77777777" w:rsidTr="006E01D2">
        <w:tc>
          <w:tcPr>
            <w:tcW w:w="972" w:type="pct"/>
            <w:shd w:val="clear" w:color="auto" w:fill="auto"/>
            <w:vAlign w:val="center"/>
          </w:tcPr>
          <w:p w14:paraId="33C0B1AB" w14:textId="77777777" w:rsidR="00A9437E" w:rsidRPr="005A1F62" w:rsidRDefault="00A9437E" w:rsidP="00DC2FED">
            <w:pPr>
              <w:pStyle w:val="RAEXdefault"/>
              <w:jc w:val="left"/>
              <w:rPr>
                <w:rFonts w:cs="Times New Roman"/>
                <w:szCs w:val="24"/>
                <w:lang w:val="ru-RU"/>
              </w:rPr>
            </w:pPr>
            <w:r w:rsidRPr="005A1F62">
              <w:rPr>
                <w:rFonts w:cs="Times New Roman"/>
                <w:color w:val="000000"/>
                <w:szCs w:val="24"/>
              </w:rPr>
              <w:t>CC</w:t>
            </w:r>
          </w:p>
        </w:tc>
        <w:tc>
          <w:tcPr>
            <w:tcW w:w="1301" w:type="pct"/>
            <w:shd w:val="clear" w:color="auto" w:fill="auto"/>
            <w:vAlign w:val="center"/>
          </w:tcPr>
          <w:p w14:paraId="026CACBD" w14:textId="77777777" w:rsidR="00A9437E" w:rsidRPr="005A1F62" w:rsidRDefault="00A9437E" w:rsidP="00DC2FED">
            <w:pPr>
              <w:rPr>
                <w:color w:val="000000"/>
              </w:rPr>
            </w:pPr>
            <w:r w:rsidRPr="005A1F62">
              <w:rPr>
                <w:color w:val="000000"/>
                <w:lang w:val="en-US"/>
              </w:rPr>
              <w:t>ru</w:t>
            </w:r>
            <w:r w:rsidRPr="005A1F62">
              <w:rPr>
                <w:color w:val="000000"/>
              </w:rPr>
              <w:t>CC</w:t>
            </w:r>
          </w:p>
        </w:tc>
        <w:tc>
          <w:tcPr>
            <w:tcW w:w="2727" w:type="pct"/>
            <w:shd w:val="clear" w:color="auto" w:fill="auto"/>
            <w:vAlign w:val="center"/>
          </w:tcPr>
          <w:p w14:paraId="1E2B8A4E" w14:textId="7774DE39" w:rsidR="00A9437E" w:rsidRPr="005A1F62" w:rsidRDefault="00D60C08" w:rsidP="00DC2FED">
            <w:pPr>
              <w:rPr>
                <w:color w:val="000000"/>
              </w:rPr>
            </w:pPr>
            <w:r w:rsidRPr="005A1F62">
              <w:rPr>
                <w:color w:val="000000"/>
              </w:rPr>
              <w:t xml:space="preserve">По </w:t>
            </w:r>
            <w:r w:rsidR="00885607" w:rsidRPr="005A1F62">
              <w:rPr>
                <w:color w:val="000000"/>
              </w:rPr>
              <w:t>триггерам</w:t>
            </w:r>
          </w:p>
        </w:tc>
      </w:tr>
      <w:tr w:rsidR="00A9437E" w:rsidRPr="005A1F62" w14:paraId="5E0DCE75" w14:textId="77777777" w:rsidTr="006E01D2">
        <w:tc>
          <w:tcPr>
            <w:tcW w:w="972" w:type="pct"/>
            <w:shd w:val="clear" w:color="auto" w:fill="auto"/>
            <w:vAlign w:val="center"/>
          </w:tcPr>
          <w:p w14:paraId="6029BE70" w14:textId="77777777" w:rsidR="00A9437E" w:rsidRPr="005A1F62" w:rsidRDefault="00A9437E" w:rsidP="00DC2FED">
            <w:pPr>
              <w:pStyle w:val="RAEXdefault"/>
              <w:jc w:val="left"/>
              <w:rPr>
                <w:rFonts w:cs="Times New Roman"/>
                <w:szCs w:val="24"/>
              </w:rPr>
            </w:pPr>
            <w:r w:rsidRPr="005A1F62">
              <w:rPr>
                <w:rFonts w:cs="Times New Roman"/>
                <w:color w:val="000000"/>
                <w:szCs w:val="24"/>
              </w:rPr>
              <w:t>C</w:t>
            </w:r>
          </w:p>
        </w:tc>
        <w:tc>
          <w:tcPr>
            <w:tcW w:w="1301" w:type="pct"/>
            <w:shd w:val="clear" w:color="auto" w:fill="auto"/>
            <w:vAlign w:val="center"/>
          </w:tcPr>
          <w:p w14:paraId="3C7BBCAF" w14:textId="77777777" w:rsidR="00A9437E" w:rsidRPr="005A1F62" w:rsidRDefault="00A9437E" w:rsidP="00DC2FED">
            <w:pPr>
              <w:rPr>
                <w:color w:val="000000"/>
              </w:rPr>
            </w:pPr>
            <w:r w:rsidRPr="005A1F62">
              <w:rPr>
                <w:color w:val="000000"/>
                <w:lang w:val="en-US"/>
              </w:rPr>
              <w:t>ru</w:t>
            </w:r>
            <w:r w:rsidRPr="005A1F62">
              <w:rPr>
                <w:color w:val="000000"/>
              </w:rPr>
              <w:t>C</w:t>
            </w:r>
          </w:p>
        </w:tc>
        <w:tc>
          <w:tcPr>
            <w:tcW w:w="2727" w:type="pct"/>
            <w:shd w:val="clear" w:color="auto" w:fill="auto"/>
            <w:vAlign w:val="center"/>
          </w:tcPr>
          <w:p w14:paraId="720251EC" w14:textId="3DD72B82" w:rsidR="00A9437E" w:rsidRPr="005A1F62" w:rsidRDefault="00D60C08" w:rsidP="00DC2FED">
            <w:pPr>
              <w:rPr>
                <w:color w:val="000000"/>
              </w:rPr>
            </w:pPr>
            <w:r w:rsidRPr="005A1F62">
              <w:rPr>
                <w:color w:val="000000"/>
              </w:rPr>
              <w:t xml:space="preserve">По </w:t>
            </w:r>
            <w:r w:rsidR="00885607" w:rsidRPr="005A1F62">
              <w:rPr>
                <w:color w:val="000000"/>
              </w:rPr>
              <w:t>триггерам</w:t>
            </w:r>
          </w:p>
        </w:tc>
      </w:tr>
    </w:tbl>
    <w:p w14:paraId="52B644EE" w14:textId="77777777" w:rsidR="009B681E" w:rsidRPr="005A1F62" w:rsidRDefault="009B681E" w:rsidP="00DC2FED">
      <w:pPr>
        <w:tabs>
          <w:tab w:val="left" w:pos="709"/>
        </w:tabs>
        <w:jc w:val="both"/>
      </w:pPr>
    </w:p>
    <w:p w14:paraId="357F43EA" w14:textId="392C5A34" w:rsidR="009B681E" w:rsidRPr="005A1F62" w:rsidRDefault="009B681E" w:rsidP="00DC2FED">
      <w:pPr>
        <w:numPr>
          <w:ilvl w:val="0"/>
          <w:numId w:val="1"/>
        </w:numPr>
        <w:tabs>
          <w:tab w:val="clear" w:pos="720"/>
          <w:tab w:val="left" w:pos="709"/>
        </w:tabs>
        <w:ind w:left="0" w:firstLine="567"/>
        <w:jc w:val="both"/>
      </w:pPr>
      <w:r w:rsidRPr="005A1F62">
        <w:t>Для банков различных типов применяются различные б</w:t>
      </w:r>
      <w:r w:rsidR="00F24750" w:rsidRPr="005A1F62">
        <w:t>е</w:t>
      </w:r>
      <w:r w:rsidRPr="005A1F62">
        <w:t>нчмарки</w:t>
      </w:r>
      <w:r w:rsidR="009F4E96" w:rsidRPr="005A1F62">
        <w:t>, приведенные в настоящей методологии</w:t>
      </w:r>
      <w:r w:rsidRPr="005A1F62">
        <w:t xml:space="preserve">. Выделяются </w:t>
      </w:r>
      <w:r w:rsidR="0050129F" w:rsidRPr="005A1F62">
        <w:t>три</w:t>
      </w:r>
      <w:r w:rsidR="00E368A9" w:rsidRPr="005A1F62">
        <w:t xml:space="preserve"> </w:t>
      </w:r>
      <w:r w:rsidRPr="005A1F62">
        <w:t>типа банков</w:t>
      </w:r>
      <w:r w:rsidR="00E368A9" w:rsidRPr="005A1F62">
        <w:t xml:space="preserve">. </w:t>
      </w:r>
    </w:p>
    <w:p w14:paraId="0A5DB763" w14:textId="1F547948" w:rsidR="009B681E" w:rsidRPr="005A1F62" w:rsidRDefault="00E368A9" w:rsidP="00DC2FED">
      <w:pPr>
        <w:tabs>
          <w:tab w:val="left" w:pos="709"/>
        </w:tabs>
        <w:ind w:firstLine="567"/>
        <w:jc w:val="both"/>
      </w:pPr>
      <w:r w:rsidRPr="005A1F62">
        <w:t>Первый – банк</w:t>
      </w:r>
      <w:r w:rsidR="009B681E" w:rsidRPr="005A1F62">
        <w:t>, имеющий признаки системно</w:t>
      </w:r>
      <w:r w:rsidR="0050129F" w:rsidRPr="005A1F62">
        <w:t>й значимости</w:t>
      </w:r>
      <w:r w:rsidRPr="005A1F62">
        <w:t xml:space="preserve">. </w:t>
      </w:r>
      <w:r w:rsidR="009B681E" w:rsidRPr="005A1F62">
        <w:t xml:space="preserve">Банк соответствует критериям системной значимости, приведенным в </w:t>
      </w:r>
      <w:r w:rsidRPr="005A1F62">
        <w:t xml:space="preserve">указании </w:t>
      </w:r>
      <w:r w:rsidR="009B681E" w:rsidRPr="005A1F62">
        <w:t>Банка России №3737-У</w:t>
      </w:r>
      <w:r w:rsidRPr="005A1F62">
        <w:t>,</w:t>
      </w:r>
      <w:r w:rsidR="00BB4123" w:rsidRPr="005A1F62">
        <w:t xml:space="preserve"> </w:t>
      </w:r>
      <w:r w:rsidR="003635D7" w:rsidRPr="005A1F62">
        <w:t>и (или) включен в перечень системно значимых кредитных организаций Банком России.</w:t>
      </w:r>
      <w:r w:rsidR="009B681E" w:rsidRPr="005A1F62">
        <w:t xml:space="preserve"> </w:t>
      </w:r>
    </w:p>
    <w:p w14:paraId="53C5C69E" w14:textId="65B4621D" w:rsidR="0050129F" w:rsidRPr="005A1F62" w:rsidRDefault="00E368A9" w:rsidP="00DC2FED">
      <w:pPr>
        <w:tabs>
          <w:tab w:val="left" w:pos="709"/>
        </w:tabs>
        <w:ind w:firstLine="567"/>
        <w:jc w:val="both"/>
      </w:pPr>
      <w:r w:rsidRPr="005A1F62">
        <w:t>Второй – банк</w:t>
      </w:r>
      <w:r w:rsidR="0050129F" w:rsidRPr="005A1F62">
        <w:t xml:space="preserve"> с универсальной лицензией</w:t>
      </w:r>
      <w:r w:rsidRPr="005A1F62">
        <w:t xml:space="preserve">, </w:t>
      </w:r>
      <w:r w:rsidR="0050129F" w:rsidRPr="005A1F62">
        <w:t>не имеющий признаков системной значимости</w:t>
      </w:r>
      <w:r w:rsidRPr="005A1F62">
        <w:t xml:space="preserve">. </w:t>
      </w:r>
      <w:r w:rsidR="009B681E" w:rsidRPr="005A1F62">
        <w:t xml:space="preserve">Банк не соответствует критериям системной значимости, приведенным в </w:t>
      </w:r>
      <w:r w:rsidRPr="005A1F62">
        <w:t xml:space="preserve">указании </w:t>
      </w:r>
      <w:r w:rsidR="009B681E" w:rsidRPr="005A1F62">
        <w:t>Банка России №3737-У</w:t>
      </w:r>
      <w:r w:rsidRPr="005A1F62">
        <w:t>,</w:t>
      </w:r>
      <w:r w:rsidR="003635D7" w:rsidRPr="005A1F62">
        <w:t xml:space="preserve"> и не включен в перечень системно значимых кредитных организаций Банком России.</w:t>
      </w:r>
    </w:p>
    <w:p w14:paraId="1951C782" w14:textId="411EF350" w:rsidR="0050129F" w:rsidRPr="005A1F62" w:rsidRDefault="0050129F" w:rsidP="00DC2FED">
      <w:pPr>
        <w:tabs>
          <w:tab w:val="left" w:pos="709"/>
        </w:tabs>
        <w:ind w:firstLine="567"/>
        <w:jc w:val="both"/>
      </w:pPr>
      <w:r w:rsidRPr="005A1F62">
        <w:t>Третий – банк с базовой лицензией.</w:t>
      </w:r>
    </w:p>
    <w:p w14:paraId="648F6FB4" w14:textId="19D53224" w:rsidR="00F529AA" w:rsidRPr="005A1F62" w:rsidRDefault="009F4E96" w:rsidP="00DC2FED">
      <w:pPr>
        <w:numPr>
          <w:ilvl w:val="0"/>
          <w:numId w:val="1"/>
        </w:numPr>
        <w:tabs>
          <w:tab w:val="clear" w:pos="720"/>
          <w:tab w:val="left" w:pos="709"/>
        </w:tabs>
        <w:ind w:left="0" w:firstLine="567"/>
        <w:jc w:val="both"/>
      </w:pPr>
      <w:r w:rsidRPr="005A1F62">
        <w:t xml:space="preserve">Как правило, чем выше рейтинговое число, тем выше рейтинговая оценка и ниже риск невыполнения </w:t>
      </w:r>
      <w:r w:rsidR="0014658E" w:rsidRPr="005A1F62">
        <w:t xml:space="preserve">финансовых </w:t>
      </w:r>
      <w:r w:rsidRPr="005A1F62">
        <w:t>обязательств</w:t>
      </w:r>
      <w:r w:rsidR="00E368A9" w:rsidRPr="005A1F62">
        <w:t>,</w:t>
      </w:r>
      <w:r w:rsidRPr="005A1F62">
        <w:t xml:space="preserve"> по мнению </w:t>
      </w:r>
      <w:r w:rsidR="00793246" w:rsidRPr="005A1F62">
        <w:t>А</w:t>
      </w:r>
      <w:r w:rsidR="00924855" w:rsidRPr="005A1F62">
        <w:t>гентства</w:t>
      </w:r>
      <w:r w:rsidRPr="005A1F62">
        <w:t xml:space="preserve">. </w:t>
      </w:r>
      <w:r w:rsidR="00F529AA" w:rsidRPr="005A1F62">
        <w:t>Но итоговое предложение должно учитывать то, что в отдельных случаях, оговоренных ниже, рейтинг присваивается вне зависимости от рейтингового числа.</w:t>
      </w:r>
    </w:p>
    <w:p w14:paraId="6DBD41CD" w14:textId="77777777" w:rsidR="009B681E" w:rsidRPr="005A1F62" w:rsidRDefault="009B681E" w:rsidP="00DC2FED">
      <w:pPr>
        <w:ind w:left="567"/>
        <w:jc w:val="both"/>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8141"/>
      </w:tblGrid>
      <w:tr w:rsidR="00A665B1" w:rsidRPr="005A1F62" w14:paraId="45171D1D" w14:textId="77777777" w:rsidTr="00A665B1">
        <w:trPr>
          <w:trHeight w:val="20"/>
        </w:trPr>
        <w:tc>
          <w:tcPr>
            <w:tcW w:w="0" w:type="auto"/>
            <w:shd w:val="clear" w:color="auto" w:fill="auto"/>
            <w:vAlign w:val="center"/>
            <w:hideMark/>
          </w:tcPr>
          <w:p w14:paraId="10924784" w14:textId="77777777" w:rsidR="00F529AA" w:rsidRPr="005A1F62" w:rsidRDefault="00F529AA" w:rsidP="00DC2FED">
            <w:pPr>
              <w:jc w:val="both"/>
              <w:rPr>
                <w:b/>
                <w:bCs/>
              </w:rPr>
            </w:pPr>
            <w:bookmarkStart w:id="24" w:name="_Hlk504748800"/>
            <w:r w:rsidRPr="005A1F62">
              <w:rPr>
                <w:b/>
                <w:bCs/>
              </w:rPr>
              <w:lastRenderedPageBreak/>
              <w:t xml:space="preserve">Рейтинг </w:t>
            </w:r>
          </w:p>
        </w:tc>
        <w:tc>
          <w:tcPr>
            <w:tcW w:w="0" w:type="auto"/>
            <w:shd w:val="clear" w:color="auto" w:fill="auto"/>
            <w:vAlign w:val="center"/>
            <w:hideMark/>
          </w:tcPr>
          <w:p w14:paraId="56CE581C" w14:textId="77777777" w:rsidR="00F529AA" w:rsidRPr="005A1F62" w:rsidRDefault="00F529AA" w:rsidP="00DC2FED">
            <w:pPr>
              <w:jc w:val="both"/>
              <w:rPr>
                <w:b/>
                <w:bCs/>
              </w:rPr>
            </w:pPr>
            <w:r w:rsidRPr="005A1F62">
              <w:rPr>
                <w:b/>
                <w:bCs/>
              </w:rPr>
              <w:t>Описание</w:t>
            </w:r>
          </w:p>
        </w:tc>
      </w:tr>
      <w:tr w:rsidR="00A665B1" w:rsidRPr="005A1F62" w14:paraId="06529377" w14:textId="77777777" w:rsidTr="00A665B1">
        <w:trPr>
          <w:trHeight w:val="20"/>
        </w:trPr>
        <w:tc>
          <w:tcPr>
            <w:tcW w:w="0" w:type="auto"/>
            <w:shd w:val="clear" w:color="auto" w:fill="auto"/>
            <w:vAlign w:val="center"/>
            <w:hideMark/>
          </w:tcPr>
          <w:p w14:paraId="22C4AD71" w14:textId="77777777" w:rsidR="00F529AA" w:rsidRPr="005A1F62" w:rsidRDefault="00F529AA" w:rsidP="00DC2FED">
            <w:r w:rsidRPr="005A1F62">
              <w:rPr>
                <w:lang w:val="en-US"/>
              </w:rPr>
              <w:t>ru</w:t>
            </w:r>
            <w:r w:rsidRPr="005A1F62">
              <w:t>СС</w:t>
            </w:r>
          </w:p>
        </w:tc>
        <w:tc>
          <w:tcPr>
            <w:tcW w:w="0" w:type="auto"/>
            <w:shd w:val="clear" w:color="auto" w:fill="auto"/>
            <w:vAlign w:val="center"/>
            <w:hideMark/>
          </w:tcPr>
          <w:p w14:paraId="6E3E7B99" w14:textId="77777777" w:rsidR="00A41CD4" w:rsidRPr="005A1F62" w:rsidRDefault="00A41CD4" w:rsidP="00DC2FED">
            <w:pPr>
              <w:jc w:val="both"/>
            </w:pPr>
            <w:r w:rsidRPr="005A1F62">
              <w:t>При наличии хотя бы одного признака высокой вероятности дефолта / отзыва лицензии, а именно:</w:t>
            </w:r>
          </w:p>
          <w:p w14:paraId="6E189B95" w14:textId="2308A906" w:rsidR="00A41CD4" w:rsidRPr="005A1F62" w:rsidRDefault="00A41CD4" w:rsidP="00DC2FED">
            <w:pPr>
              <w:jc w:val="both"/>
            </w:pPr>
            <w:r w:rsidRPr="005A1F62">
              <w:t>1.</w:t>
            </w:r>
            <w:r w:rsidRPr="005A1F62">
              <w:tab/>
              <w:t xml:space="preserve">Ненулевые обороты или остатки по </w:t>
            </w:r>
            <w:r w:rsidR="00D60C08" w:rsidRPr="005A1F62">
              <w:t xml:space="preserve">счетам </w:t>
            </w:r>
            <w:r w:rsidRPr="005A1F62">
              <w:t>47418, 317, 318 более двух дней подряд, связанные с реализацией риска ликвидности, но не операционного риска (рассматриваемый период – один месяц, предшествующий последней отчетной дате).</w:t>
            </w:r>
          </w:p>
          <w:p w14:paraId="41159ED6" w14:textId="7881FD62" w:rsidR="00A41CD4" w:rsidRPr="005A1F62" w:rsidRDefault="00A41CD4" w:rsidP="00DC2FED">
            <w:pPr>
              <w:jc w:val="both"/>
            </w:pPr>
            <w:r w:rsidRPr="005A1F62">
              <w:t>2.</w:t>
            </w:r>
            <w:r w:rsidRPr="005A1F62">
              <w:tab/>
              <w:t xml:space="preserve">Банк не готов к </w:t>
            </w:r>
            <w:r w:rsidR="00885607" w:rsidRPr="005A1F62">
              <w:t xml:space="preserve">ожидаемым на горизонте ближайших </w:t>
            </w:r>
            <w:r w:rsidR="00D60C08" w:rsidRPr="005A1F62">
              <w:t xml:space="preserve">шести </w:t>
            </w:r>
            <w:r w:rsidR="00885607" w:rsidRPr="005A1F62">
              <w:t xml:space="preserve">месяцев оттокам привлеченных средств </w:t>
            </w:r>
            <w:r w:rsidRPr="005A1F62">
              <w:t>(</w:t>
            </w:r>
            <w:r w:rsidR="00F30734" w:rsidRPr="005A1F62">
              <w:t xml:space="preserve">указанные выше </w:t>
            </w:r>
            <w:r w:rsidR="00885607" w:rsidRPr="005A1F62">
              <w:t xml:space="preserve">оттоки </w:t>
            </w:r>
            <w:r w:rsidR="00F30734" w:rsidRPr="005A1F62">
              <w:t xml:space="preserve">с высокой вероятностью </w:t>
            </w:r>
            <w:r w:rsidR="00885607" w:rsidRPr="005A1F62">
              <w:t>приведут к</w:t>
            </w:r>
            <w:r w:rsidR="00F30734" w:rsidRPr="005A1F62">
              <w:t xml:space="preserve"> возникновению</w:t>
            </w:r>
            <w:r w:rsidR="00885607" w:rsidRPr="005A1F62">
              <w:t xml:space="preserve"> остро</w:t>
            </w:r>
            <w:r w:rsidR="00F30734" w:rsidRPr="005A1F62">
              <w:t>го</w:t>
            </w:r>
            <w:r w:rsidR="00885607" w:rsidRPr="005A1F62">
              <w:t xml:space="preserve"> дефицит</w:t>
            </w:r>
            <w:r w:rsidR="00F30734" w:rsidRPr="005A1F62">
              <w:t>а</w:t>
            </w:r>
            <w:r w:rsidR="00885607" w:rsidRPr="005A1F62">
              <w:t xml:space="preserve"> ликвидности / истощению запаса ликвидн</w:t>
            </w:r>
            <w:r w:rsidR="00F30734" w:rsidRPr="005A1F62">
              <w:t>ых активов</w:t>
            </w:r>
            <w:r w:rsidR="00885607" w:rsidRPr="005A1F62">
              <w:t xml:space="preserve"> / нарушению регулятивных требований к обязательным нормативам ликвидности)</w:t>
            </w:r>
            <w:r w:rsidR="00D60C08" w:rsidRPr="005A1F62">
              <w:t>.</w:t>
            </w:r>
            <w:r w:rsidR="00885607" w:rsidRPr="005A1F62" w:rsidDel="00885607">
              <w:t xml:space="preserve"> </w:t>
            </w:r>
            <w:r w:rsidRPr="005A1F62">
              <w:t>Это основание для установки сохраняется, даже если ожидается вынужденная пролонгация обязательств банка со стороны его кредиторов.</w:t>
            </w:r>
          </w:p>
          <w:p w14:paraId="47360166" w14:textId="7A681A60" w:rsidR="00885607" w:rsidRPr="005A1F62" w:rsidRDefault="00885607" w:rsidP="00DC2FED">
            <w:pPr>
              <w:jc w:val="both"/>
            </w:pPr>
            <w:r w:rsidRPr="005A1F62">
              <w:t>3. В банке введено ограничение суммы единовременной выдачи средств со счетов клиентов, размер и порядок введения которого свидетельствуют о дефиците ликвидности</w:t>
            </w:r>
            <w:r w:rsidR="00F30734" w:rsidRPr="005A1F62">
              <w:t>.</w:t>
            </w:r>
          </w:p>
          <w:p w14:paraId="757B4D62" w14:textId="7FFFD690" w:rsidR="00A41CD4" w:rsidRPr="005A1F62" w:rsidRDefault="00885607" w:rsidP="00DC2FED">
            <w:pPr>
              <w:jc w:val="both"/>
            </w:pPr>
            <w:r w:rsidRPr="005A1F62">
              <w:t>4</w:t>
            </w:r>
            <w:r w:rsidR="00A41CD4" w:rsidRPr="005A1F62">
              <w:t>.</w:t>
            </w:r>
            <w:r w:rsidR="00B83BE7" w:rsidRPr="005A1F62">
              <w:t xml:space="preserve"> </w:t>
            </w:r>
            <w:r w:rsidR="00A41CD4" w:rsidRPr="005A1F62">
              <w:t>В контексте текущей практики надзора деятельность банка сопряжена с крайне высоким риском отзыва лицензии. Данная формулировка подразумевает прежде всего сочетание следующих факторов:</w:t>
            </w:r>
          </w:p>
          <w:p w14:paraId="16549A0C" w14:textId="77777777" w:rsidR="00A41CD4" w:rsidRPr="005A1F62" w:rsidRDefault="00A41CD4" w:rsidP="00DC2FED">
            <w:pPr>
              <w:jc w:val="both"/>
            </w:pPr>
            <w:r w:rsidRPr="005A1F62">
              <w:t>•</w:t>
            </w:r>
            <w:r w:rsidRPr="005A1F62">
              <w:tab/>
              <w:t>банк недавно продан другим собственникам и (или) кардинально сменился топ-менеджмент;</w:t>
            </w:r>
          </w:p>
          <w:p w14:paraId="46A67222" w14:textId="35343375" w:rsidR="00A41CD4" w:rsidRPr="005A1F62" w:rsidRDefault="00A41CD4" w:rsidP="00DC2FED">
            <w:pPr>
              <w:jc w:val="both"/>
            </w:pPr>
            <w:r w:rsidRPr="005A1F62">
              <w:t>•</w:t>
            </w:r>
            <w:r w:rsidRPr="005A1F62">
              <w:tab/>
              <w:t xml:space="preserve">новые топ-менеджеры </w:t>
            </w:r>
            <w:r w:rsidR="00345109" w:rsidRPr="005A1F62">
              <w:t xml:space="preserve">и (или) новые собственники </w:t>
            </w:r>
            <w:r w:rsidRPr="005A1F62">
              <w:t>ранее работали</w:t>
            </w:r>
            <w:r w:rsidR="00D60C08" w:rsidRPr="005A1F62">
              <w:t xml:space="preserve"> </w:t>
            </w:r>
            <w:r w:rsidR="00345109" w:rsidRPr="005A1F62">
              <w:t>/</w:t>
            </w:r>
            <w:r w:rsidR="00D60C08" w:rsidRPr="005A1F62">
              <w:t xml:space="preserve"> </w:t>
            </w:r>
            <w:r w:rsidR="00345109" w:rsidRPr="005A1F62">
              <w:t>участвовали в капитале</w:t>
            </w:r>
            <w:r w:rsidRPr="005A1F62">
              <w:t xml:space="preserve"> в </w:t>
            </w:r>
            <w:r w:rsidR="00345109" w:rsidRPr="005A1F62">
              <w:t>организациях финансового и нефинансового сектора, которые допустили дефолт</w:t>
            </w:r>
            <w:r w:rsidR="00D60C08" w:rsidRPr="005A1F62">
              <w:t xml:space="preserve"> </w:t>
            </w:r>
            <w:r w:rsidR="00345109" w:rsidRPr="005A1F62">
              <w:t>/</w:t>
            </w:r>
            <w:r w:rsidR="00D60C08" w:rsidRPr="005A1F62">
              <w:t xml:space="preserve"> </w:t>
            </w:r>
            <w:r w:rsidR="00345109" w:rsidRPr="005A1F62">
              <w:t>лицензия которых была отозвана или были переданы на санацию</w:t>
            </w:r>
            <w:r w:rsidR="00D60C08" w:rsidRPr="005A1F62">
              <w:t xml:space="preserve"> </w:t>
            </w:r>
            <w:r w:rsidR="00345109" w:rsidRPr="005A1F62">
              <w:t>/</w:t>
            </w:r>
            <w:r w:rsidR="00D60C08" w:rsidRPr="005A1F62">
              <w:t xml:space="preserve"> </w:t>
            </w:r>
            <w:r w:rsidR="00345109" w:rsidRPr="005A1F62">
              <w:t>с повышенной вовлеченностью в проведение сомнительных операций</w:t>
            </w:r>
            <w:r w:rsidRPr="005A1F62">
              <w:t>;</w:t>
            </w:r>
          </w:p>
          <w:p w14:paraId="7A756FE5" w14:textId="0135FBC3" w:rsidR="00F529AA" w:rsidRPr="005A1F62" w:rsidRDefault="00A41CD4" w:rsidP="00DC2FED">
            <w:pPr>
              <w:jc w:val="both"/>
            </w:pPr>
            <w:r w:rsidRPr="005A1F62">
              <w:t>•</w:t>
            </w:r>
            <w:r w:rsidRPr="005A1F62">
              <w:tab/>
              <w:t>резк</w:t>
            </w:r>
            <w:r w:rsidR="00F30734" w:rsidRPr="005A1F62">
              <w:t>ие</w:t>
            </w:r>
            <w:r w:rsidRPr="005A1F62">
              <w:t xml:space="preserve"> изме</w:t>
            </w:r>
            <w:r w:rsidR="00C82B07" w:rsidRPr="005A1F62">
              <w:t>не</w:t>
            </w:r>
            <w:r w:rsidRPr="005A1F62">
              <w:t>ни</w:t>
            </w:r>
            <w:r w:rsidR="00F30734" w:rsidRPr="005A1F62">
              <w:t>я в</w:t>
            </w:r>
            <w:r w:rsidRPr="005A1F62">
              <w:t xml:space="preserve"> депозитн</w:t>
            </w:r>
            <w:r w:rsidR="00F30734" w:rsidRPr="005A1F62">
              <w:t>ой</w:t>
            </w:r>
            <w:r w:rsidRPr="005A1F62">
              <w:t xml:space="preserve"> и (или) кредитн</w:t>
            </w:r>
            <w:r w:rsidR="00F30734" w:rsidRPr="005A1F62">
              <w:t>ой</w:t>
            </w:r>
            <w:r w:rsidRPr="005A1F62">
              <w:t xml:space="preserve"> политик</w:t>
            </w:r>
            <w:r w:rsidR="00F30734" w:rsidRPr="005A1F62">
              <w:t>е</w:t>
            </w:r>
            <w:r w:rsidRPr="005A1F62">
              <w:t xml:space="preserve"> банка</w:t>
            </w:r>
            <w:r w:rsidR="00F30734" w:rsidRPr="005A1F62">
              <w:t>, которые по сравнению со среднерыночными показателями носят агрессивный характер, что повышает вероятность вывода активов</w:t>
            </w:r>
          </w:p>
        </w:tc>
      </w:tr>
      <w:tr w:rsidR="00A665B1" w:rsidRPr="005A1F62" w14:paraId="465FF5A3" w14:textId="77777777" w:rsidTr="00A665B1">
        <w:trPr>
          <w:trHeight w:val="20"/>
        </w:trPr>
        <w:tc>
          <w:tcPr>
            <w:tcW w:w="0" w:type="auto"/>
            <w:shd w:val="clear" w:color="auto" w:fill="auto"/>
            <w:vAlign w:val="center"/>
            <w:hideMark/>
          </w:tcPr>
          <w:p w14:paraId="28EFE5AB" w14:textId="77777777" w:rsidR="00F529AA" w:rsidRPr="005A1F62" w:rsidRDefault="00F529AA" w:rsidP="00DC2FED">
            <w:pPr>
              <w:jc w:val="both"/>
            </w:pPr>
            <w:r w:rsidRPr="005A1F62">
              <w:rPr>
                <w:lang w:val="en-US"/>
              </w:rPr>
              <w:t>ru</w:t>
            </w:r>
            <w:r w:rsidRPr="005A1F62">
              <w:t>С</w:t>
            </w:r>
          </w:p>
        </w:tc>
        <w:tc>
          <w:tcPr>
            <w:tcW w:w="0" w:type="auto"/>
            <w:shd w:val="clear" w:color="auto" w:fill="auto"/>
            <w:vAlign w:val="center"/>
            <w:hideMark/>
          </w:tcPr>
          <w:p w14:paraId="164A95C2" w14:textId="4C64C107" w:rsidR="00F529AA" w:rsidRPr="005A1F62" w:rsidRDefault="00A41CD4" w:rsidP="00DC2FED">
            <w:pPr>
              <w:jc w:val="both"/>
            </w:pPr>
            <w:r w:rsidRPr="005A1F62">
              <w:t>При наличии на последнюю актуальную дату любого из оснований для осуществления мер по предупреждению банкротства кредитной организации, перечисленных в статье 189.10 Федерального закона от 26</w:t>
            </w:r>
            <w:r w:rsidR="00D60C08" w:rsidRPr="005A1F62">
              <w:t xml:space="preserve"> октября </w:t>
            </w:r>
            <w:r w:rsidRPr="005A1F62">
              <w:t xml:space="preserve">2002 года №127-ФЗ «О несостоятельности (банкротстве)», при этом нет основания для присвоения более низкого рейтинга (в противном случае присваивается соответствующий более низкий рейтинг). </w:t>
            </w:r>
            <w:r w:rsidR="00F529AA" w:rsidRPr="005A1F62">
              <w:t xml:space="preserve">Допущен технический дефолт </w:t>
            </w:r>
            <w:r w:rsidR="0014658E" w:rsidRPr="005A1F62">
              <w:rPr>
                <w:color w:val="000000"/>
              </w:rPr>
              <w:t>по старшим финансовым обязательствам.</w:t>
            </w:r>
          </w:p>
        </w:tc>
      </w:tr>
      <w:tr w:rsidR="00A665B1" w:rsidRPr="005A1F62" w14:paraId="7404C61B" w14:textId="77777777" w:rsidTr="00A665B1">
        <w:trPr>
          <w:trHeight w:val="20"/>
        </w:trPr>
        <w:tc>
          <w:tcPr>
            <w:tcW w:w="0" w:type="auto"/>
            <w:shd w:val="clear" w:color="auto" w:fill="auto"/>
            <w:vAlign w:val="center"/>
          </w:tcPr>
          <w:p w14:paraId="6A5F56F6" w14:textId="77777777" w:rsidR="00F529AA" w:rsidRPr="005A1F62" w:rsidRDefault="00F529AA" w:rsidP="00DC2FED">
            <w:pPr>
              <w:jc w:val="both"/>
            </w:pPr>
            <w:r w:rsidRPr="005A1F62">
              <w:rPr>
                <w:lang w:val="en-US"/>
              </w:rPr>
              <w:t>ruRD</w:t>
            </w:r>
          </w:p>
        </w:tc>
        <w:tc>
          <w:tcPr>
            <w:tcW w:w="0" w:type="auto"/>
            <w:shd w:val="clear" w:color="auto" w:fill="auto"/>
            <w:vAlign w:val="center"/>
          </w:tcPr>
          <w:p w14:paraId="66981905" w14:textId="6D6F63D1" w:rsidR="00F529AA" w:rsidRPr="005A1F62" w:rsidRDefault="00F529AA" w:rsidP="00DC2FED">
            <w:pPr>
              <w:jc w:val="both"/>
            </w:pPr>
            <w:r w:rsidRPr="005A1F62">
              <w:t>Объект рейтинга находится под надзором органов государственного регулирования, которые могут определять приоритетность одних обязательств перед другими. При этом дефолт Агентством не зафиксирован</w:t>
            </w:r>
          </w:p>
        </w:tc>
      </w:tr>
      <w:tr w:rsidR="00A665B1" w:rsidRPr="005A1F62" w14:paraId="1F80D44C" w14:textId="77777777" w:rsidTr="00A665B1">
        <w:trPr>
          <w:trHeight w:val="20"/>
        </w:trPr>
        <w:tc>
          <w:tcPr>
            <w:tcW w:w="0" w:type="auto"/>
            <w:shd w:val="clear" w:color="auto" w:fill="auto"/>
            <w:vAlign w:val="center"/>
          </w:tcPr>
          <w:p w14:paraId="7630EC39" w14:textId="77777777" w:rsidR="00F529AA" w:rsidRPr="005A1F62" w:rsidRDefault="00F529AA" w:rsidP="00DC2FED">
            <w:pPr>
              <w:jc w:val="both"/>
              <w:rPr>
                <w:lang w:val="en-US"/>
              </w:rPr>
            </w:pPr>
            <w:r w:rsidRPr="005A1F62">
              <w:rPr>
                <w:lang w:val="en-US"/>
              </w:rPr>
              <w:t>ruD</w:t>
            </w:r>
          </w:p>
        </w:tc>
        <w:tc>
          <w:tcPr>
            <w:tcW w:w="0" w:type="auto"/>
            <w:shd w:val="clear" w:color="auto" w:fill="auto"/>
            <w:vAlign w:val="center"/>
          </w:tcPr>
          <w:p w14:paraId="4DE32EA2" w14:textId="41C6E6CE" w:rsidR="00F529AA" w:rsidRPr="005A1F62" w:rsidRDefault="00F529AA" w:rsidP="00DC2FED">
            <w:r w:rsidRPr="005A1F62">
              <w:t>Объект рейтинга находится в состоянии дефолта</w:t>
            </w:r>
          </w:p>
        </w:tc>
      </w:tr>
      <w:bookmarkEnd w:id="24"/>
    </w:tbl>
    <w:p w14:paraId="2C5D1A1D" w14:textId="77777777" w:rsidR="00F529AA" w:rsidRPr="005A1F62" w:rsidRDefault="00F529AA" w:rsidP="00DC2FED">
      <w:pPr>
        <w:ind w:left="567"/>
        <w:jc w:val="both"/>
      </w:pPr>
    </w:p>
    <w:p w14:paraId="0ABF8E59" w14:textId="77777777" w:rsidR="009B681E" w:rsidRPr="005A1F62" w:rsidRDefault="009B681E" w:rsidP="00DC2FED">
      <w:pPr>
        <w:numPr>
          <w:ilvl w:val="0"/>
          <w:numId w:val="1"/>
        </w:numPr>
        <w:tabs>
          <w:tab w:val="clear" w:pos="720"/>
          <w:tab w:val="left" w:pos="709"/>
        </w:tabs>
        <w:ind w:left="0" w:firstLine="567"/>
        <w:jc w:val="both"/>
      </w:pPr>
      <w:r w:rsidRPr="005A1F62">
        <w:t>При оценке показателей учитываются данные как на последнюю отчетную дату, так и на предыдущие даты. Правила взвешивания оценок показателей за разные периоды приведены ниже.</w:t>
      </w:r>
    </w:p>
    <w:p w14:paraId="2169E065" w14:textId="77777777" w:rsidR="009B681E" w:rsidRPr="005A1F62" w:rsidRDefault="009B681E" w:rsidP="00DC2FED">
      <w:pPr>
        <w:tabs>
          <w:tab w:val="left" w:pos="709"/>
        </w:tabs>
        <w:ind w:firstLine="567"/>
        <w:jc w:val="both"/>
        <w:rPr>
          <w:b/>
        </w:rPr>
      </w:pPr>
      <w:r w:rsidRPr="005A1F62">
        <w:rPr>
          <w:b/>
        </w:rPr>
        <w:t>Правила взвешивания оценок показателей за разные периоды</w:t>
      </w:r>
    </w:p>
    <w:p w14:paraId="2137AA76" w14:textId="11C21C2C" w:rsidR="009B681E" w:rsidRPr="005A1F62" w:rsidRDefault="009B681E" w:rsidP="00DC2FED">
      <w:pPr>
        <w:tabs>
          <w:tab w:val="left" w:pos="709"/>
        </w:tabs>
        <w:ind w:firstLine="567"/>
        <w:jc w:val="both"/>
      </w:pPr>
      <w:r w:rsidRPr="005A1F62">
        <w:t xml:space="preserve">Все показатели, используемые </w:t>
      </w:r>
      <w:r w:rsidR="005A5B91" w:rsidRPr="005A1F62">
        <w:t xml:space="preserve">в </w:t>
      </w:r>
      <w:r w:rsidRPr="005A1F62">
        <w:t>методике, делятся на три группы:</w:t>
      </w:r>
    </w:p>
    <w:p w14:paraId="6F93356D" w14:textId="28A19ACE" w:rsidR="009B681E" w:rsidRPr="005A1F62" w:rsidRDefault="00E368A9" w:rsidP="00D44657">
      <w:pPr>
        <w:numPr>
          <w:ilvl w:val="0"/>
          <w:numId w:val="9"/>
        </w:numPr>
        <w:tabs>
          <w:tab w:val="left" w:pos="709"/>
        </w:tabs>
        <w:ind w:left="0" w:firstLine="567"/>
        <w:jc w:val="both"/>
      </w:pPr>
      <w:bookmarkStart w:id="25" w:name="_Hlk510515654"/>
      <w:r w:rsidRPr="005A1F62">
        <w:t>показатели</w:t>
      </w:r>
      <w:r w:rsidR="009B681E" w:rsidRPr="005A1F62">
        <w:t xml:space="preserve">, итоговая оценка которых базируется на анализе динамики в течение продолжительного периода (как правило, данные за </w:t>
      </w:r>
      <w:r w:rsidRPr="005A1F62">
        <w:t xml:space="preserve">шесть </w:t>
      </w:r>
      <w:r w:rsidR="009B681E" w:rsidRPr="005A1F62">
        <w:t>квартальных дат)</w:t>
      </w:r>
      <w:r w:rsidR="005A5B91" w:rsidRPr="005A1F62">
        <w:t>,</w:t>
      </w:r>
      <w:r w:rsidR="009B681E" w:rsidRPr="005A1F62">
        <w:t xml:space="preserve"> – т</w:t>
      </w:r>
      <w:r w:rsidRPr="005A1F62">
        <w:t>ак называемые</w:t>
      </w:r>
      <w:r w:rsidR="009B681E" w:rsidRPr="005A1F62">
        <w:t xml:space="preserve"> показатели с </w:t>
      </w:r>
      <w:r w:rsidR="00ED19A5" w:rsidRPr="005A1F62">
        <w:t>«</w:t>
      </w:r>
      <w:r w:rsidR="009B681E" w:rsidRPr="005A1F62">
        <w:t>длинным хвостом»;</w:t>
      </w:r>
    </w:p>
    <w:p w14:paraId="7D757827" w14:textId="0D88CF10" w:rsidR="009B681E" w:rsidRPr="005A1F62" w:rsidRDefault="00ED19A5" w:rsidP="00D44657">
      <w:pPr>
        <w:numPr>
          <w:ilvl w:val="0"/>
          <w:numId w:val="9"/>
        </w:numPr>
        <w:tabs>
          <w:tab w:val="left" w:pos="709"/>
        </w:tabs>
        <w:ind w:left="0" w:firstLine="567"/>
        <w:jc w:val="both"/>
      </w:pPr>
      <w:r w:rsidRPr="005A1F62">
        <w:lastRenderedPageBreak/>
        <w:t>показатели</w:t>
      </w:r>
      <w:r w:rsidR="009B681E" w:rsidRPr="005A1F62">
        <w:t>, итоговая оценка которых базируется на анализе динамики в течение сравнительно короткого периода (</w:t>
      </w:r>
      <w:r w:rsidRPr="005A1F62">
        <w:t xml:space="preserve">две </w:t>
      </w:r>
      <w:r w:rsidR="009B681E" w:rsidRPr="005A1F62">
        <w:t>квартальные даты)</w:t>
      </w:r>
      <w:r w:rsidR="005A5B91" w:rsidRPr="005A1F62">
        <w:t>,</w:t>
      </w:r>
      <w:r w:rsidR="009B681E" w:rsidRPr="005A1F62">
        <w:t xml:space="preserve"> </w:t>
      </w:r>
      <w:r w:rsidRPr="005A1F62">
        <w:t>–</w:t>
      </w:r>
      <w:r w:rsidR="009B681E" w:rsidRPr="005A1F62">
        <w:t xml:space="preserve"> т</w:t>
      </w:r>
      <w:r w:rsidRPr="005A1F62">
        <w:t>ак называемые</w:t>
      </w:r>
      <w:r w:rsidR="009B681E" w:rsidRPr="005A1F62">
        <w:t xml:space="preserve"> показатели с </w:t>
      </w:r>
      <w:r w:rsidRPr="005A1F62">
        <w:t>«</w:t>
      </w:r>
      <w:r w:rsidR="009B681E" w:rsidRPr="005A1F62">
        <w:t>коротким хвостом»;</w:t>
      </w:r>
    </w:p>
    <w:p w14:paraId="1E8F5D31" w14:textId="57FBB16F" w:rsidR="009B681E" w:rsidRPr="005A1F62" w:rsidRDefault="00ED19A5" w:rsidP="00D44657">
      <w:pPr>
        <w:numPr>
          <w:ilvl w:val="0"/>
          <w:numId w:val="9"/>
        </w:numPr>
        <w:tabs>
          <w:tab w:val="left" w:pos="709"/>
        </w:tabs>
        <w:ind w:left="0" w:firstLine="567"/>
        <w:jc w:val="both"/>
      </w:pPr>
      <w:r w:rsidRPr="005A1F62">
        <w:t>показатели</w:t>
      </w:r>
      <w:r w:rsidR="009B681E" w:rsidRPr="005A1F62">
        <w:t>, итоговая оценка которых базируется на непрерывном анализе динамики в течение сравнительно короткого периода (</w:t>
      </w:r>
      <w:r w:rsidRPr="005A1F62">
        <w:t xml:space="preserve">пять </w:t>
      </w:r>
      <w:r w:rsidR="009B681E" w:rsidRPr="005A1F62">
        <w:t>последовательных месячных дат)</w:t>
      </w:r>
      <w:r w:rsidR="005A5B91" w:rsidRPr="005A1F62">
        <w:t>,</w:t>
      </w:r>
      <w:r w:rsidR="009B681E" w:rsidRPr="005A1F62">
        <w:t xml:space="preserve"> – т</w:t>
      </w:r>
      <w:r w:rsidRPr="005A1F62">
        <w:t xml:space="preserve">ак </w:t>
      </w:r>
      <w:r w:rsidR="009B681E" w:rsidRPr="005A1F62">
        <w:t>н</w:t>
      </w:r>
      <w:r w:rsidRPr="005A1F62">
        <w:t xml:space="preserve">азываемые </w:t>
      </w:r>
      <w:r w:rsidR="009B681E" w:rsidRPr="005A1F62">
        <w:t xml:space="preserve">показатели с </w:t>
      </w:r>
      <w:r w:rsidRPr="005A1F62">
        <w:t>«</w:t>
      </w:r>
      <w:r w:rsidR="009B681E" w:rsidRPr="005A1F62">
        <w:t>непрерывным коротким хвостом».</w:t>
      </w:r>
    </w:p>
    <w:bookmarkEnd w:id="25"/>
    <w:p w14:paraId="3307DB97" w14:textId="463C6F2C" w:rsidR="009B681E" w:rsidRPr="005A1F62" w:rsidRDefault="009B681E" w:rsidP="00DC2FED">
      <w:pPr>
        <w:tabs>
          <w:tab w:val="left" w:pos="709"/>
        </w:tabs>
        <w:jc w:val="both"/>
      </w:pPr>
    </w:p>
    <w:p w14:paraId="6F85B1EE" w14:textId="77777777" w:rsidR="00146990" w:rsidRPr="005A1F62" w:rsidRDefault="00146990" w:rsidP="00146990">
      <w:pPr>
        <w:tabs>
          <w:tab w:val="left" w:pos="709"/>
        </w:tabs>
        <w:ind w:firstLine="567"/>
        <w:jc w:val="both"/>
      </w:pPr>
      <w:r w:rsidRPr="005A1F62">
        <w:rPr>
          <w:b/>
        </w:rPr>
        <w:t>Стандартное распределение весов для показателей с «длинным хвостом» (если анализ проводится по состоянию на квартальную дату)</w:t>
      </w:r>
    </w:p>
    <w:tbl>
      <w:tblPr>
        <w:tblW w:w="78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1310"/>
        <w:gridCol w:w="1310"/>
        <w:gridCol w:w="1309"/>
        <w:gridCol w:w="1310"/>
        <w:gridCol w:w="1310"/>
      </w:tblGrid>
      <w:tr w:rsidR="00146990" w:rsidRPr="005A1F62" w14:paraId="1B402D12" w14:textId="77777777" w:rsidTr="0062539F">
        <w:trPr>
          <w:trHeight w:val="20"/>
          <w:jc w:val="right"/>
        </w:trPr>
        <w:tc>
          <w:tcPr>
            <w:tcW w:w="1309" w:type="dxa"/>
            <w:shd w:val="clear" w:color="auto" w:fill="auto"/>
            <w:noWrap/>
            <w:vAlign w:val="bottom"/>
          </w:tcPr>
          <w:p w14:paraId="7707D7E4" w14:textId="77777777" w:rsidR="00146990" w:rsidRPr="005A1F62" w:rsidRDefault="00146990" w:rsidP="001A1DE3">
            <w:pPr>
              <w:tabs>
                <w:tab w:val="left" w:pos="709"/>
              </w:tabs>
              <w:jc w:val="right"/>
              <w:rPr>
                <w:b/>
                <w:bCs/>
              </w:rPr>
            </w:pPr>
            <w:r w:rsidRPr="005A1F62">
              <w:rPr>
                <w:b/>
                <w:bCs/>
              </w:rPr>
              <w:t>Т-5</w:t>
            </w:r>
          </w:p>
        </w:tc>
        <w:tc>
          <w:tcPr>
            <w:tcW w:w="1310" w:type="dxa"/>
            <w:shd w:val="clear" w:color="auto" w:fill="auto"/>
            <w:noWrap/>
            <w:vAlign w:val="bottom"/>
          </w:tcPr>
          <w:p w14:paraId="02F23D58" w14:textId="77777777" w:rsidR="00146990" w:rsidRPr="005A1F62" w:rsidRDefault="00146990" w:rsidP="001A1DE3">
            <w:pPr>
              <w:tabs>
                <w:tab w:val="left" w:pos="709"/>
              </w:tabs>
              <w:jc w:val="right"/>
              <w:rPr>
                <w:b/>
                <w:bCs/>
              </w:rPr>
            </w:pPr>
            <w:r w:rsidRPr="005A1F62">
              <w:rPr>
                <w:b/>
                <w:bCs/>
              </w:rPr>
              <w:t>Т-4</w:t>
            </w:r>
          </w:p>
        </w:tc>
        <w:tc>
          <w:tcPr>
            <w:tcW w:w="1310" w:type="dxa"/>
            <w:shd w:val="clear" w:color="auto" w:fill="auto"/>
            <w:noWrap/>
            <w:vAlign w:val="bottom"/>
          </w:tcPr>
          <w:p w14:paraId="222801A8" w14:textId="77777777" w:rsidR="00146990" w:rsidRPr="005A1F62" w:rsidRDefault="00146990" w:rsidP="001A1DE3">
            <w:pPr>
              <w:tabs>
                <w:tab w:val="left" w:pos="709"/>
              </w:tabs>
              <w:jc w:val="right"/>
              <w:rPr>
                <w:b/>
                <w:bCs/>
              </w:rPr>
            </w:pPr>
            <w:r w:rsidRPr="005A1F62">
              <w:rPr>
                <w:b/>
                <w:bCs/>
              </w:rPr>
              <w:t>Т-3</w:t>
            </w:r>
          </w:p>
        </w:tc>
        <w:tc>
          <w:tcPr>
            <w:tcW w:w="1309" w:type="dxa"/>
            <w:shd w:val="clear" w:color="auto" w:fill="auto"/>
            <w:noWrap/>
            <w:vAlign w:val="bottom"/>
          </w:tcPr>
          <w:p w14:paraId="73D455B5" w14:textId="77777777" w:rsidR="00146990" w:rsidRPr="005A1F62" w:rsidRDefault="00146990" w:rsidP="001A1DE3">
            <w:pPr>
              <w:tabs>
                <w:tab w:val="left" w:pos="709"/>
              </w:tabs>
              <w:jc w:val="right"/>
              <w:rPr>
                <w:b/>
                <w:bCs/>
              </w:rPr>
            </w:pPr>
            <w:r w:rsidRPr="005A1F62">
              <w:rPr>
                <w:b/>
                <w:bCs/>
              </w:rPr>
              <w:t>Т-2</w:t>
            </w:r>
          </w:p>
        </w:tc>
        <w:tc>
          <w:tcPr>
            <w:tcW w:w="1310" w:type="dxa"/>
            <w:shd w:val="clear" w:color="auto" w:fill="auto"/>
            <w:noWrap/>
            <w:vAlign w:val="bottom"/>
          </w:tcPr>
          <w:p w14:paraId="33E90321" w14:textId="77777777" w:rsidR="00146990" w:rsidRPr="005A1F62" w:rsidRDefault="00146990" w:rsidP="001A1DE3">
            <w:pPr>
              <w:tabs>
                <w:tab w:val="left" w:pos="709"/>
              </w:tabs>
              <w:jc w:val="right"/>
              <w:rPr>
                <w:b/>
                <w:bCs/>
              </w:rPr>
            </w:pPr>
            <w:r w:rsidRPr="005A1F62">
              <w:rPr>
                <w:b/>
                <w:bCs/>
              </w:rPr>
              <w:t>Т-1</w:t>
            </w:r>
          </w:p>
        </w:tc>
        <w:tc>
          <w:tcPr>
            <w:tcW w:w="1310" w:type="dxa"/>
            <w:shd w:val="clear" w:color="auto" w:fill="auto"/>
            <w:noWrap/>
            <w:vAlign w:val="bottom"/>
          </w:tcPr>
          <w:p w14:paraId="0D29E4EE" w14:textId="77777777" w:rsidR="00146990" w:rsidRPr="005A1F62" w:rsidRDefault="00146990" w:rsidP="001A1DE3">
            <w:pPr>
              <w:tabs>
                <w:tab w:val="left" w:pos="709"/>
              </w:tabs>
              <w:jc w:val="right"/>
              <w:rPr>
                <w:b/>
                <w:bCs/>
              </w:rPr>
            </w:pPr>
            <w:r w:rsidRPr="005A1F62">
              <w:rPr>
                <w:b/>
                <w:bCs/>
              </w:rPr>
              <w:t>Т*</w:t>
            </w:r>
          </w:p>
        </w:tc>
      </w:tr>
      <w:tr w:rsidR="00146990" w:rsidRPr="005A1F62" w14:paraId="3EA26E18" w14:textId="77777777" w:rsidTr="0062539F">
        <w:trPr>
          <w:trHeight w:val="20"/>
          <w:jc w:val="right"/>
        </w:trPr>
        <w:tc>
          <w:tcPr>
            <w:tcW w:w="1309" w:type="dxa"/>
            <w:shd w:val="clear" w:color="auto" w:fill="auto"/>
            <w:noWrap/>
            <w:vAlign w:val="bottom"/>
          </w:tcPr>
          <w:p w14:paraId="080DBE45" w14:textId="77777777" w:rsidR="00146990" w:rsidRPr="005A1F62" w:rsidRDefault="00146990" w:rsidP="001A1DE3">
            <w:pPr>
              <w:tabs>
                <w:tab w:val="left" w:pos="709"/>
              </w:tabs>
              <w:jc w:val="right"/>
              <w:rPr>
                <w:bCs/>
                <w:iCs/>
              </w:rPr>
            </w:pPr>
            <w:r w:rsidRPr="005A1F62">
              <w:rPr>
                <w:bCs/>
                <w:iCs/>
              </w:rPr>
              <w:t>0,05</w:t>
            </w:r>
          </w:p>
        </w:tc>
        <w:tc>
          <w:tcPr>
            <w:tcW w:w="1310" w:type="dxa"/>
            <w:shd w:val="clear" w:color="auto" w:fill="auto"/>
            <w:noWrap/>
            <w:vAlign w:val="bottom"/>
          </w:tcPr>
          <w:p w14:paraId="12490F6C" w14:textId="77777777" w:rsidR="00146990" w:rsidRPr="005A1F62" w:rsidRDefault="00146990" w:rsidP="001A1DE3">
            <w:pPr>
              <w:tabs>
                <w:tab w:val="left" w:pos="709"/>
              </w:tabs>
              <w:jc w:val="right"/>
              <w:rPr>
                <w:bCs/>
                <w:iCs/>
              </w:rPr>
            </w:pPr>
            <w:r w:rsidRPr="005A1F62">
              <w:rPr>
                <w:bCs/>
                <w:iCs/>
              </w:rPr>
              <w:t>0,05</w:t>
            </w:r>
          </w:p>
        </w:tc>
        <w:tc>
          <w:tcPr>
            <w:tcW w:w="1310" w:type="dxa"/>
            <w:shd w:val="clear" w:color="auto" w:fill="auto"/>
            <w:noWrap/>
            <w:vAlign w:val="bottom"/>
          </w:tcPr>
          <w:p w14:paraId="17E1581C" w14:textId="77777777" w:rsidR="00146990" w:rsidRPr="005A1F62" w:rsidRDefault="00146990" w:rsidP="001A1DE3">
            <w:pPr>
              <w:tabs>
                <w:tab w:val="left" w:pos="709"/>
              </w:tabs>
              <w:jc w:val="right"/>
              <w:rPr>
                <w:bCs/>
                <w:iCs/>
              </w:rPr>
            </w:pPr>
            <w:r w:rsidRPr="005A1F62">
              <w:rPr>
                <w:bCs/>
                <w:iCs/>
              </w:rPr>
              <w:t>0,1</w:t>
            </w:r>
          </w:p>
        </w:tc>
        <w:tc>
          <w:tcPr>
            <w:tcW w:w="1309" w:type="dxa"/>
            <w:shd w:val="clear" w:color="auto" w:fill="auto"/>
            <w:noWrap/>
            <w:vAlign w:val="bottom"/>
          </w:tcPr>
          <w:p w14:paraId="3AFDF4A7" w14:textId="77777777" w:rsidR="00146990" w:rsidRPr="005A1F62" w:rsidRDefault="00146990" w:rsidP="001A1DE3">
            <w:pPr>
              <w:tabs>
                <w:tab w:val="left" w:pos="709"/>
              </w:tabs>
              <w:jc w:val="right"/>
              <w:rPr>
                <w:bCs/>
                <w:iCs/>
              </w:rPr>
            </w:pPr>
            <w:r w:rsidRPr="005A1F62">
              <w:rPr>
                <w:bCs/>
                <w:iCs/>
              </w:rPr>
              <w:t>0,1</w:t>
            </w:r>
          </w:p>
        </w:tc>
        <w:tc>
          <w:tcPr>
            <w:tcW w:w="1310" w:type="dxa"/>
            <w:shd w:val="clear" w:color="auto" w:fill="auto"/>
            <w:noWrap/>
            <w:vAlign w:val="bottom"/>
          </w:tcPr>
          <w:p w14:paraId="3B9F7346" w14:textId="77777777" w:rsidR="00146990" w:rsidRPr="005A1F62" w:rsidRDefault="00146990" w:rsidP="001A1DE3">
            <w:pPr>
              <w:tabs>
                <w:tab w:val="left" w:pos="709"/>
              </w:tabs>
              <w:jc w:val="right"/>
              <w:rPr>
                <w:bCs/>
                <w:iCs/>
              </w:rPr>
            </w:pPr>
            <w:r w:rsidRPr="005A1F62">
              <w:rPr>
                <w:bCs/>
                <w:iCs/>
              </w:rPr>
              <w:t>0,1</w:t>
            </w:r>
          </w:p>
        </w:tc>
        <w:tc>
          <w:tcPr>
            <w:tcW w:w="1310" w:type="dxa"/>
            <w:shd w:val="clear" w:color="auto" w:fill="auto"/>
            <w:noWrap/>
            <w:vAlign w:val="bottom"/>
          </w:tcPr>
          <w:p w14:paraId="6F161EA4" w14:textId="77777777" w:rsidR="00146990" w:rsidRPr="005A1F62" w:rsidRDefault="00146990" w:rsidP="001A1DE3">
            <w:pPr>
              <w:tabs>
                <w:tab w:val="left" w:pos="709"/>
              </w:tabs>
              <w:jc w:val="right"/>
              <w:rPr>
                <w:bCs/>
                <w:iCs/>
              </w:rPr>
            </w:pPr>
            <w:r w:rsidRPr="005A1F62">
              <w:rPr>
                <w:bCs/>
                <w:iCs/>
              </w:rPr>
              <w:t>0,6</w:t>
            </w:r>
          </w:p>
        </w:tc>
      </w:tr>
    </w:tbl>
    <w:p w14:paraId="78665393" w14:textId="77777777" w:rsidR="00146990" w:rsidRPr="005A1F62" w:rsidRDefault="00146990" w:rsidP="00146990">
      <w:pPr>
        <w:tabs>
          <w:tab w:val="left" w:pos="709"/>
        </w:tabs>
        <w:ind w:firstLine="567"/>
        <w:jc w:val="both"/>
      </w:pPr>
      <w:r w:rsidRPr="005A1F62">
        <w:t>* Т – последняя квартальная дата, Т-1 – предыдущая квартальная дата.</w:t>
      </w:r>
    </w:p>
    <w:p w14:paraId="08A12BD6" w14:textId="77777777" w:rsidR="00146990" w:rsidRPr="005A1F62" w:rsidRDefault="00146990" w:rsidP="00146990">
      <w:pPr>
        <w:tabs>
          <w:tab w:val="left" w:pos="709"/>
        </w:tabs>
        <w:ind w:firstLine="567"/>
        <w:jc w:val="both"/>
      </w:pPr>
    </w:p>
    <w:p w14:paraId="2A1B66EB" w14:textId="77777777" w:rsidR="00146990" w:rsidRPr="005A1F62" w:rsidRDefault="00146990" w:rsidP="00146990">
      <w:pPr>
        <w:tabs>
          <w:tab w:val="left" w:pos="709"/>
        </w:tabs>
        <w:ind w:firstLine="567"/>
        <w:jc w:val="both"/>
        <w:rPr>
          <w:b/>
        </w:rPr>
      </w:pPr>
      <w:r w:rsidRPr="005A1F62">
        <w:rPr>
          <w:b/>
        </w:rPr>
        <w:t>Стандартное распределение весов для показателей с «длинным хвостом» (если анализ проводится по состоянию на внутриквартальную дату)</w:t>
      </w:r>
    </w:p>
    <w:tbl>
      <w:tblPr>
        <w:tblW w:w="798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141"/>
        <w:gridCol w:w="1141"/>
        <w:gridCol w:w="1141"/>
        <w:gridCol w:w="1141"/>
        <w:gridCol w:w="1141"/>
        <w:gridCol w:w="1141"/>
      </w:tblGrid>
      <w:tr w:rsidR="00146990" w:rsidRPr="005A1F62" w14:paraId="616376CA" w14:textId="77777777" w:rsidTr="0062539F">
        <w:trPr>
          <w:trHeight w:val="20"/>
        </w:trPr>
        <w:tc>
          <w:tcPr>
            <w:tcW w:w="1141" w:type="dxa"/>
            <w:shd w:val="clear" w:color="auto" w:fill="auto"/>
            <w:noWrap/>
            <w:vAlign w:val="bottom"/>
          </w:tcPr>
          <w:p w14:paraId="7848055B" w14:textId="77777777" w:rsidR="00146990" w:rsidRPr="005A1F62" w:rsidRDefault="00146990" w:rsidP="001A1DE3">
            <w:pPr>
              <w:tabs>
                <w:tab w:val="left" w:pos="709"/>
              </w:tabs>
              <w:jc w:val="right"/>
              <w:rPr>
                <w:b/>
                <w:bCs/>
              </w:rPr>
            </w:pPr>
            <w:r w:rsidRPr="005A1F62">
              <w:rPr>
                <w:b/>
                <w:bCs/>
              </w:rPr>
              <w:t>Т-5</w:t>
            </w:r>
          </w:p>
        </w:tc>
        <w:tc>
          <w:tcPr>
            <w:tcW w:w="1141" w:type="dxa"/>
            <w:shd w:val="clear" w:color="auto" w:fill="auto"/>
            <w:noWrap/>
            <w:vAlign w:val="bottom"/>
          </w:tcPr>
          <w:p w14:paraId="7E0278E7" w14:textId="77777777" w:rsidR="00146990" w:rsidRPr="005A1F62" w:rsidRDefault="00146990" w:rsidP="001A1DE3">
            <w:pPr>
              <w:tabs>
                <w:tab w:val="left" w:pos="709"/>
              </w:tabs>
              <w:jc w:val="right"/>
              <w:rPr>
                <w:b/>
                <w:bCs/>
              </w:rPr>
            </w:pPr>
            <w:r w:rsidRPr="005A1F62">
              <w:rPr>
                <w:b/>
                <w:bCs/>
              </w:rPr>
              <w:t>Т-4</w:t>
            </w:r>
          </w:p>
        </w:tc>
        <w:tc>
          <w:tcPr>
            <w:tcW w:w="1141" w:type="dxa"/>
            <w:shd w:val="clear" w:color="auto" w:fill="auto"/>
            <w:noWrap/>
            <w:vAlign w:val="bottom"/>
          </w:tcPr>
          <w:p w14:paraId="3FE53812" w14:textId="77777777" w:rsidR="00146990" w:rsidRPr="005A1F62" w:rsidRDefault="00146990" w:rsidP="001A1DE3">
            <w:pPr>
              <w:tabs>
                <w:tab w:val="left" w:pos="709"/>
              </w:tabs>
              <w:jc w:val="right"/>
              <w:rPr>
                <w:b/>
                <w:bCs/>
              </w:rPr>
            </w:pPr>
            <w:r w:rsidRPr="005A1F62">
              <w:rPr>
                <w:b/>
                <w:bCs/>
              </w:rPr>
              <w:t>Т-3</w:t>
            </w:r>
          </w:p>
        </w:tc>
        <w:tc>
          <w:tcPr>
            <w:tcW w:w="1141" w:type="dxa"/>
            <w:shd w:val="clear" w:color="auto" w:fill="auto"/>
            <w:noWrap/>
            <w:vAlign w:val="bottom"/>
          </w:tcPr>
          <w:p w14:paraId="57A4D1A5" w14:textId="77777777" w:rsidR="00146990" w:rsidRPr="005A1F62" w:rsidRDefault="00146990" w:rsidP="001A1DE3">
            <w:pPr>
              <w:tabs>
                <w:tab w:val="left" w:pos="709"/>
              </w:tabs>
              <w:jc w:val="right"/>
              <w:rPr>
                <w:b/>
                <w:bCs/>
              </w:rPr>
            </w:pPr>
            <w:r w:rsidRPr="005A1F62">
              <w:rPr>
                <w:b/>
                <w:bCs/>
              </w:rPr>
              <w:t>Т-2</w:t>
            </w:r>
          </w:p>
        </w:tc>
        <w:tc>
          <w:tcPr>
            <w:tcW w:w="1141" w:type="dxa"/>
            <w:shd w:val="clear" w:color="auto" w:fill="auto"/>
            <w:noWrap/>
            <w:vAlign w:val="bottom"/>
          </w:tcPr>
          <w:p w14:paraId="690B8F3D" w14:textId="77777777" w:rsidR="00146990" w:rsidRPr="005A1F62" w:rsidRDefault="00146990" w:rsidP="001A1DE3">
            <w:pPr>
              <w:tabs>
                <w:tab w:val="left" w:pos="709"/>
              </w:tabs>
              <w:jc w:val="right"/>
              <w:rPr>
                <w:b/>
                <w:bCs/>
              </w:rPr>
            </w:pPr>
            <w:r w:rsidRPr="005A1F62">
              <w:rPr>
                <w:b/>
                <w:bCs/>
              </w:rPr>
              <w:t>Т-1</w:t>
            </w:r>
          </w:p>
        </w:tc>
        <w:tc>
          <w:tcPr>
            <w:tcW w:w="1141" w:type="dxa"/>
            <w:shd w:val="clear" w:color="auto" w:fill="auto"/>
            <w:noWrap/>
            <w:vAlign w:val="bottom"/>
          </w:tcPr>
          <w:p w14:paraId="7B83115D" w14:textId="77777777" w:rsidR="00146990" w:rsidRPr="005A1F62" w:rsidRDefault="00146990" w:rsidP="001A1DE3">
            <w:pPr>
              <w:tabs>
                <w:tab w:val="left" w:pos="709"/>
              </w:tabs>
              <w:jc w:val="right"/>
              <w:rPr>
                <w:b/>
                <w:bCs/>
                <w:lang w:val="en-US"/>
              </w:rPr>
            </w:pPr>
            <w:r w:rsidRPr="005A1F62">
              <w:rPr>
                <w:b/>
                <w:bCs/>
              </w:rPr>
              <w:t>Т</w:t>
            </w:r>
          </w:p>
        </w:tc>
        <w:tc>
          <w:tcPr>
            <w:tcW w:w="1141" w:type="dxa"/>
            <w:shd w:val="clear" w:color="auto" w:fill="auto"/>
            <w:vAlign w:val="bottom"/>
          </w:tcPr>
          <w:p w14:paraId="6E3E26CD" w14:textId="77777777" w:rsidR="00146990" w:rsidRPr="005A1F62" w:rsidRDefault="00146990" w:rsidP="001A1DE3">
            <w:pPr>
              <w:tabs>
                <w:tab w:val="left" w:pos="709"/>
              </w:tabs>
              <w:jc w:val="right"/>
              <w:rPr>
                <w:b/>
                <w:bCs/>
                <w:lang w:val="en-US"/>
              </w:rPr>
            </w:pPr>
            <w:r w:rsidRPr="005A1F62">
              <w:rPr>
                <w:b/>
                <w:bCs/>
                <w:lang w:val="en-US"/>
              </w:rPr>
              <w:t>N*</w:t>
            </w:r>
          </w:p>
        </w:tc>
      </w:tr>
      <w:tr w:rsidR="00146990" w:rsidRPr="005A1F62" w14:paraId="0A8ACF03" w14:textId="77777777" w:rsidTr="0062539F">
        <w:trPr>
          <w:trHeight w:val="20"/>
        </w:trPr>
        <w:tc>
          <w:tcPr>
            <w:tcW w:w="1141" w:type="dxa"/>
            <w:shd w:val="clear" w:color="auto" w:fill="auto"/>
            <w:noWrap/>
            <w:vAlign w:val="bottom"/>
          </w:tcPr>
          <w:p w14:paraId="3FD10803" w14:textId="77777777" w:rsidR="00146990" w:rsidRPr="005A1F62" w:rsidRDefault="00146990" w:rsidP="001A1DE3">
            <w:pPr>
              <w:tabs>
                <w:tab w:val="left" w:pos="709"/>
              </w:tabs>
              <w:jc w:val="right"/>
              <w:rPr>
                <w:bCs/>
                <w:iCs/>
              </w:rPr>
            </w:pPr>
            <w:r w:rsidRPr="005A1F62">
              <w:rPr>
                <w:bCs/>
                <w:iCs/>
              </w:rPr>
              <w:t>0,05</w:t>
            </w:r>
          </w:p>
        </w:tc>
        <w:tc>
          <w:tcPr>
            <w:tcW w:w="1141" w:type="dxa"/>
            <w:shd w:val="clear" w:color="auto" w:fill="auto"/>
            <w:noWrap/>
            <w:vAlign w:val="bottom"/>
          </w:tcPr>
          <w:p w14:paraId="512D32C1" w14:textId="77777777" w:rsidR="00146990" w:rsidRPr="005A1F62" w:rsidRDefault="00146990" w:rsidP="001A1DE3">
            <w:pPr>
              <w:tabs>
                <w:tab w:val="left" w:pos="709"/>
              </w:tabs>
              <w:jc w:val="right"/>
              <w:rPr>
                <w:bCs/>
                <w:iCs/>
              </w:rPr>
            </w:pPr>
            <w:r w:rsidRPr="005A1F62">
              <w:rPr>
                <w:bCs/>
                <w:iCs/>
              </w:rPr>
              <w:t>0,05</w:t>
            </w:r>
          </w:p>
        </w:tc>
        <w:tc>
          <w:tcPr>
            <w:tcW w:w="1141" w:type="dxa"/>
            <w:shd w:val="clear" w:color="auto" w:fill="auto"/>
            <w:noWrap/>
            <w:vAlign w:val="bottom"/>
          </w:tcPr>
          <w:p w14:paraId="4E0103E2" w14:textId="77777777" w:rsidR="00146990" w:rsidRPr="005A1F62" w:rsidRDefault="00146990" w:rsidP="001A1DE3">
            <w:pPr>
              <w:tabs>
                <w:tab w:val="left" w:pos="709"/>
              </w:tabs>
              <w:jc w:val="right"/>
              <w:rPr>
                <w:bCs/>
                <w:iCs/>
              </w:rPr>
            </w:pPr>
            <w:r w:rsidRPr="005A1F62">
              <w:rPr>
                <w:bCs/>
                <w:iCs/>
              </w:rPr>
              <w:t>0,1</w:t>
            </w:r>
          </w:p>
        </w:tc>
        <w:tc>
          <w:tcPr>
            <w:tcW w:w="1141" w:type="dxa"/>
            <w:shd w:val="clear" w:color="auto" w:fill="auto"/>
            <w:noWrap/>
            <w:vAlign w:val="bottom"/>
          </w:tcPr>
          <w:p w14:paraId="17FED2EA" w14:textId="77777777" w:rsidR="00146990" w:rsidRPr="005A1F62" w:rsidRDefault="00146990" w:rsidP="001A1DE3">
            <w:pPr>
              <w:tabs>
                <w:tab w:val="left" w:pos="709"/>
              </w:tabs>
              <w:jc w:val="right"/>
              <w:rPr>
                <w:bCs/>
                <w:iCs/>
              </w:rPr>
            </w:pPr>
            <w:r w:rsidRPr="005A1F62">
              <w:rPr>
                <w:bCs/>
                <w:iCs/>
              </w:rPr>
              <w:t>0,1</w:t>
            </w:r>
          </w:p>
        </w:tc>
        <w:tc>
          <w:tcPr>
            <w:tcW w:w="1141" w:type="dxa"/>
            <w:shd w:val="clear" w:color="auto" w:fill="auto"/>
            <w:noWrap/>
            <w:vAlign w:val="bottom"/>
          </w:tcPr>
          <w:p w14:paraId="25EE1E5F" w14:textId="77777777" w:rsidR="00146990" w:rsidRPr="005A1F62" w:rsidRDefault="00146990" w:rsidP="001A1DE3">
            <w:pPr>
              <w:tabs>
                <w:tab w:val="left" w:pos="709"/>
              </w:tabs>
              <w:jc w:val="right"/>
              <w:rPr>
                <w:bCs/>
                <w:iCs/>
              </w:rPr>
            </w:pPr>
            <w:r w:rsidRPr="005A1F62">
              <w:rPr>
                <w:bCs/>
                <w:iCs/>
              </w:rPr>
              <w:t>0,1</w:t>
            </w:r>
          </w:p>
        </w:tc>
        <w:tc>
          <w:tcPr>
            <w:tcW w:w="1141" w:type="dxa"/>
            <w:shd w:val="clear" w:color="auto" w:fill="auto"/>
            <w:noWrap/>
            <w:vAlign w:val="bottom"/>
          </w:tcPr>
          <w:p w14:paraId="3B0FE14D" w14:textId="77777777" w:rsidR="00146990" w:rsidRPr="005A1F62" w:rsidRDefault="00146990" w:rsidP="001A1DE3">
            <w:pPr>
              <w:tabs>
                <w:tab w:val="left" w:pos="709"/>
              </w:tabs>
              <w:jc w:val="right"/>
              <w:rPr>
                <w:bCs/>
                <w:iCs/>
              </w:rPr>
            </w:pPr>
            <w:r w:rsidRPr="005A1F62">
              <w:rPr>
                <w:bCs/>
                <w:iCs/>
              </w:rPr>
              <w:t>0,2</w:t>
            </w:r>
          </w:p>
        </w:tc>
        <w:tc>
          <w:tcPr>
            <w:tcW w:w="1141" w:type="dxa"/>
            <w:shd w:val="clear" w:color="auto" w:fill="auto"/>
            <w:vAlign w:val="bottom"/>
          </w:tcPr>
          <w:p w14:paraId="6B43290D" w14:textId="77777777" w:rsidR="00146990" w:rsidRPr="005A1F62" w:rsidRDefault="00146990" w:rsidP="001A1DE3">
            <w:pPr>
              <w:tabs>
                <w:tab w:val="left" w:pos="709"/>
              </w:tabs>
              <w:jc w:val="right"/>
              <w:rPr>
                <w:bCs/>
                <w:iCs/>
              </w:rPr>
            </w:pPr>
            <w:r w:rsidRPr="005A1F62">
              <w:rPr>
                <w:bCs/>
                <w:iCs/>
              </w:rPr>
              <w:t>0,4</w:t>
            </w:r>
          </w:p>
        </w:tc>
      </w:tr>
    </w:tbl>
    <w:p w14:paraId="0A34602A" w14:textId="77777777" w:rsidR="00146990" w:rsidRPr="005A1F62" w:rsidRDefault="00146990" w:rsidP="00146990">
      <w:pPr>
        <w:tabs>
          <w:tab w:val="left" w:pos="709"/>
        </w:tabs>
        <w:ind w:firstLine="567"/>
        <w:jc w:val="both"/>
      </w:pPr>
      <w:r w:rsidRPr="005A1F62">
        <w:t xml:space="preserve">* </w:t>
      </w:r>
      <w:r w:rsidRPr="005A1F62">
        <w:rPr>
          <w:lang w:val="en-US"/>
        </w:rPr>
        <w:t>N</w:t>
      </w:r>
      <w:r w:rsidRPr="005A1F62">
        <w:t xml:space="preserve"> – последняя месячная дата, Т – последняя квартальная дата, Т-1 – предыдущая квартальная дата.</w:t>
      </w:r>
    </w:p>
    <w:p w14:paraId="1659D5F8" w14:textId="77777777" w:rsidR="00146990" w:rsidRPr="005A1F62" w:rsidRDefault="00146990" w:rsidP="00146990">
      <w:pPr>
        <w:tabs>
          <w:tab w:val="left" w:pos="709"/>
        </w:tabs>
        <w:jc w:val="both"/>
      </w:pPr>
    </w:p>
    <w:p w14:paraId="0F72531A" w14:textId="77777777" w:rsidR="00146990" w:rsidRPr="005A1F62" w:rsidRDefault="00146990" w:rsidP="00146990">
      <w:pPr>
        <w:tabs>
          <w:tab w:val="left" w:pos="709"/>
        </w:tabs>
        <w:ind w:firstLine="567"/>
        <w:jc w:val="both"/>
      </w:pPr>
      <w:r w:rsidRPr="005A1F62">
        <w:rPr>
          <w:b/>
        </w:rPr>
        <w:t>Стандартное распределение весов для показателей с «коротким хвостом» (если анализ проводится по состоянию на квартальную дату)</w:t>
      </w:r>
    </w:p>
    <w:tbl>
      <w:tblPr>
        <w:tblW w:w="2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416"/>
      </w:tblGrid>
      <w:tr w:rsidR="00146990" w:rsidRPr="005A1F62" w14:paraId="564E5C02" w14:textId="77777777" w:rsidTr="0062539F">
        <w:trPr>
          <w:trHeight w:val="20"/>
          <w:jc w:val="right"/>
        </w:trPr>
        <w:tc>
          <w:tcPr>
            <w:tcW w:w="1416" w:type="dxa"/>
            <w:shd w:val="clear" w:color="auto" w:fill="auto"/>
            <w:noWrap/>
            <w:vAlign w:val="bottom"/>
          </w:tcPr>
          <w:p w14:paraId="2FEAD547" w14:textId="77777777" w:rsidR="00146990" w:rsidRPr="005A1F62" w:rsidRDefault="00146990" w:rsidP="001A1DE3">
            <w:pPr>
              <w:tabs>
                <w:tab w:val="left" w:pos="709"/>
              </w:tabs>
              <w:jc w:val="right"/>
              <w:rPr>
                <w:b/>
                <w:bCs/>
              </w:rPr>
            </w:pPr>
            <w:r w:rsidRPr="005A1F62">
              <w:rPr>
                <w:b/>
                <w:bCs/>
              </w:rPr>
              <w:t>Т-1</w:t>
            </w:r>
          </w:p>
        </w:tc>
        <w:tc>
          <w:tcPr>
            <w:tcW w:w="1416" w:type="dxa"/>
            <w:shd w:val="clear" w:color="auto" w:fill="auto"/>
            <w:noWrap/>
            <w:vAlign w:val="bottom"/>
          </w:tcPr>
          <w:p w14:paraId="5F04CD8C" w14:textId="77777777" w:rsidR="00146990" w:rsidRPr="005A1F62" w:rsidRDefault="00146990" w:rsidP="001A1DE3">
            <w:pPr>
              <w:tabs>
                <w:tab w:val="left" w:pos="709"/>
              </w:tabs>
              <w:jc w:val="right"/>
              <w:rPr>
                <w:b/>
                <w:bCs/>
              </w:rPr>
            </w:pPr>
            <w:r w:rsidRPr="005A1F62">
              <w:rPr>
                <w:b/>
                <w:bCs/>
              </w:rPr>
              <w:t>Т*</w:t>
            </w:r>
          </w:p>
        </w:tc>
      </w:tr>
      <w:tr w:rsidR="00146990" w:rsidRPr="005A1F62" w14:paraId="16E16ED4" w14:textId="77777777" w:rsidTr="0062539F">
        <w:trPr>
          <w:trHeight w:val="20"/>
          <w:jc w:val="right"/>
        </w:trPr>
        <w:tc>
          <w:tcPr>
            <w:tcW w:w="1416" w:type="dxa"/>
            <w:shd w:val="clear" w:color="auto" w:fill="auto"/>
            <w:noWrap/>
            <w:vAlign w:val="bottom"/>
          </w:tcPr>
          <w:p w14:paraId="172CA500" w14:textId="77777777" w:rsidR="00146990" w:rsidRPr="005A1F62" w:rsidRDefault="00146990" w:rsidP="001A1DE3">
            <w:pPr>
              <w:tabs>
                <w:tab w:val="left" w:pos="709"/>
              </w:tabs>
              <w:jc w:val="right"/>
              <w:rPr>
                <w:bCs/>
                <w:iCs/>
              </w:rPr>
            </w:pPr>
            <w:r w:rsidRPr="005A1F62">
              <w:rPr>
                <w:bCs/>
                <w:iCs/>
              </w:rPr>
              <w:t>0,3</w:t>
            </w:r>
          </w:p>
        </w:tc>
        <w:tc>
          <w:tcPr>
            <w:tcW w:w="1416" w:type="dxa"/>
            <w:shd w:val="clear" w:color="auto" w:fill="auto"/>
            <w:noWrap/>
            <w:vAlign w:val="bottom"/>
          </w:tcPr>
          <w:p w14:paraId="26C2B689" w14:textId="77777777" w:rsidR="00146990" w:rsidRPr="005A1F62" w:rsidRDefault="00146990" w:rsidP="001A1DE3">
            <w:pPr>
              <w:tabs>
                <w:tab w:val="left" w:pos="709"/>
              </w:tabs>
              <w:jc w:val="right"/>
              <w:rPr>
                <w:bCs/>
                <w:iCs/>
                <w:lang w:val="en-US"/>
              </w:rPr>
            </w:pPr>
            <w:r w:rsidRPr="005A1F62">
              <w:rPr>
                <w:bCs/>
                <w:iCs/>
                <w:lang w:val="en-US"/>
              </w:rPr>
              <w:t>0,7</w:t>
            </w:r>
          </w:p>
        </w:tc>
      </w:tr>
    </w:tbl>
    <w:p w14:paraId="61657250" w14:textId="77777777" w:rsidR="00146990" w:rsidRPr="005A1F62" w:rsidRDefault="00146990" w:rsidP="00146990">
      <w:pPr>
        <w:tabs>
          <w:tab w:val="left" w:pos="709"/>
        </w:tabs>
        <w:ind w:firstLine="567"/>
        <w:jc w:val="both"/>
      </w:pPr>
      <w:r w:rsidRPr="005A1F62">
        <w:t>* Т – последняя квартальная дата, Т-1 – предыдущая квартальная дата.</w:t>
      </w:r>
    </w:p>
    <w:p w14:paraId="0BDF42DA" w14:textId="77777777" w:rsidR="00146990" w:rsidRPr="005A1F62" w:rsidRDefault="00146990" w:rsidP="00146990">
      <w:pPr>
        <w:tabs>
          <w:tab w:val="left" w:pos="709"/>
        </w:tabs>
        <w:ind w:firstLine="567"/>
        <w:jc w:val="both"/>
      </w:pPr>
    </w:p>
    <w:p w14:paraId="0F146C3B" w14:textId="7AC09E9B" w:rsidR="00146990" w:rsidRPr="005A1F62" w:rsidRDefault="00146990" w:rsidP="00146990">
      <w:pPr>
        <w:tabs>
          <w:tab w:val="left" w:pos="709"/>
        </w:tabs>
        <w:ind w:firstLine="567"/>
        <w:jc w:val="both"/>
      </w:pPr>
      <w:r w:rsidRPr="005A1F62">
        <w:rPr>
          <w:b/>
        </w:rPr>
        <w:t>Стандартное распределение весов для показателей с «коротким хвостом» (если ан</w:t>
      </w:r>
      <w:r w:rsidR="001A7EA1" w:rsidRPr="005A1F62">
        <w:rPr>
          <w:b/>
        </w:rPr>
        <w:t>ализ проводится по состоянию на внутри</w:t>
      </w:r>
      <w:r w:rsidRPr="005A1F62">
        <w:rPr>
          <w:b/>
        </w:rPr>
        <w:t>квартальную дату)</w:t>
      </w:r>
    </w:p>
    <w:tbl>
      <w:tblPr>
        <w:tblW w:w="44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1469"/>
        <w:gridCol w:w="1470"/>
      </w:tblGrid>
      <w:tr w:rsidR="00146990" w:rsidRPr="005A1F62" w14:paraId="6D197A6D" w14:textId="77777777" w:rsidTr="0062539F">
        <w:trPr>
          <w:trHeight w:val="20"/>
          <w:jc w:val="right"/>
        </w:trPr>
        <w:tc>
          <w:tcPr>
            <w:tcW w:w="1469" w:type="dxa"/>
            <w:shd w:val="clear" w:color="auto" w:fill="auto"/>
            <w:noWrap/>
            <w:vAlign w:val="bottom"/>
          </w:tcPr>
          <w:p w14:paraId="1D88CE68" w14:textId="77777777" w:rsidR="00146990" w:rsidRPr="005A1F62" w:rsidRDefault="00146990" w:rsidP="001A1DE3">
            <w:pPr>
              <w:tabs>
                <w:tab w:val="left" w:pos="709"/>
              </w:tabs>
              <w:jc w:val="right"/>
              <w:rPr>
                <w:b/>
                <w:bCs/>
              </w:rPr>
            </w:pPr>
            <w:r w:rsidRPr="005A1F62">
              <w:rPr>
                <w:b/>
                <w:bCs/>
              </w:rPr>
              <w:t>Т-1</w:t>
            </w:r>
          </w:p>
        </w:tc>
        <w:tc>
          <w:tcPr>
            <w:tcW w:w="1469" w:type="dxa"/>
            <w:shd w:val="clear" w:color="auto" w:fill="auto"/>
            <w:noWrap/>
            <w:vAlign w:val="bottom"/>
          </w:tcPr>
          <w:p w14:paraId="24631D63" w14:textId="77777777" w:rsidR="00146990" w:rsidRPr="005A1F62" w:rsidRDefault="00146990" w:rsidP="001A1DE3">
            <w:pPr>
              <w:tabs>
                <w:tab w:val="left" w:pos="709"/>
              </w:tabs>
              <w:jc w:val="right"/>
              <w:rPr>
                <w:b/>
                <w:bCs/>
              </w:rPr>
            </w:pPr>
            <w:r w:rsidRPr="005A1F62">
              <w:rPr>
                <w:b/>
                <w:bCs/>
              </w:rPr>
              <w:t>Т</w:t>
            </w:r>
          </w:p>
        </w:tc>
        <w:tc>
          <w:tcPr>
            <w:tcW w:w="1470" w:type="dxa"/>
            <w:shd w:val="clear" w:color="auto" w:fill="auto"/>
          </w:tcPr>
          <w:p w14:paraId="096B1BE3" w14:textId="77777777" w:rsidR="00146990" w:rsidRPr="005A1F62" w:rsidRDefault="00146990" w:rsidP="001A1DE3">
            <w:pPr>
              <w:tabs>
                <w:tab w:val="left" w:pos="709"/>
              </w:tabs>
              <w:jc w:val="right"/>
              <w:rPr>
                <w:b/>
                <w:bCs/>
              </w:rPr>
            </w:pPr>
            <w:r w:rsidRPr="005A1F62">
              <w:rPr>
                <w:b/>
                <w:bCs/>
                <w:lang w:val="en-US"/>
              </w:rPr>
              <w:t>N*</w:t>
            </w:r>
          </w:p>
        </w:tc>
      </w:tr>
      <w:tr w:rsidR="00146990" w:rsidRPr="005A1F62" w14:paraId="01705BB9" w14:textId="77777777" w:rsidTr="0062539F">
        <w:trPr>
          <w:trHeight w:val="20"/>
          <w:jc w:val="right"/>
        </w:trPr>
        <w:tc>
          <w:tcPr>
            <w:tcW w:w="1469" w:type="dxa"/>
            <w:shd w:val="clear" w:color="auto" w:fill="auto"/>
            <w:noWrap/>
            <w:vAlign w:val="bottom"/>
          </w:tcPr>
          <w:p w14:paraId="057A92D3" w14:textId="77777777" w:rsidR="00146990" w:rsidRPr="005A1F62" w:rsidRDefault="00146990" w:rsidP="001A1DE3">
            <w:pPr>
              <w:tabs>
                <w:tab w:val="left" w:pos="709"/>
              </w:tabs>
              <w:jc w:val="right"/>
              <w:rPr>
                <w:bCs/>
                <w:iCs/>
              </w:rPr>
            </w:pPr>
            <w:r w:rsidRPr="005A1F62">
              <w:rPr>
                <w:bCs/>
                <w:iCs/>
              </w:rPr>
              <w:t>0,3</w:t>
            </w:r>
          </w:p>
        </w:tc>
        <w:tc>
          <w:tcPr>
            <w:tcW w:w="1469" w:type="dxa"/>
            <w:shd w:val="clear" w:color="auto" w:fill="auto"/>
            <w:noWrap/>
            <w:vAlign w:val="bottom"/>
          </w:tcPr>
          <w:p w14:paraId="4A5F596E" w14:textId="77777777" w:rsidR="00146990" w:rsidRPr="005A1F62" w:rsidRDefault="00146990" w:rsidP="001A1DE3">
            <w:pPr>
              <w:tabs>
                <w:tab w:val="left" w:pos="709"/>
              </w:tabs>
              <w:jc w:val="right"/>
              <w:rPr>
                <w:bCs/>
                <w:iCs/>
              </w:rPr>
            </w:pPr>
            <w:r w:rsidRPr="005A1F62">
              <w:rPr>
                <w:bCs/>
                <w:iCs/>
              </w:rPr>
              <w:t>0,3</w:t>
            </w:r>
          </w:p>
        </w:tc>
        <w:tc>
          <w:tcPr>
            <w:tcW w:w="1470" w:type="dxa"/>
            <w:shd w:val="clear" w:color="auto" w:fill="auto"/>
            <w:vAlign w:val="bottom"/>
          </w:tcPr>
          <w:p w14:paraId="46F6B451" w14:textId="77777777" w:rsidR="00146990" w:rsidRPr="005A1F62" w:rsidRDefault="00146990" w:rsidP="001A1DE3">
            <w:pPr>
              <w:tabs>
                <w:tab w:val="left" w:pos="709"/>
              </w:tabs>
              <w:jc w:val="right"/>
              <w:rPr>
                <w:bCs/>
                <w:iCs/>
              </w:rPr>
            </w:pPr>
            <w:r w:rsidRPr="005A1F62">
              <w:rPr>
                <w:bCs/>
                <w:iCs/>
              </w:rPr>
              <w:t>0,4</w:t>
            </w:r>
          </w:p>
        </w:tc>
      </w:tr>
    </w:tbl>
    <w:p w14:paraId="4E7B88F2" w14:textId="77777777" w:rsidR="00146990" w:rsidRPr="005A1F62" w:rsidRDefault="00146990" w:rsidP="00146990">
      <w:pPr>
        <w:tabs>
          <w:tab w:val="left" w:pos="709"/>
        </w:tabs>
        <w:ind w:firstLine="567"/>
        <w:jc w:val="both"/>
      </w:pPr>
      <w:r w:rsidRPr="005A1F62">
        <w:t xml:space="preserve">* </w:t>
      </w:r>
      <w:r w:rsidRPr="005A1F62">
        <w:rPr>
          <w:lang w:val="en-US"/>
        </w:rPr>
        <w:t>N</w:t>
      </w:r>
      <w:r w:rsidRPr="005A1F62">
        <w:t xml:space="preserve"> – последняя месячная дата, Т – последняя квартальная дата, Т-1 – предыдущая квартальная дата.</w:t>
      </w:r>
    </w:p>
    <w:p w14:paraId="7441835B" w14:textId="77777777" w:rsidR="00146990" w:rsidRPr="005A1F62" w:rsidRDefault="00146990" w:rsidP="00146990">
      <w:pPr>
        <w:tabs>
          <w:tab w:val="left" w:pos="709"/>
        </w:tabs>
        <w:ind w:firstLine="567"/>
        <w:jc w:val="both"/>
      </w:pPr>
    </w:p>
    <w:p w14:paraId="10591E64" w14:textId="77777777" w:rsidR="00146990" w:rsidRPr="005A1F62" w:rsidRDefault="00146990" w:rsidP="00146990">
      <w:pPr>
        <w:tabs>
          <w:tab w:val="left" w:pos="709"/>
        </w:tabs>
        <w:ind w:firstLine="567"/>
        <w:jc w:val="both"/>
      </w:pPr>
      <w:r w:rsidRPr="005A1F62">
        <w:rPr>
          <w:b/>
        </w:rPr>
        <w:t>Стандартное распределение весов для показателей с «непрерывным коротким хвостом»</w:t>
      </w:r>
    </w:p>
    <w:tbl>
      <w:tblPr>
        <w:tblW w:w="65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1312"/>
        <w:gridCol w:w="1313"/>
        <w:gridCol w:w="1312"/>
        <w:gridCol w:w="1313"/>
      </w:tblGrid>
      <w:tr w:rsidR="00146990" w:rsidRPr="005A1F62" w14:paraId="5AEE3250" w14:textId="77777777" w:rsidTr="0062539F">
        <w:trPr>
          <w:trHeight w:val="20"/>
          <w:jc w:val="right"/>
        </w:trPr>
        <w:tc>
          <w:tcPr>
            <w:tcW w:w="1312" w:type="dxa"/>
            <w:shd w:val="clear" w:color="auto" w:fill="auto"/>
            <w:noWrap/>
            <w:vAlign w:val="bottom"/>
          </w:tcPr>
          <w:p w14:paraId="45EF9E32" w14:textId="77777777" w:rsidR="00146990" w:rsidRPr="005A1F62" w:rsidRDefault="00146990" w:rsidP="001A1DE3">
            <w:pPr>
              <w:tabs>
                <w:tab w:val="left" w:pos="709"/>
              </w:tabs>
              <w:jc w:val="right"/>
              <w:rPr>
                <w:b/>
                <w:bCs/>
              </w:rPr>
            </w:pPr>
            <w:r w:rsidRPr="005A1F62">
              <w:rPr>
                <w:b/>
                <w:bCs/>
                <w:lang w:val="en-US"/>
              </w:rPr>
              <w:t>N</w:t>
            </w:r>
            <w:r w:rsidRPr="005A1F62">
              <w:rPr>
                <w:b/>
                <w:bCs/>
              </w:rPr>
              <w:t>-4</w:t>
            </w:r>
          </w:p>
        </w:tc>
        <w:tc>
          <w:tcPr>
            <w:tcW w:w="1312" w:type="dxa"/>
            <w:shd w:val="clear" w:color="auto" w:fill="auto"/>
            <w:noWrap/>
            <w:vAlign w:val="bottom"/>
          </w:tcPr>
          <w:p w14:paraId="1494C307" w14:textId="77777777" w:rsidR="00146990" w:rsidRPr="005A1F62" w:rsidRDefault="00146990" w:rsidP="001A1DE3">
            <w:pPr>
              <w:tabs>
                <w:tab w:val="left" w:pos="709"/>
              </w:tabs>
              <w:jc w:val="right"/>
              <w:rPr>
                <w:b/>
                <w:bCs/>
              </w:rPr>
            </w:pPr>
            <w:r w:rsidRPr="005A1F62">
              <w:rPr>
                <w:b/>
                <w:bCs/>
                <w:lang w:val="en-US"/>
              </w:rPr>
              <w:t>N</w:t>
            </w:r>
            <w:r w:rsidRPr="005A1F62">
              <w:rPr>
                <w:b/>
                <w:bCs/>
              </w:rPr>
              <w:t>-3</w:t>
            </w:r>
          </w:p>
        </w:tc>
        <w:tc>
          <w:tcPr>
            <w:tcW w:w="1313" w:type="dxa"/>
            <w:shd w:val="clear" w:color="auto" w:fill="auto"/>
            <w:noWrap/>
            <w:vAlign w:val="bottom"/>
          </w:tcPr>
          <w:p w14:paraId="2A0A955F" w14:textId="77777777" w:rsidR="00146990" w:rsidRPr="005A1F62" w:rsidRDefault="00146990" w:rsidP="001A1DE3">
            <w:pPr>
              <w:tabs>
                <w:tab w:val="left" w:pos="709"/>
              </w:tabs>
              <w:jc w:val="right"/>
              <w:rPr>
                <w:b/>
                <w:bCs/>
              </w:rPr>
            </w:pPr>
            <w:r w:rsidRPr="005A1F62">
              <w:rPr>
                <w:b/>
                <w:bCs/>
                <w:lang w:val="en-US"/>
              </w:rPr>
              <w:t>N</w:t>
            </w:r>
            <w:r w:rsidRPr="005A1F62">
              <w:rPr>
                <w:b/>
                <w:bCs/>
              </w:rPr>
              <w:t>-2</w:t>
            </w:r>
          </w:p>
        </w:tc>
        <w:tc>
          <w:tcPr>
            <w:tcW w:w="1312" w:type="dxa"/>
            <w:shd w:val="clear" w:color="auto" w:fill="auto"/>
            <w:noWrap/>
            <w:vAlign w:val="bottom"/>
          </w:tcPr>
          <w:p w14:paraId="73112F55" w14:textId="77777777" w:rsidR="00146990" w:rsidRPr="005A1F62" w:rsidRDefault="00146990" w:rsidP="001A1DE3">
            <w:pPr>
              <w:tabs>
                <w:tab w:val="left" w:pos="709"/>
              </w:tabs>
              <w:jc w:val="right"/>
              <w:rPr>
                <w:b/>
                <w:bCs/>
              </w:rPr>
            </w:pPr>
            <w:r w:rsidRPr="005A1F62">
              <w:rPr>
                <w:b/>
                <w:bCs/>
                <w:lang w:val="en-US"/>
              </w:rPr>
              <w:t>N</w:t>
            </w:r>
            <w:r w:rsidRPr="005A1F62">
              <w:rPr>
                <w:b/>
                <w:bCs/>
              </w:rPr>
              <w:t>-1</w:t>
            </w:r>
          </w:p>
        </w:tc>
        <w:tc>
          <w:tcPr>
            <w:tcW w:w="1313" w:type="dxa"/>
            <w:shd w:val="clear" w:color="auto" w:fill="auto"/>
            <w:noWrap/>
            <w:vAlign w:val="bottom"/>
          </w:tcPr>
          <w:p w14:paraId="7551B734" w14:textId="77777777" w:rsidR="00146990" w:rsidRPr="005A1F62" w:rsidRDefault="00146990" w:rsidP="001A1DE3">
            <w:pPr>
              <w:tabs>
                <w:tab w:val="left" w:pos="709"/>
              </w:tabs>
              <w:jc w:val="right"/>
              <w:rPr>
                <w:b/>
                <w:bCs/>
              </w:rPr>
            </w:pPr>
            <w:r w:rsidRPr="005A1F62">
              <w:rPr>
                <w:b/>
                <w:bCs/>
                <w:lang w:val="en-US"/>
              </w:rPr>
              <w:t>N</w:t>
            </w:r>
            <w:r w:rsidRPr="005A1F62">
              <w:rPr>
                <w:b/>
                <w:bCs/>
              </w:rPr>
              <w:t>*</w:t>
            </w:r>
          </w:p>
        </w:tc>
      </w:tr>
      <w:tr w:rsidR="00146990" w:rsidRPr="005A1F62" w14:paraId="121C1B34" w14:textId="77777777" w:rsidTr="0062539F">
        <w:trPr>
          <w:trHeight w:val="20"/>
          <w:jc w:val="right"/>
        </w:trPr>
        <w:tc>
          <w:tcPr>
            <w:tcW w:w="1312" w:type="dxa"/>
            <w:shd w:val="clear" w:color="auto" w:fill="auto"/>
            <w:noWrap/>
            <w:vAlign w:val="bottom"/>
          </w:tcPr>
          <w:p w14:paraId="7F0CFA9B" w14:textId="77777777" w:rsidR="00146990" w:rsidRPr="005A1F62" w:rsidRDefault="00146990" w:rsidP="001A1DE3">
            <w:pPr>
              <w:tabs>
                <w:tab w:val="left" w:pos="709"/>
              </w:tabs>
              <w:jc w:val="right"/>
              <w:rPr>
                <w:bCs/>
                <w:iCs/>
              </w:rPr>
            </w:pPr>
            <w:r w:rsidRPr="005A1F62">
              <w:rPr>
                <w:bCs/>
                <w:iCs/>
              </w:rPr>
              <w:t>0,1</w:t>
            </w:r>
          </w:p>
        </w:tc>
        <w:tc>
          <w:tcPr>
            <w:tcW w:w="1312" w:type="dxa"/>
            <w:shd w:val="clear" w:color="auto" w:fill="auto"/>
            <w:noWrap/>
            <w:vAlign w:val="bottom"/>
          </w:tcPr>
          <w:p w14:paraId="2FF6FA74" w14:textId="77777777" w:rsidR="00146990" w:rsidRPr="005A1F62" w:rsidRDefault="00146990" w:rsidP="001A1DE3">
            <w:pPr>
              <w:tabs>
                <w:tab w:val="left" w:pos="709"/>
              </w:tabs>
              <w:jc w:val="right"/>
              <w:rPr>
                <w:bCs/>
                <w:iCs/>
              </w:rPr>
            </w:pPr>
            <w:r w:rsidRPr="005A1F62">
              <w:rPr>
                <w:bCs/>
                <w:iCs/>
              </w:rPr>
              <w:t>0,1</w:t>
            </w:r>
          </w:p>
        </w:tc>
        <w:tc>
          <w:tcPr>
            <w:tcW w:w="1313" w:type="dxa"/>
            <w:shd w:val="clear" w:color="auto" w:fill="auto"/>
            <w:noWrap/>
            <w:vAlign w:val="bottom"/>
          </w:tcPr>
          <w:p w14:paraId="30F30E95" w14:textId="77777777" w:rsidR="00146990" w:rsidRPr="005A1F62" w:rsidRDefault="00146990" w:rsidP="001A1DE3">
            <w:pPr>
              <w:tabs>
                <w:tab w:val="left" w:pos="709"/>
              </w:tabs>
              <w:jc w:val="right"/>
              <w:rPr>
                <w:bCs/>
                <w:iCs/>
              </w:rPr>
            </w:pPr>
            <w:r w:rsidRPr="005A1F62">
              <w:rPr>
                <w:bCs/>
                <w:iCs/>
              </w:rPr>
              <w:t>0,2</w:t>
            </w:r>
          </w:p>
        </w:tc>
        <w:tc>
          <w:tcPr>
            <w:tcW w:w="1312" w:type="dxa"/>
            <w:shd w:val="clear" w:color="auto" w:fill="auto"/>
            <w:noWrap/>
            <w:vAlign w:val="bottom"/>
          </w:tcPr>
          <w:p w14:paraId="778326D1" w14:textId="77777777" w:rsidR="00146990" w:rsidRPr="005A1F62" w:rsidRDefault="00146990" w:rsidP="001A1DE3">
            <w:pPr>
              <w:tabs>
                <w:tab w:val="left" w:pos="709"/>
              </w:tabs>
              <w:jc w:val="right"/>
              <w:rPr>
                <w:bCs/>
                <w:iCs/>
              </w:rPr>
            </w:pPr>
            <w:r w:rsidRPr="005A1F62">
              <w:rPr>
                <w:bCs/>
                <w:iCs/>
              </w:rPr>
              <w:t>0,2</w:t>
            </w:r>
          </w:p>
        </w:tc>
        <w:tc>
          <w:tcPr>
            <w:tcW w:w="1313" w:type="dxa"/>
            <w:shd w:val="clear" w:color="auto" w:fill="auto"/>
            <w:noWrap/>
            <w:vAlign w:val="bottom"/>
          </w:tcPr>
          <w:p w14:paraId="7D752512" w14:textId="77777777" w:rsidR="00146990" w:rsidRPr="005A1F62" w:rsidRDefault="00146990" w:rsidP="001A1DE3">
            <w:pPr>
              <w:tabs>
                <w:tab w:val="left" w:pos="709"/>
              </w:tabs>
              <w:jc w:val="right"/>
              <w:rPr>
                <w:bCs/>
                <w:iCs/>
                <w:lang w:val="en-US"/>
              </w:rPr>
            </w:pPr>
            <w:r w:rsidRPr="005A1F62">
              <w:rPr>
                <w:bCs/>
                <w:iCs/>
                <w:lang w:val="en-US"/>
              </w:rPr>
              <w:t>0,4</w:t>
            </w:r>
          </w:p>
        </w:tc>
      </w:tr>
    </w:tbl>
    <w:p w14:paraId="5B4C5083" w14:textId="77777777" w:rsidR="00146990" w:rsidRPr="005A1F62" w:rsidRDefault="00146990" w:rsidP="00146990">
      <w:pPr>
        <w:tabs>
          <w:tab w:val="left" w:pos="709"/>
        </w:tabs>
        <w:ind w:firstLine="567"/>
        <w:jc w:val="both"/>
      </w:pPr>
      <w:r w:rsidRPr="005A1F62">
        <w:t xml:space="preserve">* </w:t>
      </w:r>
      <w:r w:rsidRPr="005A1F62">
        <w:rPr>
          <w:lang w:val="en-US"/>
        </w:rPr>
        <w:t>N</w:t>
      </w:r>
      <w:r w:rsidRPr="005A1F62">
        <w:t xml:space="preserve"> – последняя месячная дата, </w:t>
      </w:r>
      <w:r w:rsidRPr="005A1F62">
        <w:rPr>
          <w:lang w:val="en-US"/>
        </w:rPr>
        <w:t>N</w:t>
      </w:r>
      <w:r w:rsidRPr="005A1F62">
        <w:t>-1 – предыдущая месячная дата.</w:t>
      </w:r>
    </w:p>
    <w:p w14:paraId="1716F6CA" w14:textId="77777777" w:rsidR="009372E0" w:rsidRPr="005A1F62" w:rsidRDefault="009372E0" w:rsidP="00DC2FED">
      <w:pPr>
        <w:tabs>
          <w:tab w:val="left" w:pos="709"/>
        </w:tabs>
        <w:ind w:firstLine="567"/>
        <w:jc w:val="both"/>
      </w:pPr>
    </w:p>
    <w:p w14:paraId="658E71F5" w14:textId="77777777" w:rsidR="009B681E" w:rsidRPr="005A1F62" w:rsidRDefault="009B681E" w:rsidP="00DC2FED">
      <w:pPr>
        <w:tabs>
          <w:tab w:val="left" w:pos="709"/>
        </w:tabs>
        <w:ind w:firstLine="567"/>
        <w:jc w:val="both"/>
        <w:rPr>
          <w:b/>
        </w:rPr>
      </w:pPr>
      <w:r w:rsidRPr="005A1F62">
        <w:rPr>
          <w:b/>
        </w:rPr>
        <w:t xml:space="preserve">Основания </w:t>
      </w:r>
      <w:bookmarkStart w:id="26" w:name="_Hlk43307971"/>
      <w:r w:rsidRPr="005A1F62">
        <w:rPr>
          <w:b/>
        </w:rPr>
        <w:t>для отклонений от стандартного распределения весов</w:t>
      </w:r>
      <w:bookmarkEnd w:id="26"/>
      <w:r w:rsidRPr="005A1F62">
        <w:rPr>
          <w:b/>
        </w:rPr>
        <w:t>:</w:t>
      </w:r>
    </w:p>
    <w:p w14:paraId="24B6ACFB" w14:textId="351ABFCF" w:rsidR="009B681E" w:rsidRPr="005A1F62" w:rsidRDefault="009B681E" w:rsidP="00D44657">
      <w:pPr>
        <w:numPr>
          <w:ilvl w:val="0"/>
          <w:numId w:val="8"/>
        </w:numPr>
        <w:tabs>
          <w:tab w:val="clear" w:pos="720"/>
          <w:tab w:val="left" w:pos="709"/>
        </w:tabs>
        <w:ind w:left="0" w:firstLine="567"/>
        <w:jc w:val="both"/>
      </w:pPr>
      <w:bookmarkStart w:id="27" w:name="_Hlk510515680"/>
      <w:r w:rsidRPr="005A1F62">
        <w:t>Специфика показателя</w:t>
      </w:r>
      <w:r w:rsidR="00C1113A" w:rsidRPr="005A1F62">
        <w:t xml:space="preserve"> – </w:t>
      </w:r>
      <w:r w:rsidRPr="005A1F62">
        <w:t xml:space="preserve">например, </w:t>
      </w:r>
      <w:r w:rsidR="00ED19A5" w:rsidRPr="005A1F62">
        <w:t xml:space="preserve">он </w:t>
      </w:r>
      <w:r w:rsidRPr="005A1F62">
        <w:t>должен характеризоваться повышенной стабильностью. Отдельное распределение весов с пониженным весом последней отчетной даты введено для показателей прибыльности.</w:t>
      </w:r>
    </w:p>
    <w:bookmarkEnd w:id="27"/>
    <w:p w14:paraId="0F16DF05" w14:textId="77777777" w:rsidR="009B681E" w:rsidRPr="005A1F62" w:rsidRDefault="009B681E" w:rsidP="00DC2FED">
      <w:pPr>
        <w:tabs>
          <w:tab w:val="left" w:pos="709"/>
        </w:tabs>
        <w:ind w:firstLine="567"/>
        <w:jc w:val="both"/>
      </w:pPr>
    </w:p>
    <w:tbl>
      <w:tblPr>
        <w:tblW w:w="78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1310"/>
        <w:gridCol w:w="1310"/>
        <w:gridCol w:w="1309"/>
        <w:gridCol w:w="1310"/>
        <w:gridCol w:w="1310"/>
      </w:tblGrid>
      <w:tr w:rsidR="009B681E" w:rsidRPr="005A1F62" w14:paraId="68B94B2A" w14:textId="77777777" w:rsidTr="0062539F">
        <w:trPr>
          <w:trHeight w:val="20"/>
          <w:jc w:val="right"/>
        </w:trPr>
        <w:tc>
          <w:tcPr>
            <w:tcW w:w="1309" w:type="dxa"/>
            <w:shd w:val="clear" w:color="auto" w:fill="auto"/>
            <w:noWrap/>
            <w:vAlign w:val="bottom"/>
          </w:tcPr>
          <w:p w14:paraId="7B768161" w14:textId="77777777" w:rsidR="009B681E" w:rsidRPr="005A1F62" w:rsidRDefault="009B681E" w:rsidP="00DC2FED">
            <w:pPr>
              <w:tabs>
                <w:tab w:val="left" w:pos="709"/>
              </w:tabs>
              <w:ind w:firstLine="567"/>
              <w:jc w:val="right"/>
              <w:rPr>
                <w:b/>
                <w:bCs/>
              </w:rPr>
            </w:pPr>
            <w:r w:rsidRPr="005A1F62">
              <w:rPr>
                <w:b/>
                <w:bCs/>
              </w:rPr>
              <w:t>Т-5</w:t>
            </w:r>
          </w:p>
        </w:tc>
        <w:tc>
          <w:tcPr>
            <w:tcW w:w="1310" w:type="dxa"/>
            <w:shd w:val="clear" w:color="auto" w:fill="auto"/>
            <w:noWrap/>
            <w:vAlign w:val="bottom"/>
          </w:tcPr>
          <w:p w14:paraId="0C4E59C8" w14:textId="77777777" w:rsidR="009B681E" w:rsidRPr="005A1F62" w:rsidRDefault="009B681E" w:rsidP="00DC2FED">
            <w:pPr>
              <w:tabs>
                <w:tab w:val="left" w:pos="709"/>
              </w:tabs>
              <w:ind w:firstLine="567"/>
              <w:jc w:val="right"/>
              <w:rPr>
                <w:b/>
                <w:bCs/>
              </w:rPr>
            </w:pPr>
            <w:r w:rsidRPr="005A1F62">
              <w:rPr>
                <w:b/>
                <w:bCs/>
              </w:rPr>
              <w:t>Т-4</w:t>
            </w:r>
          </w:p>
        </w:tc>
        <w:tc>
          <w:tcPr>
            <w:tcW w:w="1310" w:type="dxa"/>
            <w:shd w:val="clear" w:color="auto" w:fill="auto"/>
            <w:noWrap/>
            <w:vAlign w:val="bottom"/>
          </w:tcPr>
          <w:p w14:paraId="34D704BB" w14:textId="77777777" w:rsidR="009B681E" w:rsidRPr="005A1F62" w:rsidRDefault="009B681E" w:rsidP="00DC2FED">
            <w:pPr>
              <w:tabs>
                <w:tab w:val="left" w:pos="709"/>
              </w:tabs>
              <w:ind w:firstLine="567"/>
              <w:jc w:val="right"/>
              <w:rPr>
                <w:b/>
                <w:bCs/>
              </w:rPr>
            </w:pPr>
            <w:r w:rsidRPr="005A1F62">
              <w:rPr>
                <w:b/>
                <w:bCs/>
              </w:rPr>
              <w:t>Т-3</w:t>
            </w:r>
          </w:p>
        </w:tc>
        <w:tc>
          <w:tcPr>
            <w:tcW w:w="1309" w:type="dxa"/>
            <w:shd w:val="clear" w:color="auto" w:fill="auto"/>
            <w:noWrap/>
            <w:vAlign w:val="bottom"/>
          </w:tcPr>
          <w:p w14:paraId="37DD40D1" w14:textId="77777777" w:rsidR="009B681E" w:rsidRPr="005A1F62" w:rsidRDefault="009B681E" w:rsidP="00DC2FED">
            <w:pPr>
              <w:tabs>
                <w:tab w:val="left" w:pos="709"/>
              </w:tabs>
              <w:ind w:firstLine="567"/>
              <w:jc w:val="right"/>
              <w:rPr>
                <w:b/>
                <w:bCs/>
              </w:rPr>
            </w:pPr>
            <w:r w:rsidRPr="005A1F62">
              <w:rPr>
                <w:b/>
                <w:bCs/>
              </w:rPr>
              <w:t>Т-2</w:t>
            </w:r>
          </w:p>
        </w:tc>
        <w:tc>
          <w:tcPr>
            <w:tcW w:w="1310" w:type="dxa"/>
            <w:shd w:val="clear" w:color="auto" w:fill="auto"/>
            <w:noWrap/>
            <w:vAlign w:val="bottom"/>
          </w:tcPr>
          <w:p w14:paraId="3E0C6552" w14:textId="77777777" w:rsidR="009B681E" w:rsidRPr="005A1F62" w:rsidRDefault="009B681E" w:rsidP="00DC2FED">
            <w:pPr>
              <w:tabs>
                <w:tab w:val="left" w:pos="709"/>
              </w:tabs>
              <w:ind w:firstLine="567"/>
              <w:jc w:val="right"/>
              <w:rPr>
                <w:b/>
                <w:bCs/>
              </w:rPr>
            </w:pPr>
            <w:r w:rsidRPr="005A1F62">
              <w:rPr>
                <w:b/>
                <w:bCs/>
              </w:rPr>
              <w:t>Т-1</w:t>
            </w:r>
          </w:p>
        </w:tc>
        <w:tc>
          <w:tcPr>
            <w:tcW w:w="1310" w:type="dxa"/>
            <w:shd w:val="clear" w:color="auto" w:fill="auto"/>
            <w:noWrap/>
            <w:vAlign w:val="bottom"/>
          </w:tcPr>
          <w:p w14:paraId="7C97DAFE" w14:textId="77777777" w:rsidR="009B681E" w:rsidRPr="005A1F62" w:rsidRDefault="009B681E" w:rsidP="00DC2FED">
            <w:pPr>
              <w:tabs>
                <w:tab w:val="left" w:pos="709"/>
              </w:tabs>
              <w:ind w:firstLine="567"/>
              <w:jc w:val="right"/>
              <w:rPr>
                <w:b/>
                <w:bCs/>
              </w:rPr>
            </w:pPr>
            <w:r w:rsidRPr="005A1F62">
              <w:rPr>
                <w:b/>
                <w:bCs/>
              </w:rPr>
              <w:t>Т</w:t>
            </w:r>
          </w:p>
        </w:tc>
      </w:tr>
      <w:tr w:rsidR="009B681E" w:rsidRPr="005A1F62" w14:paraId="61D562A5" w14:textId="77777777" w:rsidTr="0062539F">
        <w:trPr>
          <w:trHeight w:val="20"/>
          <w:jc w:val="right"/>
        </w:trPr>
        <w:tc>
          <w:tcPr>
            <w:tcW w:w="1309" w:type="dxa"/>
            <w:shd w:val="clear" w:color="auto" w:fill="auto"/>
            <w:noWrap/>
            <w:vAlign w:val="bottom"/>
          </w:tcPr>
          <w:p w14:paraId="27858511" w14:textId="77777777" w:rsidR="009B681E" w:rsidRPr="005A1F62" w:rsidRDefault="009B681E" w:rsidP="00DC2FED">
            <w:pPr>
              <w:tabs>
                <w:tab w:val="left" w:pos="709"/>
              </w:tabs>
              <w:ind w:firstLine="567"/>
              <w:jc w:val="right"/>
              <w:rPr>
                <w:bCs/>
                <w:iCs/>
              </w:rPr>
            </w:pPr>
            <w:r w:rsidRPr="005A1F62">
              <w:rPr>
                <w:bCs/>
                <w:iCs/>
              </w:rPr>
              <w:t>0,05</w:t>
            </w:r>
          </w:p>
        </w:tc>
        <w:tc>
          <w:tcPr>
            <w:tcW w:w="1310" w:type="dxa"/>
            <w:shd w:val="clear" w:color="auto" w:fill="auto"/>
            <w:noWrap/>
            <w:vAlign w:val="bottom"/>
          </w:tcPr>
          <w:p w14:paraId="484EABDA" w14:textId="77777777" w:rsidR="009B681E" w:rsidRPr="005A1F62" w:rsidRDefault="009B681E" w:rsidP="00DC2FED">
            <w:pPr>
              <w:tabs>
                <w:tab w:val="left" w:pos="709"/>
              </w:tabs>
              <w:ind w:firstLine="567"/>
              <w:jc w:val="right"/>
              <w:rPr>
                <w:bCs/>
                <w:iCs/>
              </w:rPr>
            </w:pPr>
            <w:r w:rsidRPr="005A1F62">
              <w:rPr>
                <w:bCs/>
                <w:iCs/>
              </w:rPr>
              <w:t>0,05</w:t>
            </w:r>
          </w:p>
        </w:tc>
        <w:tc>
          <w:tcPr>
            <w:tcW w:w="1310" w:type="dxa"/>
            <w:shd w:val="clear" w:color="auto" w:fill="auto"/>
            <w:noWrap/>
            <w:vAlign w:val="bottom"/>
          </w:tcPr>
          <w:p w14:paraId="0D239966" w14:textId="77777777" w:rsidR="009B681E" w:rsidRPr="005A1F62" w:rsidRDefault="009B681E" w:rsidP="00DC2FED">
            <w:pPr>
              <w:tabs>
                <w:tab w:val="left" w:pos="709"/>
              </w:tabs>
              <w:ind w:firstLine="567"/>
              <w:jc w:val="right"/>
              <w:rPr>
                <w:bCs/>
                <w:iCs/>
              </w:rPr>
            </w:pPr>
            <w:r w:rsidRPr="005A1F62">
              <w:rPr>
                <w:bCs/>
                <w:iCs/>
              </w:rPr>
              <w:t>0,1</w:t>
            </w:r>
          </w:p>
        </w:tc>
        <w:tc>
          <w:tcPr>
            <w:tcW w:w="1309" w:type="dxa"/>
            <w:shd w:val="clear" w:color="auto" w:fill="auto"/>
            <w:noWrap/>
            <w:vAlign w:val="bottom"/>
          </w:tcPr>
          <w:p w14:paraId="29C0914F" w14:textId="77777777" w:rsidR="009B681E" w:rsidRPr="005A1F62" w:rsidRDefault="009B681E" w:rsidP="00DC2FED">
            <w:pPr>
              <w:tabs>
                <w:tab w:val="left" w:pos="709"/>
              </w:tabs>
              <w:ind w:firstLine="567"/>
              <w:jc w:val="right"/>
              <w:rPr>
                <w:bCs/>
                <w:iCs/>
              </w:rPr>
            </w:pPr>
            <w:r w:rsidRPr="005A1F62">
              <w:rPr>
                <w:bCs/>
                <w:iCs/>
              </w:rPr>
              <w:t>0,2</w:t>
            </w:r>
          </w:p>
        </w:tc>
        <w:tc>
          <w:tcPr>
            <w:tcW w:w="1310" w:type="dxa"/>
            <w:shd w:val="clear" w:color="auto" w:fill="auto"/>
            <w:noWrap/>
            <w:vAlign w:val="bottom"/>
          </w:tcPr>
          <w:p w14:paraId="5B934077" w14:textId="77777777" w:rsidR="009B681E" w:rsidRPr="005A1F62" w:rsidRDefault="009B681E" w:rsidP="00DC2FED">
            <w:pPr>
              <w:tabs>
                <w:tab w:val="left" w:pos="709"/>
              </w:tabs>
              <w:ind w:firstLine="567"/>
              <w:jc w:val="right"/>
              <w:rPr>
                <w:bCs/>
                <w:iCs/>
              </w:rPr>
            </w:pPr>
            <w:r w:rsidRPr="005A1F62">
              <w:rPr>
                <w:bCs/>
                <w:iCs/>
              </w:rPr>
              <w:t>0,2</w:t>
            </w:r>
          </w:p>
        </w:tc>
        <w:tc>
          <w:tcPr>
            <w:tcW w:w="1310" w:type="dxa"/>
            <w:shd w:val="clear" w:color="auto" w:fill="auto"/>
            <w:noWrap/>
            <w:vAlign w:val="bottom"/>
          </w:tcPr>
          <w:p w14:paraId="3B1CFAFC" w14:textId="77777777" w:rsidR="009B681E" w:rsidRPr="005A1F62" w:rsidRDefault="009B681E" w:rsidP="00DC2FED">
            <w:pPr>
              <w:tabs>
                <w:tab w:val="left" w:pos="709"/>
              </w:tabs>
              <w:ind w:firstLine="567"/>
              <w:jc w:val="right"/>
              <w:rPr>
                <w:bCs/>
                <w:iCs/>
              </w:rPr>
            </w:pPr>
            <w:r w:rsidRPr="005A1F62">
              <w:rPr>
                <w:bCs/>
                <w:iCs/>
              </w:rPr>
              <w:t>0,4</w:t>
            </w:r>
          </w:p>
        </w:tc>
      </w:tr>
    </w:tbl>
    <w:p w14:paraId="12C08886" w14:textId="1CE6A72F" w:rsidR="00356A6F" w:rsidRPr="005A1F62" w:rsidRDefault="00356A6F" w:rsidP="00DC2FED">
      <w:pPr>
        <w:tabs>
          <w:tab w:val="left" w:pos="709"/>
        </w:tabs>
        <w:ind w:firstLine="567"/>
        <w:jc w:val="both"/>
      </w:pPr>
      <w:r w:rsidRPr="005A1F62">
        <w:t>* Т – последняя квартальная дата, Т-1 – предыдущая квартальная дата.</w:t>
      </w:r>
    </w:p>
    <w:p w14:paraId="57A887BF" w14:textId="77777777" w:rsidR="00C1113A" w:rsidRPr="005A1F62" w:rsidRDefault="00C1113A" w:rsidP="00DC2FED">
      <w:pPr>
        <w:tabs>
          <w:tab w:val="left" w:pos="709"/>
        </w:tabs>
        <w:ind w:firstLine="567"/>
        <w:jc w:val="both"/>
      </w:pPr>
    </w:p>
    <w:p w14:paraId="08BFC732" w14:textId="77777777" w:rsidR="009B681E" w:rsidRPr="005A1F62" w:rsidRDefault="009B681E" w:rsidP="00D44657">
      <w:pPr>
        <w:numPr>
          <w:ilvl w:val="0"/>
          <w:numId w:val="8"/>
        </w:numPr>
        <w:tabs>
          <w:tab w:val="clear" w:pos="720"/>
          <w:tab w:val="left" w:pos="709"/>
        </w:tabs>
        <w:ind w:left="0" w:firstLine="567"/>
        <w:jc w:val="both"/>
      </w:pPr>
      <w:bookmarkStart w:id="28" w:name="_Hlk510515699"/>
      <w:r w:rsidRPr="005A1F62">
        <w:lastRenderedPageBreak/>
        <w:t xml:space="preserve">Необходимость учесть существенные изменения показателей, произошедшие внутри квартала после последней доступной квартальной даты. Частный случай </w:t>
      </w:r>
      <w:r w:rsidR="00ED19A5" w:rsidRPr="005A1F62">
        <w:t>–</w:t>
      </w:r>
      <w:r w:rsidRPr="005A1F62">
        <w:t xml:space="preserve"> данные на последнюю квартальную дату искажены сезонными либо разовыми событиями. </w:t>
      </w:r>
    </w:p>
    <w:p w14:paraId="40497E10" w14:textId="194C0784" w:rsidR="009B681E" w:rsidRPr="005A1F62" w:rsidRDefault="009B681E" w:rsidP="00D44657">
      <w:pPr>
        <w:numPr>
          <w:ilvl w:val="0"/>
          <w:numId w:val="8"/>
        </w:numPr>
        <w:tabs>
          <w:tab w:val="clear" w:pos="720"/>
          <w:tab w:val="left" w:pos="709"/>
        </w:tabs>
        <w:ind w:left="0" w:firstLine="567"/>
        <w:jc w:val="both"/>
      </w:pPr>
      <w:bookmarkStart w:id="29" w:name="_Hlk43307988"/>
      <w:r w:rsidRPr="005A1F62">
        <w:t xml:space="preserve">Данные на отдельные даты не отражают </w:t>
      </w:r>
      <w:proofErr w:type="gramStart"/>
      <w:r w:rsidRPr="005A1F62">
        <w:t>специфики</w:t>
      </w:r>
      <w:proofErr w:type="gramEnd"/>
      <w:r w:rsidRPr="005A1F62">
        <w:t xml:space="preserve"> текущей бизнес-модели банка. Примеры:</w:t>
      </w:r>
    </w:p>
    <w:p w14:paraId="5E760ECB" w14:textId="305A593D" w:rsidR="009B681E" w:rsidRPr="005A1F62" w:rsidRDefault="00ED19A5" w:rsidP="00D44657">
      <w:pPr>
        <w:numPr>
          <w:ilvl w:val="1"/>
          <w:numId w:val="39"/>
        </w:numPr>
        <w:tabs>
          <w:tab w:val="left" w:pos="709"/>
        </w:tabs>
        <w:ind w:left="0" w:firstLine="567"/>
        <w:jc w:val="both"/>
      </w:pPr>
      <w:r w:rsidRPr="005A1F62">
        <w:t xml:space="preserve">банк </w:t>
      </w:r>
      <w:r w:rsidR="009B681E" w:rsidRPr="005A1F62">
        <w:t xml:space="preserve">продал весь портфель ссуд </w:t>
      </w:r>
      <w:r w:rsidR="00C1113A" w:rsidRPr="005A1F62">
        <w:t xml:space="preserve">физических лиц (ФЛ) </w:t>
      </w:r>
      <w:r w:rsidR="009B681E" w:rsidRPr="005A1F62">
        <w:t>и начал работу преимущественно с ценными бумагами;</w:t>
      </w:r>
    </w:p>
    <w:p w14:paraId="7222598F" w14:textId="77777777" w:rsidR="009B681E" w:rsidRPr="005A1F62" w:rsidRDefault="00ED19A5" w:rsidP="00D44657">
      <w:pPr>
        <w:numPr>
          <w:ilvl w:val="1"/>
          <w:numId w:val="39"/>
        </w:numPr>
        <w:tabs>
          <w:tab w:val="left" w:pos="709"/>
        </w:tabs>
        <w:ind w:left="0" w:firstLine="567"/>
        <w:jc w:val="both"/>
      </w:pPr>
      <w:r w:rsidRPr="005A1F62">
        <w:t xml:space="preserve">банк </w:t>
      </w:r>
      <w:r w:rsidR="009B681E" w:rsidRPr="005A1F62">
        <w:t>присоединил к себе сопоставимую по размерам либо более крупную кредитную организацию.</w:t>
      </w:r>
    </w:p>
    <w:p w14:paraId="49C7DE27" w14:textId="14C903E2" w:rsidR="0078341D" w:rsidRPr="005A1F62" w:rsidRDefault="009B681E" w:rsidP="001A1DE3">
      <w:pPr>
        <w:tabs>
          <w:tab w:val="left" w:pos="709"/>
        </w:tabs>
        <w:ind w:firstLine="567"/>
        <w:jc w:val="both"/>
        <w:sectPr w:rsidR="0078341D" w:rsidRPr="005A1F62" w:rsidSect="00A85529">
          <w:headerReference w:type="default" r:id="rId12"/>
          <w:footerReference w:type="default" r:id="rId13"/>
          <w:headerReference w:type="first" r:id="rId14"/>
          <w:pgSz w:w="11906" w:h="16838"/>
          <w:pgMar w:top="1134" w:right="850" w:bottom="1134" w:left="1701" w:header="708" w:footer="708" w:gutter="0"/>
          <w:pgNumType w:start="1"/>
          <w:cols w:space="708"/>
          <w:titlePg/>
          <w:docGrid w:linePitch="360"/>
        </w:sectPr>
      </w:pPr>
      <w:r w:rsidRPr="005A1F62">
        <w:t xml:space="preserve">В этом случае </w:t>
      </w:r>
      <w:r w:rsidR="00FA7444" w:rsidRPr="005A1F62">
        <w:t xml:space="preserve">отчетные </w:t>
      </w:r>
      <w:r w:rsidRPr="005A1F62">
        <w:t xml:space="preserve">даты, которые не отражают </w:t>
      </w:r>
      <w:proofErr w:type="gramStart"/>
      <w:r w:rsidRPr="005A1F62">
        <w:t>специфики</w:t>
      </w:r>
      <w:proofErr w:type="gramEnd"/>
      <w:r w:rsidRPr="005A1F62">
        <w:t xml:space="preserve"> текущей бизнес-модели банка, исключаются из расчетов. Вес исключенных дат перераспределяется</w:t>
      </w:r>
      <w:r w:rsidR="008A7830" w:rsidRPr="005A1F62">
        <w:t xml:space="preserve"> в пользу последней</w:t>
      </w:r>
      <w:r w:rsidR="00FA7444" w:rsidRPr="005A1F62">
        <w:t xml:space="preserve"> / наиболее репрезентативной</w:t>
      </w:r>
      <w:r w:rsidR="008A7830" w:rsidRPr="005A1F62">
        <w:t xml:space="preserve"> отчетной </w:t>
      </w:r>
      <w:r w:rsidRPr="005A1F62">
        <w:t xml:space="preserve">даты. </w:t>
      </w:r>
      <w:bookmarkStart w:id="30" w:name="_Toc277183395"/>
      <w:bookmarkStart w:id="31" w:name="_Toc343776088"/>
      <w:bookmarkEnd w:id="28"/>
    </w:p>
    <w:p w14:paraId="07C8E435" w14:textId="6BF2107D" w:rsidR="009B681E" w:rsidRPr="005A1F62" w:rsidRDefault="009A561B" w:rsidP="00D44657">
      <w:pPr>
        <w:pStyle w:val="1"/>
        <w:numPr>
          <w:ilvl w:val="0"/>
          <w:numId w:val="62"/>
        </w:numPr>
        <w:tabs>
          <w:tab w:val="left" w:pos="709"/>
        </w:tabs>
        <w:spacing w:before="0" w:after="0"/>
        <w:rPr>
          <w:rFonts w:ascii="Times New Roman" w:hAnsi="Times New Roman" w:cs="Times New Roman"/>
        </w:rPr>
      </w:pPr>
      <w:bookmarkStart w:id="32" w:name="_Toc44433448"/>
      <w:bookmarkStart w:id="33" w:name="_Toc277183396"/>
      <w:bookmarkStart w:id="34" w:name="_Toc343776089"/>
      <w:bookmarkStart w:id="35" w:name="_Toc459363742"/>
      <w:bookmarkEnd w:id="30"/>
      <w:bookmarkEnd w:id="31"/>
      <w:bookmarkEnd w:id="29"/>
      <w:r w:rsidRPr="005A1F62">
        <w:rPr>
          <w:rFonts w:ascii="Times New Roman" w:hAnsi="Times New Roman" w:cs="Times New Roman"/>
        </w:rPr>
        <w:lastRenderedPageBreak/>
        <w:t>Ключевые количественные и качественные факторы</w:t>
      </w:r>
      <w:bookmarkEnd w:id="32"/>
      <w:r w:rsidRPr="005A1F62">
        <w:rPr>
          <w:rFonts w:ascii="Times New Roman" w:hAnsi="Times New Roman" w:cs="Times New Roman"/>
        </w:rPr>
        <w:t xml:space="preserve"> </w:t>
      </w:r>
      <w:bookmarkEnd w:id="33"/>
      <w:bookmarkEnd w:id="34"/>
      <w:bookmarkEnd w:id="35"/>
    </w:p>
    <w:p w14:paraId="40E76EEA" w14:textId="77777777" w:rsidR="009B681E" w:rsidRPr="005A1F62" w:rsidRDefault="009B681E" w:rsidP="00DC2FED">
      <w:pPr>
        <w:tabs>
          <w:tab w:val="left" w:pos="709"/>
          <w:tab w:val="left" w:pos="1710"/>
        </w:tabs>
        <w:ind w:firstLine="567"/>
      </w:pPr>
    </w:p>
    <w:p w14:paraId="0996E08D" w14:textId="77777777" w:rsidR="009B681E" w:rsidRPr="005A1F62" w:rsidRDefault="009B681E" w:rsidP="00DC2FED">
      <w:pPr>
        <w:pStyle w:val="2"/>
        <w:tabs>
          <w:tab w:val="left" w:pos="709"/>
        </w:tabs>
        <w:spacing w:before="0" w:after="0"/>
        <w:ind w:firstLine="567"/>
        <w:rPr>
          <w:rFonts w:ascii="Times New Roman" w:hAnsi="Times New Roman" w:cs="Times New Roman"/>
          <w:i w:val="0"/>
        </w:rPr>
      </w:pPr>
      <w:bookmarkStart w:id="36" w:name="_Toc277183397"/>
      <w:bookmarkStart w:id="37" w:name="_Toc343776090"/>
      <w:bookmarkStart w:id="38" w:name="_Toc459363743"/>
      <w:bookmarkStart w:id="39" w:name="_Toc44433449"/>
      <w:r w:rsidRPr="005A1F62">
        <w:rPr>
          <w:rFonts w:ascii="Times New Roman" w:hAnsi="Times New Roman" w:cs="Times New Roman"/>
          <w:i w:val="0"/>
        </w:rPr>
        <w:t xml:space="preserve">РАЗДЕЛ </w:t>
      </w:r>
      <w:r w:rsidRPr="005A1F62">
        <w:rPr>
          <w:rFonts w:ascii="Times New Roman" w:hAnsi="Times New Roman" w:cs="Times New Roman"/>
          <w:i w:val="0"/>
          <w:lang w:val="en-US"/>
        </w:rPr>
        <w:t>I</w:t>
      </w:r>
      <w:r w:rsidRPr="005A1F62">
        <w:rPr>
          <w:rFonts w:ascii="Times New Roman" w:hAnsi="Times New Roman" w:cs="Times New Roman"/>
          <w:i w:val="0"/>
        </w:rPr>
        <w:t>. РЫНОЧНЫЕ ПОЗИЦИИ</w:t>
      </w:r>
      <w:bookmarkEnd w:id="36"/>
      <w:bookmarkEnd w:id="37"/>
      <w:bookmarkEnd w:id="38"/>
      <w:bookmarkEnd w:id="39"/>
    </w:p>
    <w:p w14:paraId="7C313705" w14:textId="77777777" w:rsidR="00D57002" w:rsidRPr="005A1F62" w:rsidRDefault="00D57002" w:rsidP="00DC2FED">
      <w:pPr>
        <w:tabs>
          <w:tab w:val="left" w:pos="709"/>
        </w:tabs>
        <w:ind w:firstLine="567"/>
      </w:pPr>
    </w:p>
    <w:p w14:paraId="0718A4B2" w14:textId="0D461D26" w:rsidR="009B681E" w:rsidRPr="005A1F62" w:rsidRDefault="0061392B" w:rsidP="00DC2FED">
      <w:pPr>
        <w:tabs>
          <w:tab w:val="left" w:pos="709"/>
        </w:tabs>
        <w:ind w:firstLine="567"/>
        <w:jc w:val="both"/>
      </w:pPr>
      <w:r w:rsidRPr="005A1F62">
        <w:t>Вес раздела «</w:t>
      </w:r>
      <w:r w:rsidR="00455175" w:rsidRPr="005A1F62">
        <w:t>р</w:t>
      </w:r>
      <w:r w:rsidRPr="005A1F62">
        <w:t>ыночные позиции» составляет 1</w:t>
      </w:r>
      <w:r w:rsidR="008A7CA4" w:rsidRPr="005A1F62">
        <w:t>6</w:t>
      </w:r>
      <w:r w:rsidRPr="005A1F62">
        <w:t xml:space="preserve">%, внутри которого веса распределены по оцениваемым факторам следующим образом: </w:t>
      </w:r>
      <w:r w:rsidR="00DB2EE7" w:rsidRPr="005A1F62">
        <w:t>деловая</w:t>
      </w:r>
      <w:r w:rsidRPr="005A1F62">
        <w:t xml:space="preserve"> репутация – </w:t>
      </w:r>
      <w:r w:rsidR="00DB2EE7" w:rsidRPr="005A1F62">
        <w:t>5</w:t>
      </w:r>
      <w:r w:rsidRPr="005A1F62">
        <w:t xml:space="preserve">%, специализация и кэптивность – </w:t>
      </w:r>
      <w:r w:rsidR="00DB2EE7" w:rsidRPr="005A1F62">
        <w:t>5</w:t>
      </w:r>
      <w:r w:rsidRPr="005A1F62">
        <w:t>%, конкурентные позиции – 6%.</w:t>
      </w:r>
    </w:p>
    <w:p w14:paraId="5772E71A" w14:textId="77777777" w:rsidR="0061392B" w:rsidRPr="005A1F62" w:rsidRDefault="0061392B" w:rsidP="00DC2FED">
      <w:pPr>
        <w:tabs>
          <w:tab w:val="left" w:pos="709"/>
        </w:tabs>
        <w:ind w:firstLine="567"/>
      </w:pPr>
    </w:p>
    <w:p w14:paraId="6E18B140" w14:textId="15F8A661" w:rsidR="009B681E" w:rsidRPr="005A1F62" w:rsidRDefault="008A40EB" w:rsidP="00D44657">
      <w:pPr>
        <w:pStyle w:val="3"/>
        <w:numPr>
          <w:ilvl w:val="1"/>
          <w:numId w:val="17"/>
        </w:numPr>
        <w:tabs>
          <w:tab w:val="left" w:pos="709"/>
        </w:tabs>
        <w:spacing w:before="0" w:after="0"/>
        <w:ind w:left="0" w:firstLine="567"/>
        <w:rPr>
          <w:rFonts w:ascii="Times New Roman" w:hAnsi="Times New Roman" w:cs="Times New Roman"/>
        </w:rPr>
      </w:pPr>
      <w:bookmarkStart w:id="40" w:name="_Toc277183398"/>
      <w:bookmarkStart w:id="41" w:name="_Toc343776091"/>
      <w:bookmarkStart w:id="42" w:name="_Toc459363744"/>
      <w:bookmarkStart w:id="43" w:name="_Toc44433450"/>
      <w:r w:rsidRPr="005A1F62">
        <w:rPr>
          <w:rFonts w:ascii="Times New Roman" w:hAnsi="Times New Roman" w:cs="Times New Roman"/>
        </w:rPr>
        <w:t>Деловая</w:t>
      </w:r>
      <w:r w:rsidR="009B681E" w:rsidRPr="005A1F62">
        <w:rPr>
          <w:rFonts w:ascii="Times New Roman" w:hAnsi="Times New Roman" w:cs="Times New Roman"/>
        </w:rPr>
        <w:t xml:space="preserve"> репутация</w:t>
      </w:r>
      <w:bookmarkEnd w:id="40"/>
      <w:bookmarkEnd w:id="41"/>
      <w:bookmarkEnd w:id="42"/>
      <w:bookmarkEnd w:id="43"/>
    </w:p>
    <w:p w14:paraId="7F13A0D0" w14:textId="77777777" w:rsidR="00DF69DC" w:rsidRPr="005A1F62" w:rsidRDefault="00DF69DC" w:rsidP="00DF69DC"/>
    <w:p w14:paraId="4454D82A" w14:textId="540A6961" w:rsidR="008A40EB" w:rsidRPr="005A1F62" w:rsidRDefault="008A40EB" w:rsidP="006A777B">
      <w:pPr>
        <w:ind w:firstLine="567"/>
        <w:jc w:val="both"/>
      </w:pPr>
      <w:r w:rsidRPr="005A1F62">
        <w:rPr>
          <w:u w:val="single"/>
        </w:rPr>
        <w:t>Цель оценки:</w:t>
      </w:r>
      <w:r w:rsidRPr="005A1F62">
        <w:t xml:space="preserve"> определить возможности и риски, связанные с историей развития и деловой репутацией банка среди клиентов и контрагентов. Репутационные скандалы оказывают негативное влияние на рейтинг банка, поскольку могут привести к снижению качественной клиентской базы, ограничить возможности по привлечению рыночного фондирования. Оценка деловой репутации относится к объекту рейтинга</w:t>
      </w:r>
      <w:r w:rsidR="0066514B" w:rsidRPr="005A1F62">
        <w:t xml:space="preserve"> (ОР)</w:t>
      </w:r>
      <w:r w:rsidRPr="005A1F62">
        <w:t>, ее топ-менеджменту, собственникам. Деловая репутация оценивается на основе истории взаимоотношений объекта рейтинга с регулятором, партнерами, сотрудниками банка, а также с учетом новостного фона.</w:t>
      </w:r>
    </w:p>
    <w:p w14:paraId="2E429761" w14:textId="77777777" w:rsidR="00DF69DC" w:rsidRPr="005A1F62" w:rsidRDefault="00DF69DC" w:rsidP="006A777B">
      <w:pPr>
        <w:ind w:firstLine="567"/>
        <w:jc w:val="both"/>
        <w:rPr>
          <w:u w:val="single"/>
        </w:rPr>
      </w:pPr>
    </w:p>
    <w:p w14:paraId="05F59D1A" w14:textId="2F0D5A01" w:rsidR="008A40EB" w:rsidRPr="005A1F62" w:rsidRDefault="008A40EB" w:rsidP="006A777B">
      <w:pPr>
        <w:ind w:firstLine="567"/>
        <w:jc w:val="both"/>
        <w:rPr>
          <w:u w:val="single"/>
        </w:rPr>
      </w:pPr>
      <w:r w:rsidRPr="005A1F62">
        <w:rPr>
          <w:u w:val="single"/>
        </w:rPr>
        <w:t xml:space="preserve">Источники информации: </w:t>
      </w:r>
    </w:p>
    <w:p w14:paraId="3A9899C1" w14:textId="77777777" w:rsidR="008A40EB" w:rsidRPr="005A1F62" w:rsidRDefault="008A40EB" w:rsidP="00D44657">
      <w:pPr>
        <w:pStyle w:val="afb"/>
        <w:numPr>
          <w:ilvl w:val="0"/>
          <w:numId w:val="46"/>
        </w:numPr>
        <w:ind w:left="567" w:firstLine="567"/>
        <w:jc w:val="both"/>
        <w:rPr>
          <w:sz w:val="20"/>
          <w:szCs w:val="20"/>
        </w:rPr>
      </w:pPr>
      <w:r w:rsidRPr="005A1F62">
        <w:rPr>
          <w:sz w:val="20"/>
          <w:szCs w:val="20"/>
        </w:rPr>
        <w:t xml:space="preserve">публикации Банка России; </w:t>
      </w:r>
    </w:p>
    <w:p w14:paraId="0B4F5A82" w14:textId="77777777" w:rsidR="008A40EB" w:rsidRPr="005A1F62" w:rsidRDefault="008A40EB" w:rsidP="00D44657">
      <w:pPr>
        <w:pStyle w:val="afb"/>
        <w:numPr>
          <w:ilvl w:val="0"/>
          <w:numId w:val="46"/>
        </w:numPr>
        <w:ind w:left="567" w:firstLine="567"/>
        <w:jc w:val="both"/>
        <w:rPr>
          <w:sz w:val="20"/>
          <w:szCs w:val="20"/>
        </w:rPr>
      </w:pPr>
      <w:r w:rsidRPr="005A1F62">
        <w:rPr>
          <w:sz w:val="20"/>
          <w:szCs w:val="20"/>
        </w:rPr>
        <w:t xml:space="preserve">анкета; </w:t>
      </w:r>
    </w:p>
    <w:p w14:paraId="7E4FD516" w14:textId="77777777" w:rsidR="008A40EB" w:rsidRPr="005A1F62" w:rsidRDefault="008A40EB" w:rsidP="00D44657">
      <w:pPr>
        <w:pStyle w:val="afb"/>
        <w:numPr>
          <w:ilvl w:val="0"/>
          <w:numId w:val="46"/>
        </w:numPr>
        <w:ind w:left="567" w:firstLine="567"/>
        <w:jc w:val="both"/>
        <w:rPr>
          <w:sz w:val="20"/>
          <w:szCs w:val="20"/>
        </w:rPr>
      </w:pPr>
      <w:r w:rsidRPr="005A1F62">
        <w:rPr>
          <w:sz w:val="20"/>
          <w:szCs w:val="20"/>
        </w:rPr>
        <w:t xml:space="preserve">публикации в СМИ; </w:t>
      </w:r>
    </w:p>
    <w:p w14:paraId="57AE9F1B" w14:textId="77777777" w:rsidR="008A40EB" w:rsidRPr="005A1F62" w:rsidRDefault="008A40EB" w:rsidP="00D44657">
      <w:pPr>
        <w:pStyle w:val="afb"/>
        <w:numPr>
          <w:ilvl w:val="0"/>
          <w:numId w:val="46"/>
        </w:numPr>
        <w:ind w:left="567" w:firstLine="567"/>
        <w:jc w:val="both"/>
        <w:rPr>
          <w:sz w:val="20"/>
          <w:szCs w:val="20"/>
        </w:rPr>
      </w:pPr>
      <w:r w:rsidRPr="005A1F62">
        <w:rPr>
          <w:sz w:val="20"/>
          <w:szCs w:val="20"/>
        </w:rPr>
        <w:t xml:space="preserve">данные базы «СПАРК-Интерфакс»; </w:t>
      </w:r>
    </w:p>
    <w:p w14:paraId="611AC139" w14:textId="77777777" w:rsidR="008A40EB" w:rsidRPr="005A1F62" w:rsidRDefault="008A40EB" w:rsidP="00D44657">
      <w:pPr>
        <w:pStyle w:val="afb"/>
        <w:numPr>
          <w:ilvl w:val="0"/>
          <w:numId w:val="46"/>
        </w:numPr>
        <w:ind w:left="567" w:firstLine="567"/>
        <w:jc w:val="both"/>
        <w:rPr>
          <w:sz w:val="20"/>
          <w:szCs w:val="20"/>
        </w:rPr>
      </w:pPr>
      <w:r w:rsidRPr="005A1F62">
        <w:rPr>
          <w:sz w:val="20"/>
          <w:szCs w:val="20"/>
        </w:rPr>
        <w:t>аудиторское заключение.</w:t>
      </w:r>
    </w:p>
    <w:p w14:paraId="2816C6D9" w14:textId="77777777" w:rsidR="00DF69DC" w:rsidRPr="005A1F62" w:rsidRDefault="00DF69DC" w:rsidP="006A777B">
      <w:pPr>
        <w:ind w:firstLine="567"/>
        <w:jc w:val="both"/>
      </w:pPr>
    </w:p>
    <w:p w14:paraId="5A738F8E" w14:textId="5E21BEF5" w:rsidR="008A40EB" w:rsidRPr="005A1F62" w:rsidRDefault="00DF69DC" w:rsidP="006A777B">
      <w:pPr>
        <w:ind w:firstLine="567"/>
        <w:jc w:val="both"/>
      </w:pPr>
      <w:r w:rsidRPr="005A1F62">
        <w:t>Оценка фактора</w:t>
      </w:r>
      <w:r w:rsidR="008A40EB" w:rsidRPr="005A1F62">
        <w:t xml:space="preserve"> изначально приравнивается к 1. При этом он</w:t>
      </w:r>
      <w:r w:rsidRPr="005A1F62">
        <w:t>а</w:t>
      </w:r>
      <w:r w:rsidR="008A40EB" w:rsidRPr="005A1F62">
        <w:t xml:space="preserve"> уменьшается при выявлении оснований для негативных корректировок оценки деловой репутации.</w:t>
      </w:r>
    </w:p>
    <w:p w14:paraId="6BA27B23" w14:textId="77777777" w:rsidR="006A777B" w:rsidRPr="005A1F62" w:rsidRDefault="006A777B" w:rsidP="006A777B">
      <w:pPr>
        <w:ind w:firstLine="567"/>
        <w:jc w:val="both"/>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422"/>
        <w:gridCol w:w="4242"/>
      </w:tblGrid>
      <w:tr w:rsidR="008A7830" w:rsidRPr="005A1F62" w14:paraId="16C6B941" w14:textId="77777777" w:rsidTr="00DF69DC">
        <w:trPr>
          <w:trHeight w:val="20"/>
        </w:trPr>
        <w:tc>
          <w:tcPr>
            <w:tcW w:w="578" w:type="dxa"/>
            <w:shd w:val="clear" w:color="auto" w:fill="D9D9D9" w:themeFill="background1" w:themeFillShade="D9"/>
            <w:vAlign w:val="center"/>
          </w:tcPr>
          <w:p w14:paraId="79F36848" w14:textId="0A00836C" w:rsidR="008A7830" w:rsidRPr="005A1F62" w:rsidRDefault="008A7830" w:rsidP="0062539F">
            <w:pPr>
              <w:rPr>
                <w:b/>
                <w:bCs/>
              </w:rPr>
            </w:pPr>
            <w:bookmarkStart w:id="44" w:name="_Hlk508196592"/>
            <w:r w:rsidRPr="005A1F62">
              <w:rPr>
                <w:b/>
                <w:bCs/>
              </w:rPr>
              <w:t xml:space="preserve">№ </w:t>
            </w:r>
          </w:p>
        </w:tc>
        <w:tc>
          <w:tcPr>
            <w:tcW w:w="4422" w:type="dxa"/>
            <w:shd w:val="clear" w:color="auto" w:fill="D9D9D9" w:themeFill="background1" w:themeFillShade="D9"/>
            <w:vAlign w:val="center"/>
            <w:hideMark/>
          </w:tcPr>
          <w:p w14:paraId="1E57315A" w14:textId="7D09BF0E" w:rsidR="008A7830" w:rsidRPr="005A1F62" w:rsidRDefault="008A7830" w:rsidP="0062539F">
            <w:pPr>
              <w:jc w:val="both"/>
              <w:rPr>
                <w:b/>
                <w:bCs/>
              </w:rPr>
            </w:pPr>
            <w:r w:rsidRPr="005A1F62">
              <w:rPr>
                <w:b/>
                <w:bCs/>
              </w:rPr>
              <w:t>Условие</w:t>
            </w:r>
          </w:p>
        </w:tc>
        <w:tc>
          <w:tcPr>
            <w:tcW w:w="4242" w:type="dxa"/>
            <w:shd w:val="clear" w:color="auto" w:fill="D9D9D9" w:themeFill="background1" w:themeFillShade="D9"/>
            <w:vAlign w:val="center"/>
            <w:hideMark/>
          </w:tcPr>
          <w:p w14:paraId="120CF95A" w14:textId="4D790AD1" w:rsidR="008A7830" w:rsidRPr="005A1F62" w:rsidRDefault="008A7830" w:rsidP="0062539F">
            <w:pPr>
              <w:jc w:val="both"/>
              <w:rPr>
                <w:b/>
                <w:bCs/>
              </w:rPr>
            </w:pPr>
            <w:r w:rsidRPr="005A1F62">
              <w:rPr>
                <w:b/>
                <w:bCs/>
              </w:rPr>
              <w:t>Размер вычета</w:t>
            </w:r>
          </w:p>
        </w:tc>
      </w:tr>
      <w:tr w:rsidR="008A7830" w:rsidRPr="005A1F62" w14:paraId="2040CBCE" w14:textId="77777777" w:rsidTr="00DF69DC">
        <w:trPr>
          <w:trHeight w:val="20"/>
        </w:trPr>
        <w:tc>
          <w:tcPr>
            <w:tcW w:w="578" w:type="dxa"/>
            <w:shd w:val="clear" w:color="auto" w:fill="auto"/>
            <w:vAlign w:val="center"/>
          </w:tcPr>
          <w:p w14:paraId="05FEAC6A" w14:textId="3C8B8B41" w:rsidR="008A7830" w:rsidRPr="005A1F62" w:rsidRDefault="008A7830" w:rsidP="0062539F">
            <w:r w:rsidRPr="005A1F62">
              <w:t>1</w:t>
            </w:r>
          </w:p>
        </w:tc>
        <w:tc>
          <w:tcPr>
            <w:tcW w:w="4422" w:type="dxa"/>
            <w:shd w:val="clear" w:color="auto" w:fill="auto"/>
            <w:vAlign w:val="center"/>
            <w:hideMark/>
          </w:tcPr>
          <w:p w14:paraId="45AF7B45" w14:textId="4FA7A4EE" w:rsidR="008A7830" w:rsidRPr="005A1F62" w:rsidRDefault="008A7830" w:rsidP="0062539F">
            <w:pPr>
              <w:jc w:val="both"/>
            </w:pPr>
            <w:r w:rsidRPr="005A1F62">
              <w:t xml:space="preserve">Коррупционные скандалы, хищения, вывод средств из банка собственниками или руководством </w:t>
            </w:r>
            <w:r w:rsidR="00DF69DC" w:rsidRPr="005A1F62">
              <w:t>объекта рейтинга</w:t>
            </w:r>
            <w:r w:rsidRPr="005A1F62">
              <w:t xml:space="preserve"> (в том числе помимо объекта рейтинга)</w:t>
            </w:r>
            <w:r w:rsidR="0066514B" w:rsidRPr="005A1F62">
              <w:t>;</w:t>
            </w:r>
          </w:p>
          <w:p w14:paraId="10EAE1AB" w14:textId="1A32FF86" w:rsidR="008A7830" w:rsidRPr="005A1F62" w:rsidRDefault="008A7830" w:rsidP="0062539F">
            <w:pPr>
              <w:jc w:val="both"/>
            </w:pPr>
          </w:p>
          <w:p w14:paraId="318183A8" w14:textId="77777777" w:rsidR="0062539F" w:rsidRPr="005A1F62" w:rsidRDefault="0062539F" w:rsidP="0062539F">
            <w:pPr>
              <w:jc w:val="both"/>
            </w:pPr>
          </w:p>
          <w:p w14:paraId="7AAA7D30" w14:textId="44CB5D1F" w:rsidR="008A7830" w:rsidRPr="005A1F62" w:rsidRDefault="008A7830" w:rsidP="0062539F">
            <w:pPr>
              <w:jc w:val="both"/>
            </w:pPr>
            <w:r w:rsidRPr="005A1F62">
              <w:t>или</w:t>
            </w:r>
          </w:p>
          <w:p w14:paraId="6CD5560A" w14:textId="77777777" w:rsidR="008A7830" w:rsidRPr="005A1F62" w:rsidRDefault="008A7830" w:rsidP="0062539F">
            <w:pPr>
              <w:jc w:val="both"/>
            </w:pPr>
          </w:p>
          <w:p w14:paraId="20DE9CC0" w14:textId="50725820" w:rsidR="008A7830" w:rsidRPr="005A1F62" w:rsidRDefault="0066514B" w:rsidP="0062539F">
            <w:pPr>
              <w:jc w:val="both"/>
            </w:pPr>
            <w:r w:rsidRPr="005A1F62">
              <w:t xml:space="preserve">публикации </w:t>
            </w:r>
            <w:r w:rsidR="008A7830" w:rsidRPr="005A1F62">
              <w:t>в СМИ о банке, его собственниках или топ-менеджменте, которые способны ограничить конкурентные позиции банка</w:t>
            </w:r>
            <w:r w:rsidR="00926793" w:rsidRPr="005A1F62">
              <w:t xml:space="preserve">, увеличить стоимость заимствований или затруднить доступ к долговому рынку, ухудшить лояльность </w:t>
            </w:r>
            <w:r w:rsidR="00DF69DC" w:rsidRPr="005A1F62">
              <w:t xml:space="preserve">контрагентов </w:t>
            </w:r>
            <w:r w:rsidR="00926793" w:rsidRPr="005A1F62">
              <w:t>к банк</w:t>
            </w:r>
            <w:r w:rsidR="00DF69DC" w:rsidRPr="005A1F62">
              <w:t>у</w:t>
            </w:r>
            <w:r w:rsidRPr="005A1F62">
              <w:t>;</w:t>
            </w:r>
          </w:p>
          <w:p w14:paraId="6CAA301C" w14:textId="77777777" w:rsidR="008A7830" w:rsidRPr="005A1F62" w:rsidRDefault="008A7830" w:rsidP="0062539F">
            <w:pPr>
              <w:jc w:val="both"/>
            </w:pPr>
          </w:p>
          <w:p w14:paraId="110EFE43" w14:textId="3F39F684" w:rsidR="008A7830" w:rsidRPr="005A1F62" w:rsidRDefault="008A7830" w:rsidP="0062539F">
            <w:pPr>
              <w:jc w:val="both"/>
            </w:pPr>
            <w:r w:rsidRPr="005A1F62">
              <w:t>или</w:t>
            </w:r>
          </w:p>
          <w:p w14:paraId="5D9031E6" w14:textId="77777777" w:rsidR="008A7830" w:rsidRPr="005A1F62" w:rsidRDefault="008A7830" w:rsidP="0062539F">
            <w:pPr>
              <w:jc w:val="both"/>
            </w:pPr>
          </w:p>
          <w:p w14:paraId="4F7F04CA" w14:textId="14AB119B" w:rsidR="008A7830" w:rsidRPr="005A1F62" w:rsidRDefault="0066514B" w:rsidP="0062539F">
            <w:pPr>
              <w:jc w:val="both"/>
            </w:pPr>
            <w:r w:rsidRPr="005A1F62">
              <w:t xml:space="preserve">в </w:t>
            </w:r>
            <w:r w:rsidR="008A7830" w:rsidRPr="005A1F62">
              <w:t xml:space="preserve">истории объекта рейтинга имеются факты проведения следственных мероприятий (обыски, выемки </w:t>
            </w:r>
            <w:r w:rsidR="008A7830" w:rsidRPr="005A1F62">
              <w:lastRenderedPageBreak/>
              <w:t>документов) со стороны правоохранительных органов</w:t>
            </w:r>
            <w:r w:rsidRPr="005A1F62">
              <w:t>;</w:t>
            </w:r>
          </w:p>
          <w:p w14:paraId="0BA3536B" w14:textId="77777777" w:rsidR="008A7830" w:rsidRPr="005A1F62" w:rsidRDefault="008A7830" w:rsidP="0062539F">
            <w:pPr>
              <w:jc w:val="both"/>
            </w:pPr>
            <w:r w:rsidRPr="005A1F62">
              <w:t>или</w:t>
            </w:r>
          </w:p>
          <w:p w14:paraId="13C3EF30" w14:textId="77777777" w:rsidR="008A7830" w:rsidRPr="005A1F62" w:rsidRDefault="008A7830" w:rsidP="0062539F">
            <w:pPr>
              <w:jc w:val="both"/>
            </w:pPr>
          </w:p>
          <w:p w14:paraId="60BDB7FF" w14:textId="23D0B534" w:rsidR="008A7830" w:rsidRPr="005A1F62" w:rsidRDefault="0066514B" w:rsidP="0062539F">
            <w:pPr>
              <w:jc w:val="both"/>
            </w:pPr>
            <w:r w:rsidRPr="005A1F62">
              <w:t xml:space="preserve">подозрения </w:t>
            </w:r>
            <w:r w:rsidR="008A7830" w:rsidRPr="005A1F62">
              <w:t xml:space="preserve">на причастность собственников и </w:t>
            </w:r>
            <w:r w:rsidRPr="005A1F62">
              <w:t>(</w:t>
            </w:r>
            <w:r w:rsidR="008A7830" w:rsidRPr="005A1F62">
              <w:t>или</w:t>
            </w:r>
            <w:r w:rsidRPr="005A1F62">
              <w:t>)</w:t>
            </w:r>
            <w:r w:rsidR="00262006" w:rsidRPr="005A1F62">
              <w:t xml:space="preserve"> </w:t>
            </w:r>
            <w:r w:rsidR="008A7830" w:rsidRPr="005A1F62">
              <w:t>топ-менеджмента банка к криминальным структурам (в т</w:t>
            </w:r>
            <w:r w:rsidRPr="005A1F62">
              <w:t>ом числе</w:t>
            </w:r>
            <w:r w:rsidR="008A7830" w:rsidRPr="005A1F62">
              <w:t xml:space="preserve"> на основе непубличных источников информации)</w:t>
            </w:r>
          </w:p>
        </w:tc>
        <w:tc>
          <w:tcPr>
            <w:tcW w:w="4242" w:type="dxa"/>
            <w:shd w:val="clear" w:color="auto" w:fill="auto"/>
            <w:vAlign w:val="center"/>
            <w:hideMark/>
          </w:tcPr>
          <w:p w14:paraId="6312EF7A" w14:textId="531E07C6" w:rsidR="008A7830" w:rsidRPr="005A1F62" w:rsidRDefault="008A7830" w:rsidP="0062539F">
            <w:pPr>
              <w:jc w:val="both"/>
            </w:pPr>
            <w:r w:rsidRPr="005A1F62">
              <w:lastRenderedPageBreak/>
              <w:t>От 0,5 до 2,5 в зависимости от доли такого собственника в капитале банка / должности топ-менеджера, давности события, его масштаба и степени его влияния на репутацию банка</w:t>
            </w:r>
            <w:r w:rsidR="0066514B" w:rsidRPr="005A1F62">
              <w:t>;</w:t>
            </w:r>
          </w:p>
          <w:p w14:paraId="0A48CD8B" w14:textId="77777777" w:rsidR="008A7830" w:rsidRPr="005A1F62" w:rsidRDefault="008A7830" w:rsidP="0062539F">
            <w:pPr>
              <w:jc w:val="both"/>
            </w:pPr>
          </w:p>
          <w:p w14:paraId="1425917F" w14:textId="2F8C7C3B" w:rsidR="008A7830" w:rsidRPr="005A1F62" w:rsidRDefault="008A7830" w:rsidP="0062539F">
            <w:pPr>
              <w:jc w:val="both"/>
            </w:pPr>
            <w:r w:rsidRPr="005A1F62">
              <w:t>или</w:t>
            </w:r>
          </w:p>
          <w:p w14:paraId="7F11A5CF" w14:textId="07781C9D" w:rsidR="008A7830" w:rsidRPr="005A1F62" w:rsidRDefault="008A7830" w:rsidP="0062539F">
            <w:pPr>
              <w:jc w:val="both"/>
            </w:pPr>
          </w:p>
          <w:p w14:paraId="25EE7007" w14:textId="2678C747" w:rsidR="00591ABF" w:rsidRPr="005A1F62" w:rsidRDefault="00DF69DC" w:rsidP="0062539F">
            <w:pPr>
              <w:jc w:val="both"/>
            </w:pPr>
            <w:r w:rsidRPr="005A1F62">
              <w:t>От 0,5 до 2,5 в зависимости от текущего и потенциального давления на конкурентные позиции и репутацию банка</w:t>
            </w:r>
          </w:p>
          <w:p w14:paraId="4D8CFC04" w14:textId="34ACFF71" w:rsidR="0062539F" w:rsidRPr="005A1F62" w:rsidRDefault="0062539F" w:rsidP="0062539F">
            <w:pPr>
              <w:jc w:val="both"/>
            </w:pPr>
          </w:p>
          <w:p w14:paraId="6BD071A8" w14:textId="36A5318B" w:rsidR="0062539F" w:rsidRPr="005A1F62" w:rsidRDefault="0062539F" w:rsidP="0062539F">
            <w:pPr>
              <w:jc w:val="both"/>
            </w:pPr>
          </w:p>
          <w:p w14:paraId="7A6A708B" w14:textId="77777777" w:rsidR="0062539F" w:rsidRPr="005A1F62" w:rsidRDefault="0062539F" w:rsidP="0062539F">
            <w:pPr>
              <w:jc w:val="both"/>
            </w:pPr>
          </w:p>
          <w:p w14:paraId="09754BFB" w14:textId="6B67039D" w:rsidR="00591ABF" w:rsidRPr="005A1F62" w:rsidRDefault="00591ABF" w:rsidP="0062539F">
            <w:pPr>
              <w:jc w:val="both"/>
            </w:pPr>
            <w:r w:rsidRPr="005A1F62">
              <w:t>или</w:t>
            </w:r>
          </w:p>
          <w:p w14:paraId="1511502A" w14:textId="77777777" w:rsidR="00591ABF" w:rsidRPr="005A1F62" w:rsidRDefault="00591ABF" w:rsidP="0062539F">
            <w:pPr>
              <w:jc w:val="both"/>
            </w:pPr>
          </w:p>
          <w:p w14:paraId="236DAFB6" w14:textId="3C6CDAFC" w:rsidR="008A7830" w:rsidRPr="005A1F62" w:rsidRDefault="0066514B" w:rsidP="0062539F">
            <w:pPr>
              <w:jc w:val="both"/>
            </w:pPr>
            <w:r w:rsidRPr="005A1F62">
              <w:t xml:space="preserve">от </w:t>
            </w:r>
            <w:r w:rsidR="008A7830" w:rsidRPr="005A1F62">
              <w:t xml:space="preserve">0 до 2,5 в </w:t>
            </w:r>
            <w:r w:rsidR="00591ABF" w:rsidRPr="005A1F62">
              <w:t xml:space="preserve">зависимости от </w:t>
            </w:r>
            <w:r w:rsidR="008A7830" w:rsidRPr="005A1F62">
              <w:t>давности происшествия и его влияния на репутацию банка</w:t>
            </w:r>
            <w:r w:rsidR="00DF69DC" w:rsidRPr="005A1F62">
              <w:t xml:space="preserve">. Например, отсутствие вычета возможно в случае смены топ-менеджмента и (или) </w:t>
            </w:r>
            <w:r w:rsidR="00DF69DC" w:rsidRPr="005A1F62">
              <w:lastRenderedPageBreak/>
              <w:t>контролирующих собственников после проведения следственных мероприятий</w:t>
            </w:r>
            <w:r w:rsidRPr="005A1F62">
              <w:t>;</w:t>
            </w:r>
          </w:p>
          <w:p w14:paraId="09B7165A" w14:textId="77777777" w:rsidR="0062539F" w:rsidRPr="005A1F62" w:rsidRDefault="0062539F" w:rsidP="0062539F">
            <w:pPr>
              <w:jc w:val="both"/>
            </w:pPr>
          </w:p>
          <w:p w14:paraId="70DA3D57" w14:textId="4FE122EE" w:rsidR="008A7830" w:rsidRPr="005A1F62" w:rsidRDefault="008A7830" w:rsidP="0062539F">
            <w:pPr>
              <w:jc w:val="both"/>
            </w:pPr>
            <w:r w:rsidRPr="005A1F62">
              <w:t>или</w:t>
            </w:r>
          </w:p>
          <w:p w14:paraId="667E11C6" w14:textId="77777777" w:rsidR="008A7830" w:rsidRPr="005A1F62" w:rsidRDefault="008A7830" w:rsidP="0062539F">
            <w:pPr>
              <w:jc w:val="both"/>
            </w:pPr>
          </w:p>
          <w:p w14:paraId="6948931E" w14:textId="162089F0" w:rsidR="008A7830" w:rsidRPr="005A1F62" w:rsidRDefault="0066514B" w:rsidP="0062539F">
            <w:pPr>
              <w:jc w:val="both"/>
            </w:pPr>
            <w:r w:rsidRPr="005A1F62">
              <w:t xml:space="preserve">от </w:t>
            </w:r>
            <w:r w:rsidR="008A7830" w:rsidRPr="005A1F62">
              <w:t>0 до 2,5 в зависимости от степени связи собственников / топ-менеджеров с криминальными структурами (рассматриваться может в том числе родственная связь) таких физических лиц с криминальными структурами</w:t>
            </w:r>
          </w:p>
        </w:tc>
      </w:tr>
      <w:tr w:rsidR="008A7830" w:rsidRPr="005A1F62" w14:paraId="05021317" w14:textId="77777777" w:rsidTr="00DF69DC">
        <w:trPr>
          <w:trHeight w:val="20"/>
        </w:trPr>
        <w:tc>
          <w:tcPr>
            <w:tcW w:w="578" w:type="dxa"/>
            <w:shd w:val="clear" w:color="auto" w:fill="auto"/>
            <w:vAlign w:val="center"/>
          </w:tcPr>
          <w:p w14:paraId="41B4D5EF" w14:textId="3FE43112" w:rsidR="008A7830" w:rsidRPr="005A1F62" w:rsidRDefault="008A7830" w:rsidP="0062539F">
            <w:r w:rsidRPr="005A1F62">
              <w:lastRenderedPageBreak/>
              <w:t>2</w:t>
            </w:r>
          </w:p>
        </w:tc>
        <w:tc>
          <w:tcPr>
            <w:tcW w:w="4422" w:type="dxa"/>
            <w:shd w:val="clear" w:color="auto" w:fill="auto"/>
            <w:vAlign w:val="center"/>
            <w:hideMark/>
          </w:tcPr>
          <w:p w14:paraId="70D75282" w14:textId="77D8100C" w:rsidR="008A7830" w:rsidRPr="005A1F62" w:rsidRDefault="008A7830" w:rsidP="0062539F">
            <w:pPr>
              <w:jc w:val="both"/>
            </w:pPr>
            <w:r w:rsidRPr="005A1F62">
              <w:t>Работа собственников или топ-менеджмента банка (в том числе главного бухгалтера, руководителя службы управления рисками, руководителя службы внутреннего контроля, руководителя службы внутреннего аудита) в иных организациях финансового и нефинансового сектора, которые впоследствии допустили дефолт / лицензия которых была отозвана или которые были переданы на санацию, если данные физлица при этом занимали руководящие должности до дефолта</w:t>
            </w:r>
            <w:r w:rsidR="0066514B" w:rsidRPr="005A1F62">
              <w:t xml:space="preserve"> </w:t>
            </w:r>
            <w:r w:rsidRPr="005A1F62">
              <w:t>/</w:t>
            </w:r>
            <w:r w:rsidR="0066514B" w:rsidRPr="005A1F62">
              <w:t xml:space="preserve"> </w:t>
            </w:r>
            <w:r w:rsidRPr="005A1F62">
              <w:t>санации</w:t>
            </w:r>
          </w:p>
        </w:tc>
        <w:tc>
          <w:tcPr>
            <w:tcW w:w="4242" w:type="dxa"/>
            <w:shd w:val="clear" w:color="auto" w:fill="auto"/>
            <w:vAlign w:val="center"/>
            <w:hideMark/>
          </w:tcPr>
          <w:p w14:paraId="0F8539AB" w14:textId="65DB00B4" w:rsidR="008A7830" w:rsidRPr="005A1F62" w:rsidRDefault="008A7830" w:rsidP="0062539F">
            <w:pPr>
              <w:jc w:val="both"/>
            </w:pPr>
            <w:r w:rsidRPr="005A1F62">
              <w:t>От 0 до 2 в зависимости от давности события и доли таких физлиц в капитале банка</w:t>
            </w:r>
            <w:r w:rsidR="0066514B" w:rsidRPr="005A1F62">
              <w:t xml:space="preserve"> </w:t>
            </w:r>
            <w:r w:rsidRPr="005A1F62">
              <w:t>/</w:t>
            </w:r>
            <w:r w:rsidR="0066514B" w:rsidRPr="005A1F62">
              <w:t xml:space="preserve"> </w:t>
            </w:r>
            <w:r w:rsidRPr="005A1F62">
              <w:t>должности менеджера</w:t>
            </w:r>
          </w:p>
        </w:tc>
      </w:tr>
      <w:tr w:rsidR="008A7830" w:rsidRPr="005A1F62" w14:paraId="15C5CAFB" w14:textId="77777777" w:rsidTr="00DF69DC">
        <w:trPr>
          <w:trHeight w:val="20"/>
        </w:trPr>
        <w:tc>
          <w:tcPr>
            <w:tcW w:w="578" w:type="dxa"/>
            <w:shd w:val="clear" w:color="auto" w:fill="auto"/>
            <w:vAlign w:val="center"/>
          </w:tcPr>
          <w:p w14:paraId="370D38C9" w14:textId="6192EA74" w:rsidR="008A7830" w:rsidRPr="005A1F62" w:rsidRDefault="0087439C" w:rsidP="0062539F">
            <w:pPr>
              <w:pStyle w:val="Default"/>
              <w:rPr>
                <w:rFonts w:ascii="Times New Roman" w:hAnsi="Times New Roman" w:cs="Times New Roman"/>
                <w:color w:val="auto"/>
              </w:rPr>
            </w:pPr>
            <w:r w:rsidRPr="005A1F62">
              <w:rPr>
                <w:rFonts w:ascii="Times New Roman" w:hAnsi="Times New Roman" w:cs="Times New Roman"/>
                <w:color w:val="auto"/>
              </w:rPr>
              <w:t>3</w:t>
            </w:r>
          </w:p>
        </w:tc>
        <w:tc>
          <w:tcPr>
            <w:tcW w:w="4422" w:type="dxa"/>
            <w:shd w:val="clear" w:color="auto" w:fill="auto"/>
            <w:vAlign w:val="center"/>
          </w:tcPr>
          <w:p w14:paraId="3BA31526" w14:textId="68E0751F" w:rsidR="008A7830" w:rsidRPr="005A1F62" w:rsidRDefault="008A7830" w:rsidP="0062539F">
            <w:pPr>
              <w:pStyle w:val="Default"/>
              <w:jc w:val="both"/>
              <w:rPr>
                <w:rFonts w:ascii="Times New Roman" w:hAnsi="Times New Roman" w:cs="Times New Roman"/>
                <w:color w:val="auto"/>
              </w:rPr>
            </w:pPr>
            <w:r w:rsidRPr="005A1F62">
              <w:rPr>
                <w:rFonts w:ascii="Times New Roman" w:hAnsi="Times New Roman" w:cs="Times New Roman"/>
                <w:color w:val="auto"/>
              </w:rPr>
              <w:t xml:space="preserve">Собственниками банка являются «технические» компании или номинальные лица, при этом реальные бенефициары </w:t>
            </w:r>
            <w:r w:rsidR="00793246" w:rsidRPr="005A1F62">
              <w:rPr>
                <w:rFonts w:ascii="Times New Roman" w:hAnsi="Times New Roman" w:cs="Times New Roman"/>
                <w:color w:val="auto"/>
              </w:rPr>
              <w:t>А</w:t>
            </w:r>
            <w:r w:rsidRPr="005A1F62">
              <w:rPr>
                <w:rFonts w:ascii="Times New Roman" w:hAnsi="Times New Roman" w:cs="Times New Roman"/>
                <w:color w:val="auto"/>
              </w:rPr>
              <w:t>гентству неизвестны</w:t>
            </w:r>
          </w:p>
        </w:tc>
        <w:tc>
          <w:tcPr>
            <w:tcW w:w="4242" w:type="dxa"/>
            <w:shd w:val="clear" w:color="auto" w:fill="auto"/>
            <w:vAlign w:val="center"/>
          </w:tcPr>
          <w:p w14:paraId="7A6F2AB1" w14:textId="134994C5" w:rsidR="008A7830" w:rsidRPr="005A1F62" w:rsidRDefault="008A7830" w:rsidP="0062539F">
            <w:pPr>
              <w:pStyle w:val="Default"/>
              <w:jc w:val="both"/>
              <w:rPr>
                <w:rFonts w:ascii="Times New Roman" w:hAnsi="Times New Roman" w:cs="Times New Roman"/>
                <w:color w:val="auto"/>
              </w:rPr>
            </w:pPr>
            <w:r w:rsidRPr="005A1F62">
              <w:rPr>
                <w:rFonts w:ascii="Times New Roman" w:eastAsia="Times New Roman" w:hAnsi="Times New Roman" w:cs="Times New Roman"/>
                <w:color w:val="auto"/>
                <w:lang w:eastAsia="ru-RU"/>
              </w:rPr>
              <w:t>От 0,5 до 2 в зависимости от доли таких собственников в капитале банка и уровня дополнительных рисков, возникающих из-за непрозрачной структуры собственности</w:t>
            </w:r>
          </w:p>
        </w:tc>
      </w:tr>
      <w:tr w:rsidR="008A7830" w:rsidRPr="005A1F62" w14:paraId="7190D73F" w14:textId="77777777" w:rsidTr="00DF69DC">
        <w:trPr>
          <w:trHeight w:val="20"/>
        </w:trPr>
        <w:tc>
          <w:tcPr>
            <w:tcW w:w="578" w:type="dxa"/>
            <w:shd w:val="clear" w:color="auto" w:fill="auto"/>
            <w:vAlign w:val="center"/>
          </w:tcPr>
          <w:p w14:paraId="1DD17F6A" w14:textId="56A94C41" w:rsidR="008A7830" w:rsidRPr="005A1F62" w:rsidRDefault="0087439C" w:rsidP="0062539F">
            <w:pPr>
              <w:pStyle w:val="Default"/>
              <w:rPr>
                <w:rFonts w:ascii="Times New Roman" w:hAnsi="Times New Roman" w:cs="Times New Roman"/>
                <w:color w:val="auto"/>
              </w:rPr>
            </w:pPr>
            <w:r w:rsidRPr="005A1F62">
              <w:rPr>
                <w:rFonts w:ascii="Times New Roman" w:hAnsi="Times New Roman" w:cs="Times New Roman"/>
                <w:color w:val="auto"/>
              </w:rPr>
              <w:t>4</w:t>
            </w:r>
          </w:p>
        </w:tc>
        <w:tc>
          <w:tcPr>
            <w:tcW w:w="4422" w:type="dxa"/>
            <w:shd w:val="clear" w:color="auto" w:fill="auto"/>
            <w:vAlign w:val="center"/>
          </w:tcPr>
          <w:p w14:paraId="5C7B01AF" w14:textId="0281B0A9" w:rsidR="008A7830" w:rsidRPr="005A1F62" w:rsidRDefault="008A7830" w:rsidP="0062539F">
            <w:pPr>
              <w:pStyle w:val="Default"/>
              <w:jc w:val="both"/>
              <w:rPr>
                <w:rFonts w:ascii="Times New Roman" w:hAnsi="Times New Roman" w:cs="Times New Roman"/>
                <w:color w:val="auto"/>
              </w:rPr>
            </w:pPr>
            <w:r w:rsidRPr="005A1F62">
              <w:rPr>
                <w:rFonts w:ascii="Times New Roman" w:hAnsi="Times New Roman" w:cs="Times New Roman"/>
                <w:color w:val="auto"/>
              </w:rPr>
              <w:t xml:space="preserve">Привлечение судом к субсидиарной ответственности участников (учредителей) и (или) руководителя </w:t>
            </w:r>
            <w:r w:rsidR="006C7BAC" w:rsidRPr="005A1F62">
              <w:rPr>
                <w:rFonts w:ascii="Times New Roman" w:hAnsi="Times New Roman" w:cs="Times New Roman"/>
                <w:color w:val="auto"/>
              </w:rPr>
              <w:t>банка</w:t>
            </w:r>
          </w:p>
        </w:tc>
        <w:tc>
          <w:tcPr>
            <w:tcW w:w="4242" w:type="dxa"/>
            <w:shd w:val="clear" w:color="auto" w:fill="auto"/>
            <w:vAlign w:val="center"/>
          </w:tcPr>
          <w:p w14:paraId="75FC77E7" w14:textId="4462E9E8" w:rsidR="008A7830" w:rsidRPr="005A1F62" w:rsidRDefault="008A7830" w:rsidP="0062539F">
            <w:pPr>
              <w:pStyle w:val="Default"/>
              <w:jc w:val="both"/>
              <w:rPr>
                <w:rFonts w:ascii="Times New Roman" w:hAnsi="Times New Roman" w:cs="Times New Roman"/>
                <w:color w:val="auto"/>
              </w:rPr>
            </w:pPr>
            <w:r w:rsidRPr="005A1F62">
              <w:rPr>
                <w:rFonts w:ascii="Times New Roman" w:hAnsi="Times New Roman" w:cs="Times New Roman"/>
                <w:color w:val="auto"/>
              </w:rPr>
              <w:t xml:space="preserve">От 0,5 до 2 в зависимости от доли такого собственника в капитале </w:t>
            </w:r>
            <w:r w:rsidR="00DF69DC" w:rsidRPr="005A1F62">
              <w:rPr>
                <w:rFonts w:ascii="Times New Roman" w:hAnsi="Times New Roman" w:cs="Times New Roman"/>
                <w:color w:val="auto"/>
              </w:rPr>
              <w:t>объекта рейтинга</w:t>
            </w:r>
            <w:r w:rsidRPr="005A1F62">
              <w:rPr>
                <w:rFonts w:ascii="Times New Roman" w:hAnsi="Times New Roman" w:cs="Times New Roman"/>
                <w:color w:val="auto"/>
              </w:rPr>
              <w:t xml:space="preserve"> и давности привлечения к субсидиарной ответственности </w:t>
            </w:r>
          </w:p>
        </w:tc>
      </w:tr>
      <w:tr w:rsidR="008A7830" w:rsidRPr="005A1F62" w14:paraId="02D844D1" w14:textId="77777777" w:rsidTr="00DF69DC">
        <w:trPr>
          <w:trHeight w:val="20"/>
        </w:trPr>
        <w:tc>
          <w:tcPr>
            <w:tcW w:w="578" w:type="dxa"/>
            <w:shd w:val="clear" w:color="auto" w:fill="auto"/>
            <w:vAlign w:val="center"/>
          </w:tcPr>
          <w:p w14:paraId="0CAC96C7" w14:textId="59E2D6B4" w:rsidR="008A7830" w:rsidRPr="005A1F62" w:rsidRDefault="0087439C" w:rsidP="0062539F">
            <w:r w:rsidRPr="005A1F62">
              <w:t>5</w:t>
            </w:r>
          </w:p>
        </w:tc>
        <w:tc>
          <w:tcPr>
            <w:tcW w:w="4422" w:type="dxa"/>
            <w:shd w:val="clear" w:color="auto" w:fill="auto"/>
            <w:vAlign w:val="center"/>
            <w:hideMark/>
          </w:tcPr>
          <w:p w14:paraId="6008AA44" w14:textId="0911D888" w:rsidR="008A7830" w:rsidRPr="005A1F62" w:rsidRDefault="008A7830" w:rsidP="0062539F">
            <w:pPr>
              <w:jc w:val="both"/>
            </w:pPr>
            <w:r w:rsidRPr="005A1F62">
              <w:t xml:space="preserve">Привлечение собственников и (или) топ-менеджмента банка к уголовной ответственности </w:t>
            </w:r>
          </w:p>
        </w:tc>
        <w:tc>
          <w:tcPr>
            <w:tcW w:w="4242" w:type="dxa"/>
            <w:shd w:val="clear" w:color="auto" w:fill="auto"/>
            <w:vAlign w:val="center"/>
            <w:hideMark/>
          </w:tcPr>
          <w:p w14:paraId="4778DD8D" w14:textId="77777777" w:rsidR="008A7830" w:rsidRPr="005A1F62" w:rsidRDefault="008A7830" w:rsidP="0062539F">
            <w:pPr>
              <w:jc w:val="both"/>
            </w:pPr>
            <w:r w:rsidRPr="005A1F62">
              <w:t>От 0,5 до 2,5 в зависимости от типа преступления, тяжести наказания и погашения судимости</w:t>
            </w:r>
          </w:p>
        </w:tc>
      </w:tr>
      <w:tr w:rsidR="00926793" w:rsidRPr="005A1F62" w14:paraId="53BE48F1" w14:textId="77777777" w:rsidTr="00DF69DC">
        <w:trPr>
          <w:trHeight w:val="20"/>
        </w:trPr>
        <w:tc>
          <w:tcPr>
            <w:tcW w:w="578" w:type="dxa"/>
            <w:shd w:val="clear" w:color="auto" w:fill="auto"/>
            <w:vAlign w:val="center"/>
          </w:tcPr>
          <w:p w14:paraId="103E9DE4" w14:textId="394432A6" w:rsidR="00926793" w:rsidRPr="005A1F62" w:rsidRDefault="00926793" w:rsidP="0062539F">
            <w:r w:rsidRPr="005A1F62">
              <w:t>6</w:t>
            </w:r>
          </w:p>
        </w:tc>
        <w:tc>
          <w:tcPr>
            <w:tcW w:w="4422" w:type="dxa"/>
            <w:shd w:val="clear" w:color="auto" w:fill="auto"/>
            <w:vAlign w:val="center"/>
            <w:hideMark/>
          </w:tcPr>
          <w:p w14:paraId="3DD4AA31" w14:textId="303A8AF1" w:rsidR="00926793" w:rsidRPr="005A1F62" w:rsidRDefault="00926793" w:rsidP="0062539F">
            <w:pPr>
              <w:jc w:val="both"/>
            </w:pPr>
            <w:r w:rsidRPr="005A1F62">
              <w:t>Нахождение собственника или топ-менеджера</w:t>
            </w:r>
            <w:r w:rsidRPr="005A1F62">
              <w:rPr>
                <w:rStyle w:val="a9"/>
              </w:rPr>
              <w:footnoteReference w:id="9"/>
            </w:r>
            <w:r w:rsidRPr="005A1F62">
              <w:t xml:space="preserve"> банка в розыске</w:t>
            </w:r>
            <w:r w:rsidR="004B32CE" w:rsidRPr="005A1F62">
              <w:t>,</w:t>
            </w:r>
            <w:r w:rsidRPr="005A1F62">
              <w:t xml:space="preserve"> </w:t>
            </w:r>
            <w:r w:rsidRPr="005A1F62">
              <w:t xml:space="preserve">в </w:t>
            </w:r>
            <w:r w:rsidR="006C7BAC" w:rsidRPr="005A1F62">
              <w:t>следственном изоляторе</w:t>
            </w:r>
            <w:r w:rsidRPr="005A1F62">
              <w:t xml:space="preserve">, под подпиской о невыезде, под домашним арестом и т.д. </w:t>
            </w:r>
            <w:r w:rsidRPr="005A1F62">
              <w:t>в рамках уголовного преследования (в том числе в прошлом)</w:t>
            </w:r>
          </w:p>
        </w:tc>
        <w:tc>
          <w:tcPr>
            <w:tcW w:w="4242" w:type="dxa"/>
            <w:shd w:val="clear" w:color="auto" w:fill="auto"/>
            <w:vAlign w:val="center"/>
            <w:hideMark/>
          </w:tcPr>
          <w:p w14:paraId="2291F059" w14:textId="1D968CE2" w:rsidR="00926793" w:rsidRPr="005A1F62" w:rsidRDefault="00926793" w:rsidP="0062539F">
            <w:pPr>
              <w:jc w:val="both"/>
            </w:pPr>
            <w:r w:rsidRPr="005A1F62">
              <w:t>От 0 до 2,5 в зависимости от доли такого собственника в капитале компании, должности топ-менеджера, давности события, снятия уголовной ответственности</w:t>
            </w:r>
          </w:p>
        </w:tc>
      </w:tr>
      <w:tr w:rsidR="008A7830" w:rsidRPr="005A1F62" w14:paraId="114E48BF" w14:textId="77777777" w:rsidTr="00DF69DC">
        <w:trPr>
          <w:trHeight w:val="20"/>
        </w:trPr>
        <w:tc>
          <w:tcPr>
            <w:tcW w:w="578" w:type="dxa"/>
            <w:shd w:val="clear" w:color="auto" w:fill="auto"/>
            <w:vAlign w:val="center"/>
          </w:tcPr>
          <w:p w14:paraId="0E114DEB" w14:textId="2634CB48" w:rsidR="008A7830" w:rsidRPr="005A1F62" w:rsidRDefault="0087439C" w:rsidP="0062539F">
            <w:r w:rsidRPr="005A1F62">
              <w:lastRenderedPageBreak/>
              <w:t>7</w:t>
            </w:r>
          </w:p>
        </w:tc>
        <w:tc>
          <w:tcPr>
            <w:tcW w:w="4422" w:type="dxa"/>
            <w:shd w:val="clear" w:color="auto" w:fill="auto"/>
            <w:vAlign w:val="center"/>
            <w:hideMark/>
          </w:tcPr>
          <w:p w14:paraId="460131BF" w14:textId="33A78B2D" w:rsidR="008A7830" w:rsidRPr="005A1F62" w:rsidRDefault="008A7830" w:rsidP="0062539F">
            <w:pPr>
              <w:jc w:val="both"/>
            </w:pPr>
            <w:r w:rsidRPr="005A1F62">
              <w:t xml:space="preserve">Наличие исполнительного производства о наложении ареста на имущество </w:t>
            </w:r>
            <w:r w:rsidR="00DF69DC" w:rsidRPr="005A1F62">
              <w:t xml:space="preserve">объекта рейтинга </w:t>
            </w:r>
            <w:r w:rsidRPr="005A1F62">
              <w:t xml:space="preserve">или его </w:t>
            </w:r>
            <w:proofErr w:type="gramStart"/>
            <w:r w:rsidRPr="005A1F62">
              <w:t>собственников</w:t>
            </w:r>
            <w:proofErr w:type="gramEnd"/>
            <w:r w:rsidRPr="005A1F62">
              <w:t xml:space="preserve"> или наличие текущих неурегулированных судебных процессов и разбирательств с участием банка, имеющих существенное значение для его деятельности (в результате реализации которых возможно снижение собственного капитала банка более чем на 10%)</w:t>
            </w:r>
          </w:p>
        </w:tc>
        <w:tc>
          <w:tcPr>
            <w:tcW w:w="4242" w:type="dxa"/>
            <w:shd w:val="clear" w:color="auto" w:fill="auto"/>
            <w:vAlign w:val="center"/>
            <w:hideMark/>
          </w:tcPr>
          <w:p w14:paraId="36DE5151" w14:textId="77777777" w:rsidR="008A7830" w:rsidRPr="005A1F62" w:rsidRDefault="008A7830" w:rsidP="0062539F">
            <w:pPr>
              <w:jc w:val="both"/>
            </w:pPr>
            <w:r w:rsidRPr="005A1F62">
              <w:t xml:space="preserve">От 0,5 до 2,5 в зависимости от: </w:t>
            </w:r>
          </w:p>
          <w:p w14:paraId="09E25D9B" w14:textId="3D93055B" w:rsidR="008A7830" w:rsidRPr="005A1F62" w:rsidRDefault="008A7830" w:rsidP="0062539F">
            <w:pPr>
              <w:jc w:val="both"/>
            </w:pPr>
            <w:r w:rsidRPr="005A1F62">
              <w:t xml:space="preserve">• суммы выплат и доли такого собственника в капитале </w:t>
            </w:r>
            <w:r w:rsidR="00DF69DC" w:rsidRPr="005A1F62">
              <w:t>объекта рейтинга</w:t>
            </w:r>
            <w:r w:rsidRPr="005A1F62">
              <w:t>,</w:t>
            </w:r>
          </w:p>
          <w:p w14:paraId="4C2DBA3B" w14:textId="4C413CE3" w:rsidR="008A7830" w:rsidRPr="005A1F62" w:rsidRDefault="008A7830" w:rsidP="0062539F">
            <w:pPr>
              <w:jc w:val="both"/>
            </w:pPr>
            <w:r w:rsidRPr="005A1F62">
              <w:t xml:space="preserve">• перспектив и последствий принятия решения судом не в пользу </w:t>
            </w:r>
            <w:r w:rsidR="00DF69DC" w:rsidRPr="005A1F62">
              <w:t xml:space="preserve">объекта рейтинга </w:t>
            </w:r>
            <w:r w:rsidRPr="005A1F62">
              <w:t>на выполнение компанией нормативных требований</w:t>
            </w:r>
          </w:p>
        </w:tc>
      </w:tr>
      <w:tr w:rsidR="008A7830" w:rsidRPr="005A1F62" w14:paraId="7CB81AC5" w14:textId="77777777" w:rsidTr="00DF69DC">
        <w:trPr>
          <w:trHeight w:val="20"/>
        </w:trPr>
        <w:tc>
          <w:tcPr>
            <w:tcW w:w="578" w:type="dxa"/>
            <w:shd w:val="clear" w:color="auto" w:fill="auto"/>
            <w:vAlign w:val="center"/>
          </w:tcPr>
          <w:p w14:paraId="5B417EB4" w14:textId="4E98ABE0" w:rsidR="008A7830" w:rsidRPr="005A1F62" w:rsidRDefault="0087439C" w:rsidP="0062539F">
            <w:r w:rsidRPr="005A1F62">
              <w:t>8</w:t>
            </w:r>
          </w:p>
        </w:tc>
        <w:tc>
          <w:tcPr>
            <w:tcW w:w="4422" w:type="dxa"/>
            <w:shd w:val="clear" w:color="auto" w:fill="auto"/>
            <w:vAlign w:val="center"/>
          </w:tcPr>
          <w:p w14:paraId="03497CAA" w14:textId="48E6D9E2" w:rsidR="008A7830" w:rsidRPr="005A1F62" w:rsidRDefault="008A7830" w:rsidP="0062539F">
            <w:pPr>
              <w:jc w:val="both"/>
            </w:pPr>
            <w:r w:rsidRPr="005A1F62">
              <w:t>Значительный объем операций без очевидного экономического смысла (например, привлечение дорогих средств ФЛ и их размещение на корреспондентских счетах в значительном объеме без получения дохода)</w:t>
            </w:r>
          </w:p>
        </w:tc>
        <w:tc>
          <w:tcPr>
            <w:tcW w:w="4242" w:type="dxa"/>
            <w:shd w:val="clear" w:color="auto" w:fill="auto"/>
            <w:vAlign w:val="center"/>
          </w:tcPr>
          <w:p w14:paraId="35403EDB" w14:textId="77777777" w:rsidR="008A7830" w:rsidRPr="005A1F62" w:rsidRDefault="008A7830" w:rsidP="0062539F">
            <w:pPr>
              <w:jc w:val="both"/>
            </w:pPr>
            <w:r w:rsidRPr="005A1F62">
              <w:t>От 0 до 1 в зависимости от объема таких операций</w:t>
            </w:r>
          </w:p>
        </w:tc>
      </w:tr>
      <w:tr w:rsidR="008A7830" w:rsidRPr="005A1F62" w14:paraId="05DD21AA" w14:textId="77777777" w:rsidTr="00DF69DC">
        <w:trPr>
          <w:trHeight w:val="20"/>
        </w:trPr>
        <w:tc>
          <w:tcPr>
            <w:tcW w:w="578" w:type="dxa"/>
            <w:shd w:val="clear" w:color="auto" w:fill="auto"/>
            <w:vAlign w:val="center"/>
          </w:tcPr>
          <w:p w14:paraId="65E68BDE" w14:textId="0C7F7671" w:rsidR="008A7830" w:rsidRPr="005A1F62" w:rsidRDefault="0087439C" w:rsidP="0062539F">
            <w:r w:rsidRPr="005A1F62">
              <w:t>9</w:t>
            </w:r>
          </w:p>
        </w:tc>
        <w:tc>
          <w:tcPr>
            <w:tcW w:w="4422" w:type="dxa"/>
            <w:shd w:val="clear" w:color="auto" w:fill="auto"/>
            <w:vAlign w:val="center"/>
            <w:hideMark/>
          </w:tcPr>
          <w:p w14:paraId="3DE7E5C9" w14:textId="7AA6A3CB" w:rsidR="008A7830" w:rsidRPr="005A1F62" w:rsidRDefault="008A7830" w:rsidP="0062539F">
            <w:pPr>
              <w:jc w:val="both"/>
            </w:pPr>
            <w:r w:rsidRPr="005A1F62">
              <w:t>Наличие корпоративных конфликтов между владельцами банка, которые потенциально могут негативно повлиять на кредитоспособность банка</w:t>
            </w:r>
          </w:p>
        </w:tc>
        <w:tc>
          <w:tcPr>
            <w:tcW w:w="4242" w:type="dxa"/>
            <w:shd w:val="clear" w:color="auto" w:fill="auto"/>
            <w:vAlign w:val="center"/>
            <w:hideMark/>
          </w:tcPr>
          <w:p w14:paraId="0467315B" w14:textId="77777777" w:rsidR="008A7830" w:rsidRPr="005A1F62" w:rsidRDefault="008A7830" w:rsidP="0062539F">
            <w:pPr>
              <w:jc w:val="both"/>
            </w:pPr>
            <w:r w:rsidRPr="005A1F62">
              <w:t>От 0,5 до 2,5 в зависимости от перспектив урегулирования конфликта</w:t>
            </w:r>
          </w:p>
        </w:tc>
      </w:tr>
      <w:tr w:rsidR="008A7830" w:rsidRPr="005A1F62" w14:paraId="4B156852" w14:textId="77777777" w:rsidTr="00DF69DC">
        <w:trPr>
          <w:trHeight w:val="20"/>
        </w:trPr>
        <w:tc>
          <w:tcPr>
            <w:tcW w:w="578" w:type="dxa"/>
            <w:shd w:val="clear" w:color="auto" w:fill="auto"/>
            <w:vAlign w:val="center"/>
          </w:tcPr>
          <w:p w14:paraId="43D05E37" w14:textId="4448AB2E" w:rsidR="008A7830" w:rsidRPr="005A1F62" w:rsidRDefault="0087439C" w:rsidP="0062539F">
            <w:r w:rsidRPr="005A1F62">
              <w:t>10</w:t>
            </w:r>
          </w:p>
        </w:tc>
        <w:tc>
          <w:tcPr>
            <w:tcW w:w="4422" w:type="dxa"/>
            <w:shd w:val="clear" w:color="auto" w:fill="auto"/>
            <w:vAlign w:val="center"/>
            <w:hideMark/>
          </w:tcPr>
          <w:p w14:paraId="0F6133AE" w14:textId="5890BDDB" w:rsidR="008A7830" w:rsidRPr="005A1F62" w:rsidRDefault="008A7830" w:rsidP="0062539F">
            <w:pPr>
              <w:jc w:val="both"/>
            </w:pPr>
            <w:r w:rsidRPr="005A1F62">
              <w:t>В аудиторском заключении (по РСБУ и (или) МСФО) аудитор дал отрицательное заключение / аудитор отказался от выражения мнения</w:t>
            </w:r>
          </w:p>
        </w:tc>
        <w:tc>
          <w:tcPr>
            <w:tcW w:w="4242" w:type="dxa"/>
            <w:shd w:val="clear" w:color="auto" w:fill="auto"/>
            <w:vAlign w:val="center"/>
            <w:hideMark/>
          </w:tcPr>
          <w:p w14:paraId="1F08412D" w14:textId="77777777" w:rsidR="008A7830" w:rsidRPr="005A1F62" w:rsidRDefault="008A7830" w:rsidP="0062539F">
            <w:pPr>
              <w:jc w:val="both"/>
            </w:pPr>
            <w:r w:rsidRPr="005A1F62">
              <w:t xml:space="preserve">2,5, если условие выполняется по последней подготовленной отчетности; </w:t>
            </w:r>
          </w:p>
          <w:p w14:paraId="1AB92036" w14:textId="77777777" w:rsidR="008A7830" w:rsidRPr="005A1F62" w:rsidRDefault="008A7830" w:rsidP="0062539F">
            <w:pPr>
              <w:jc w:val="both"/>
            </w:pPr>
            <w:r w:rsidRPr="005A1F62">
              <w:t>от 1 до 1,5, если после такого аудиторского заключения есть заключение за следующий период, в котором мнение аудитора немодифицированное</w:t>
            </w:r>
          </w:p>
        </w:tc>
      </w:tr>
      <w:tr w:rsidR="008A7830" w:rsidRPr="005A1F62" w14:paraId="74037B90" w14:textId="77777777" w:rsidTr="00DF69DC">
        <w:trPr>
          <w:trHeight w:val="20"/>
        </w:trPr>
        <w:tc>
          <w:tcPr>
            <w:tcW w:w="578" w:type="dxa"/>
            <w:shd w:val="clear" w:color="auto" w:fill="auto"/>
            <w:vAlign w:val="center"/>
          </w:tcPr>
          <w:p w14:paraId="46D84EA3" w14:textId="0C543131" w:rsidR="008A7830" w:rsidRPr="005A1F62" w:rsidRDefault="0087439C" w:rsidP="0062539F">
            <w:r w:rsidRPr="005A1F62">
              <w:t>11</w:t>
            </w:r>
          </w:p>
        </w:tc>
        <w:tc>
          <w:tcPr>
            <w:tcW w:w="4422" w:type="dxa"/>
            <w:shd w:val="clear" w:color="auto" w:fill="auto"/>
            <w:vAlign w:val="center"/>
            <w:hideMark/>
          </w:tcPr>
          <w:p w14:paraId="0F4FEE2E" w14:textId="2BBB2DC9" w:rsidR="008A7830" w:rsidRPr="005A1F62" w:rsidRDefault="008A7830" w:rsidP="0062539F">
            <w:pPr>
              <w:jc w:val="both"/>
            </w:pPr>
            <w:r w:rsidRPr="005A1F62">
              <w:t>В аудиторском заключении (по РСБУ и (или) МСФО) есть значимые оговорки</w:t>
            </w:r>
          </w:p>
        </w:tc>
        <w:tc>
          <w:tcPr>
            <w:tcW w:w="4242" w:type="dxa"/>
            <w:shd w:val="clear" w:color="auto" w:fill="auto"/>
            <w:vAlign w:val="center"/>
            <w:hideMark/>
          </w:tcPr>
          <w:p w14:paraId="08710CC4" w14:textId="77777777" w:rsidR="008A7830" w:rsidRPr="005A1F62" w:rsidRDefault="008A7830" w:rsidP="0062539F">
            <w:pPr>
              <w:jc w:val="both"/>
            </w:pPr>
            <w:r w:rsidRPr="005A1F62">
              <w:t xml:space="preserve">От 0,5 до 2,5 в зависимости от значимости оговорки и давности такого заключения </w:t>
            </w:r>
          </w:p>
        </w:tc>
      </w:tr>
      <w:tr w:rsidR="008A7830" w:rsidRPr="005A1F62" w14:paraId="31AF008B" w14:textId="77777777" w:rsidTr="00DF69DC">
        <w:trPr>
          <w:trHeight w:val="20"/>
        </w:trPr>
        <w:tc>
          <w:tcPr>
            <w:tcW w:w="578" w:type="dxa"/>
            <w:shd w:val="clear" w:color="auto" w:fill="auto"/>
            <w:vAlign w:val="center"/>
          </w:tcPr>
          <w:p w14:paraId="036C7550" w14:textId="5D28EF92" w:rsidR="008A7830" w:rsidRPr="005A1F62" w:rsidRDefault="0087439C" w:rsidP="0062539F">
            <w:r w:rsidRPr="005A1F62">
              <w:t>12</w:t>
            </w:r>
          </w:p>
        </w:tc>
        <w:tc>
          <w:tcPr>
            <w:tcW w:w="4422" w:type="dxa"/>
            <w:shd w:val="clear" w:color="auto" w:fill="auto"/>
            <w:vAlign w:val="center"/>
          </w:tcPr>
          <w:p w14:paraId="44A844A4" w14:textId="79C84AD2" w:rsidR="008A7830" w:rsidRPr="005A1F62" w:rsidRDefault="008A7830" w:rsidP="0062539F">
            <w:pPr>
              <w:jc w:val="both"/>
            </w:pPr>
            <w:r w:rsidRPr="005A1F62">
              <w:t>Репутация аудитора банка по РСБУ и (или) МСФО по последней подготовленной и заверенной отчетности является сомнительной</w:t>
            </w:r>
            <w:r w:rsidRPr="005A1F62">
              <w:rPr>
                <w:rStyle w:val="a9"/>
              </w:rPr>
              <w:footnoteReference w:id="10"/>
            </w:r>
            <w:r w:rsidRPr="005A1F62">
              <w:t xml:space="preserve"> (если при этом применяется вычет по одному из </w:t>
            </w:r>
            <w:r w:rsidR="0066514B" w:rsidRPr="005A1F62">
              <w:t>дву</w:t>
            </w:r>
            <w:r w:rsidRPr="005A1F62">
              <w:t>х предшествующих пунктов, то вычет за репутацию аудитора не применяется)</w:t>
            </w:r>
          </w:p>
        </w:tc>
        <w:tc>
          <w:tcPr>
            <w:tcW w:w="4242" w:type="dxa"/>
            <w:shd w:val="clear" w:color="auto" w:fill="auto"/>
            <w:vAlign w:val="center"/>
          </w:tcPr>
          <w:p w14:paraId="065E0ED7" w14:textId="77777777" w:rsidR="008A7830" w:rsidRPr="005A1F62" w:rsidRDefault="008A7830" w:rsidP="0062539F">
            <w:pPr>
              <w:jc w:val="both"/>
            </w:pPr>
            <w:r w:rsidRPr="005A1F62">
              <w:t>От 0,5 до 1,5 в зависимости от:</w:t>
            </w:r>
          </w:p>
          <w:p w14:paraId="616BF79D" w14:textId="77777777" w:rsidR="008A7830" w:rsidRPr="005A1F62" w:rsidRDefault="008A7830" w:rsidP="00D44657">
            <w:pPr>
              <w:pStyle w:val="afb"/>
              <w:numPr>
                <w:ilvl w:val="0"/>
                <w:numId w:val="47"/>
              </w:numPr>
              <w:ind w:left="156" w:hanging="142"/>
              <w:jc w:val="both"/>
            </w:pPr>
            <w:r w:rsidRPr="005A1F62">
              <w:t>репутации аудитора,</w:t>
            </w:r>
          </w:p>
          <w:p w14:paraId="06073401" w14:textId="701E02CB" w:rsidR="008A7830" w:rsidRPr="005A1F62" w:rsidRDefault="008A7830" w:rsidP="00D44657">
            <w:pPr>
              <w:pStyle w:val="afb"/>
              <w:numPr>
                <w:ilvl w:val="0"/>
                <w:numId w:val="47"/>
              </w:numPr>
              <w:ind w:left="156" w:hanging="142"/>
              <w:jc w:val="both"/>
            </w:pPr>
            <w:r w:rsidRPr="005A1F62">
              <w:t>продолжительности сотрудничества с аудитором, репутация которого оценивается как сомнительная</w:t>
            </w:r>
            <w:r w:rsidR="0066514B" w:rsidRPr="005A1F62">
              <w:t>,</w:t>
            </w:r>
            <w:r w:rsidRPr="005A1F62">
              <w:t xml:space="preserve"> </w:t>
            </w:r>
          </w:p>
          <w:p w14:paraId="5D62C867" w14:textId="0E484D9B" w:rsidR="008A7830" w:rsidRPr="005A1F62" w:rsidRDefault="008A7830" w:rsidP="00D44657">
            <w:pPr>
              <w:pStyle w:val="afb"/>
              <w:numPr>
                <w:ilvl w:val="0"/>
                <w:numId w:val="47"/>
              </w:numPr>
              <w:ind w:left="156" w:hanging="142"/>
              <w:jc w:val="both"/>
            </w:pPr>
            <w:r w:rsidRPr="005A1F62">
              <w:t xml:space="preserve">объема работы аудитора (один или оба вида </w:t>
            </w:r>
            <w:r w:rsidR="0066514B" w:rsidRPr="005A1F62">
              <w:t>отчетности</w:t>
            </w:r>
            <w:r w:rsidRPr="005A1F62">
              <w:t>)</w:t>
            </w:r>
          </w:p>
        </w:tc>
      </w:tr>
      <w:tr w:rsidR="008A7830" w:rsidRPr="005A1F62" w14:paraId="2DC15734" w14:textId="77777777" w:rsidTr="00DF69DC">
        <w:trPr>
          <w:trHeight w:val="20"/>
        </w:trPr>
        <w:tc>
          <w:tcPr>
            <w:tcW w:w="578" w:type="dxa"/>
            <w:shd w:val="clear" w:color="auto" w:fill="auto"/>
            <w:vAlign w:val="center"/>
          </w:tcPr>
          <w:p w14:paraId="0AE3E03D" w14:textId="3FE78D7F" w:rsidR="008A7830" w:rsidRPr="005A1F62" w:rsidRDefault="0087439C" w:rsidP="0062539F">
            <w:r w:rsidRPr="005A1F62">
              <w:t>13</w:t>
            </w:r>
          </w:p>
        </w:tc>
        <w:tc>
          <w:tcPr>
            <w:tcW w:w="4422" w:type="dxa"/>
            <w:shd w:val="clear" w:color="auto" w:fill="auto"/>
            <w:vAlign w:val="center"/>
            <w:hideMark/>
          </w:tcPr>
          <w:p w14:paraId="565E3DDE" w14:textId="77777777" w:rsidR="008A7830" w:rsidRPr="005A1F62" w:rsidRDefault="008A7830" w:rsidP="0062539F">
            <w:pPr>
              <w:jc w:val="both"/>
            </w:pPr>
            <w:r w:rsidRPr="005A1F62">
              <w:t>В истории объекта рейтинга имеются факты проведения следственных мероприятий (обыски, выемки документов) со стороны правоохранительных органов</w:t>
            </w:r>
          </w:p>
          <w:p w14:paraId="1B60B5E3" w14:textId="77777777" w:rsidR="008A7830" w:rsidRPr="005A1F62" w:rsidRDefault="008A7830" w:rsidP="0062539F">
            <w:pPr>
              <w:jc w:val="both"/>
            </w:pPr>
          </w:p>
          <w:p w14:paraId="6BF30FEC" w14:textId="46CB0B1F" w:rsidR="008A7830" w:rsidRPr="005A1F62" w:rsidRDefault="008A7830" w:rsidP="0062539F">
            <w:pPr>
              <w:jc w:val="both"/>
            </w:pPr>
            <w:r w:rsidRPr="005A1F62">
              <w:t>или</w:t>
            </w:r>
          </w:p>
          <w:p w14:paraId="15DF8AAF" w14:textId="77777777" w:rsidR="008A7830" w:rsidRPr="005A1F62" w:rsidRDefault="008A7830" w:rsidP="0062539F">
            <w:pPr>
              <w:jc w:val="both"/>
            </w:pPr>
          </w:p>
          <w:p w14:paraId="54A472DB" w14:textId="4FCA0BEF" w:rsidR="008A7830" w:rsidRPr="005A1F62" w:rsidRDefault="0066514B" w:rsidP="0062539F">
            <w:pPr>
              <w:jc w:val="both"/>
            </w:pPr>
            <w:r w:rsidRPr="005A1F62">
              <w:t xml:space="preserve">подозрения </w:t>
            </w:r>
            <w:r w:rsidR="008A7830" w:rsidRPr="005A1F62">
              <w:t xml:space="preserve">на причастность собственников и </w:t>
            </w:r>
            <w:r w:rsidRPr="005A1F62">
              <w:t>(</w:t>
            </w:r>
            <w:r w:rsidR="008A7830" w:rsidRPr="005A1F62">
              <w:t>или</w:t>
            </w:r>
            <w:r w:rsidRPr="005A1F62">
              <w:t>)</w:t>
            </w:r>
            <w:r w:rsidR="00262006" w:rsidRPr="005A1F62">
              <w:t xml:space="preserve"> </w:t>
            </w:r>
            <w:r w:rsidR="008A7830" w:rsidRPr="005A1F62">
              <w:t>топ-менеджмента банка к криминальным структурам</w:t>
            </w:r>
            <w:r w:rsidRPr="005A1F62">
              <w:t xml:space="preserve">, </w:t>
            </w:r>
            <w:r w:rsidR="008A7830" w:rsidRPr="005A1F62">
              <w:t xml:space="preserve">в </w:t>
            </w:r>
            <w:r w:rsidRPr="005A1F62">
              <w:t>том числе</w:t>
            </w:r>
            <w:r w:rsidR="008A7830" w:rsidRPr="005A1F62">
              <w:t xml:space="preserve"> на основе непубличных источников информации (если при этом не применяется вычет по пунктам 1 и 12)</w:t>
            </w:r>
          </w:p>
        </w:tc>
        <w:tc>
          <w:tcPr>
            <w:tcW w:w="4242" w:type="dxa"/>
            <w:shd w:val="clear" w:color="auto" w:fill="auto"/>
            <w:vAlign w:val="center"/>
            <w:hideMark/>
          </w:tcPr>
          <w:p w14:paraId="10B1A2E7" w14:textId="40FF1FDF" w:rsidR="008A7830" w:rsidRPr="005A1F62" w:rsidRDefault="008A7830" w:rsidP="0062539F">
            <w:pPr>
              <w:jc w:val="both"/>
            </w:pPr>
            <w:r w:rsidRPr="005A1F62">
              <w:lastRenderedPageBreak/>
              <w:t>От 0 до 2,5 в зависимости от типа преступления, тяжести возможного наказания, давности происшествия и его влияния на репутацию банка. Например, о</w:t>
            </w:r>
            <w:r w:rsidR="0066514B" w:rsidRPr="005A1F62">
              <w:t>т</w:t>
            </w:r>
            <w:r w:rsidRPr="005A1F62">
              <w:t>сутс</w:t>
            </w:r>
            <w:r w:rsidR="0066514B" w:rsidRPr="005A1F62">
              <w:t>т</w:t>
            </w:r>
            <w:r w:rsidRPr="005A1F62">
              <w:t xml:space="preserve">вие штрафа </w:t>
            </w:r>
            <w:r w:rsidRPr="005A1F62">
              <w:lastRenderedPageBreak/>
              <w:t>возможно в случае смены топ-менеджмента и</w:t>
            </w:r>
            <w:r w:rsidR="0066514B" w:rsidRPr="005A1F62">
              <w:t xml:space="preserve"> (</w:t>
            </w:r>
            <w:r w:rsidRPr="005A1F62">
              <w:t>или</w:t>
            </w:r>
            <w:r w:rsidR="0066514B" w:rsidRPr="005A1F62">
              <w:t>)</w:t>
            </w:r>
            <w:r w:rsidRPr="005A1F62">
              <w:t xml:space="preserve"> контролирующих собственников после обысков.</w:t>
            </w:r>
          </w:p>
          <w:p w14:paraId="43D71805" w14:textId="1C4B5886" w:rsidR="008A7830" w:rsidRPr="005A1F62" w:rsidRDefault="008A7830" w:rsidP="0062539F">
            <w:pPr>
              <w:jc w:val="both"/>
            </w:pPr>
            <w:r w:rsidRPr="005A1F62">
              <w:t>В зависимости от степени связи собственников / топ-менеджеров с криминальными структурами (рассматриваться может в том числе родственная связь) таких физических лиц с криминальными структурами</w:t>
            </w:r>
          </w:p>
        </w:tc>
      </w:tr>
      <w:tr w:rsidR="008A7830" w:rsidRPr="005A1F62" w14:paraId="644642F6" w14:textId="77777777" w:rsidTr="00DF69DC">
        <w:trPr>
          <w:trHeight w:val="20"/>
        </w:trPr>
        <w:tc>
          <w:tcPr>
            <w:tcW w:w="578" w:type="dxa"/>
            <w:shd w:val="clear" w:color="auto" w:fill="auto"/>
            <w:vAlign w:val="center"/>
          </w:tcPr>
          <w:p w14:paraId="1A6E83B1" w14:textId="632D49C8" w:rsidR="008A7830" w:rsidRPr="005A1F62" w:rsidRDefault="0087439C" w:rsidP="0062539F">
            <w:r w:rsidRPr="005A1F62">
              <w:lastRenderedPageBreak/>
              <w:t>14</w:t>
            </w:r>
          </w:p>
        </w:tc>
        <w:tc>
          <w:tcPr>
            <w:tcW w:w="4422" w:type="dxa"/>
            <w:shd w:val="clear" w:color="auto" w:fill="auto"/>
            <w:vAlign w:val="center"/>
          </w:tcPr>
          <w:p w14:paraId="6D3B2221" w14:textId="631E3F47" w:rsidR="008A7830" w:rsidRPr="005A1F62" w:rsidRDefault="008A7830" w:rsidP="0062539F">
            <w:pPr>
              <w:jc w:val="both"/>
            </w:pPr>
            <w:r w:rsidRPr="005A1F62">
              <w:t>Частая смена собственников и (или) менеджмента банка, которая наносит вред деловой репутации банка, а также негативная деловая репутация прошлых собственников и (или) менеджмента</w:t>
            </w:r>
          </w:p>
        </w:tc>
        <w:tc>
          <w:tcPr>
            <w:tcW w:w="4242" w:type="dxa"/>
            <w:shd w:val="clear" w:color="auto" w:fill="auto"/>
            <w:vAlign w:val="center"/>
          </w:tcPr>
          <w:p w14:paraId="10994DB1" w14:textId="40D2249A" w:rsidR="008A7830" w:rsidRPr="005A1F62" w:rsidRDefault="008A7830" w:rsidP="0062539F">
            <w:pPr>
              <w:jc w:val="both"/>
            </w:pPr>
            <w:r w:rsidRPr="005A1F62">
              <w:t>От 0 до 2 в зависимости</w:t>
            </w:r>
            <w:r w:rsidR="0066514B" w:rsidRPr="005A1F62">
              <w:t xml:space="preserve"> от</w:t>
            </w:r>
            <w:r w:rsidRPr="005A1F62">
              <w:t xml:space="preserve"> частоты смены собственников и (или) менеджмента банка и силы негативного влияния этих событий на деловую репутацию банка</w:t>
            </w:r>
          </w:p>
        </w:tc>
      </w:tr>
      <w:tr w:rsidR="008A7830" w:rsidRPr="005A1F62" w14:paraId="19A05D5D" w14:textId="77777777" w:rsidTr="00DF69DC">
        <w:trPr>
          <w:trHeight w:val="20"/>
        </w:trPr>
        <w:tc>
          <w:tcPr>
            <w:tcW w:w="578" w:type="dxa"/>
            <w:shd w:val="clear" w:color="auto" w:fill="auto"/>
            <w:vAlign w:val="center"/>
          </w:tcPr>
          <w:p w14:paraId="61A3B9B6" w14:textId="309292B5" w:rsidR="008A7830" w:rsidRPr="005A1F62" w:rsidRDefault="0087439C" w:rsidP="0062539F">
            <w:pPr>
              <w:pStyle w:val="Default"/>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15</w:t>
            </w:r>
          </w:p>
        </w:tc>
        <w:tc>
          <w:tcPr>
            <w:tcW w:w="4422" w:type="dxa"/>
            <w:shd w:val="clear" w:color="auto" w:fill="auto"/>
            <w:vAlign w:val="center"/>
          </w:tcPr>
          <w:p w14:paraId="7683B207" w14:textId="40B9DD67" w:rsidR="008A7830" w:rsidRPr="005A1F62" w:rsidRDefault="008A7830" w:rsidP="0062539F">
            <w:pPr>
              <w:pStyle w:val="Default"/>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Кредитная история небезупречна</w:t>
            </w:r>
          </w:p>
        </w:tc>
        <w:tc>
          <w:tcPr>
            <w:tcW w:w="4242" w:type="dxa"/>
            <w:shd w:val="clear" w:color="auto" w:fill="auto"/>
            <w:vAlign w:val="center"/>
          </w:tcPr>
          <w:p w14:paraId="3551AE81" w14:textId="77777777" w:rsidR="008A7830" w:rsidRPr="005A1F62" w:rsidRDefault="008A7830" w:rsidP="0062539F">
            <w:pPr>
              <w:pStyle w:val="Default"/>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От 0 до 2,5 в зависимости от объемов и сроков неисполнения обязательств и давности таких событий</w:t>
            </w:r>
          </w:p>
        </w:tc>
      </w:tr>
      <w:tr w:rsidR="008A7830" w:rsidRPr="005A1F62" w14:paraId="52211F3E" w14:textId="77777777" w:rsidTr="00DF69DC">
        <w:trPr>
          <w:trHeight w:val="20"/>
        </w:trPr>
        <w:tc>
          <w:tcPr>
            <w:tcW w:w="578" w:type="dxa"/>
            <w:shd w:val="clear" w:color="auto" w:fill="auto"/>
            <w:vAlign w:val="center"/>
          </w:tcPr>
          <w:p w14:paraId="7E8B60A5" w14:textId="182304FE" w:rsidR="008A7830" w:rsidRPr="005A1F62" w:rsidRDefault="0087439C" w:rsidP="0062539F">
            <w:pPr>
              <w:tabs>
                <w:tab w:val="left" w:pos="709"/>
              </w:tabs>
              <w:contextualSpacing/>
            </w:pPr>
            <w:r w:rsidRPr="005A1F62">
              <w:t>16</w:t>
            </w:r>
          </w:p>
        </w:tc>
        <w:tc>
          <w:tcPr>
            <w:tcW w:w="4422" w:type="dxa"/>
            <w:shd w:val="clear" w:color="auto" w:fill="auto"/>
            <w:vAlign w:val="center"/>
          </w:tcPr>
          <w:p w14:paraId="382A6BBD" w14:textId="0C2F6E73" w:rsidR="008A7830" w:rsidRPr="005A1F62" w:rsidRDefault="008A7830" w:rsidP="0062539F">
            <w:pPr>
              <w:tabs>
                <w:tab w:val="left" w:pos="709"/>
              </w:tabs>
              <w:contextualSpacing/>
              <w:jc w:val="both"/>
            </w:pPr>
            <w:r w:rsidRPr="005A1F62">
              <w:t>Излишне деконцентрированная структура собственности (ни один из конечных собственников не владеет долей свыше 10% капитала)</w:t>
            </w:r>
            <w:r w:rsidR="00262006" w:rsidRPr="005A1F62">
              <w:t xml:space="preserve"> </w:t>
            </w:r>
            <w:r w:rsidRPr="005A1F62">
              <w:t xml:space="preserve">и (или) отсутствие среди топ-менеджмента собственников банка </w:t>
            </w:r>
          </w:p>
        </w:tc>
        <w:tc>
          <w:tcPr>
            <w:tcW w:w="4242" w:type="dxa"/>
            <w:shd w:val="clear" w:color="auto" w:fill="auto"/>
            <w:vAlign w:val="center"/>
          </w:tcPr>
          <w:p w14:paraId="4E73F8EB" w14:textId="2D5D22D1" w:rsidR="008A7830" w:rsidRPr="005A1F62" w:rsidRDefault="008A7830" w:rsidP="0062539F">
            <w:pPr>
              <w:pStyle w:val="Default"/>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От 0 до 2 в зависимости от дробления долей владения и прису</w:t>
            </w:r>
            <w:r w:rsidR="00475E66" w:rsidRPr="005A1F62">
              <w:rPr>
                <w:rFonts w:ascii="Times New Roman" w:eastAsia="Times New Roman" w:hAnsi="Times New Roman" w:cs="Times New Roman"/>
                <w:color w:val="auto"/>
                <w:lang w:eastAsia="ru-RU"/>
              </w:rPr>
              <w:t>т</w:t>
            </w:r>
            <w:r w:rsidRPr="005A1F62">
              <w:rPr>
                <w:rFonts w:ascii="Times New Roman" w:eastAsia="Times New Roman" w:hAnsi="Times New Roman" w:cs="Times New Roman"/>
                <w:color w:val="auto"/>
                <w:lang w:eastAsia="ru-RU"/>
              </w:rPr>
              <w:t>ствия среди топ-менеджмента ключевых соб</w:t>
            </w:r>
            <w:r w:rsidR="00C82B07" w:rsidRPr="005A1F62">
              <w:rPr>
                <w:rFonts w:ascii="Times New Roman" w:eastAsia="Times New Roman" w:hAnsi="Times New Roman" w:cs="Times New Roman"/>
                <w:color w:val="auto"/>
                <w:lang w:eastAsia="ru-RU"/>
              </w:rPr>
              <w:t>с</w:t>
            </w:r>
            <w:r w:rsidRPr="005A1F62">
              <w:rPr>
                <w:rFonts w:ascii="Times New Roman" w:eastAsia="Times New Roman" w:hAnsi="Times New Roman" w:cs="Times New Roman"/>
                <w:color w:val="auto"/>
                <w:lang w:eastAsia="ru-RU"/>
              </w:rPr>
              <w:t xml:space="preserve">твенников </w:t>
            </w:r>
          </w:p>
        </w:tc>
      </w:tr>
      <w:tr w:rsidR="008A7830" w:rsidRPr="005A1F62" w14:paraId="21E18EB0" w14:textId="77777777" w:rsidTr="00DF69DC">
        <w:trPr>
          <w:trHeight w:val="20"/>
        </w:trPr>
        <w:tc>
          <w:tcPr>
            <w:tcW w:w="578" w:type="dxa"/>
            <w:shd w:val="clear" w:color="auto" w:fill="auto"/>
            <w:vAlign w:val="center"/>
          </w:tcPr>
          <w:p w14:paraId="72AE6F64" w14:textId="301541C3" w:rsidR="008A7830" w:rsidRPr="005A1F62" w:rsidRDefault="0087439C" w:rsidP="0062539F">
            <w:pPr>
              <w:tabs>
                <w:tab w:val="left" w:pos="709"/>
              </w:tabs>
              <w:contextualSpacing/>
            </w:pPr>
            <w:r w:rsidRPr="005A1F62">
              <w:t>17</w:t>
            </w:r>
          </w:p>
        </w:tc>
        <w:tc>
          <w:tcPr>
            <w:tcW w:w="4422" w:type="dxa"/>
            <w:shd w:val="clear" w:color="auto" w:fill="auto"/>
            <w:vAlign w:val="center"/>
          </w:tcPr>
          <w:p w14:paraId="5BB87F7D" w14:textId="7DC9BF94" w:rsidR="008A7830" w:rsidRPr="005A1F62" w:rsidRDefault="008A7830" w:rsidP="0062539F">
            <w:pPr>
              <w:tabs>
                <w:tab w:val="left" w:pos="709"/>
              </w:tabs>
              <w:contextualSpacing/>
              <w:jc w:val="both"/>
            </w:pPr>
            <w:r w:rsidRPr="005A1F62">
              <w:t xml:space="preserve">Отсутствие в течение длительного периода времени согласования со стороны </w:t>
            </w:r>
            <w:r w:rsidR="00DF69DC" w:rsidRPr="005A1F62">
              <w:t xml:space="preserve">Банка России </w:t>
            </w:r>
            <w:r w:rsidRPr="005A1F62">
              <w:t xml:space="preserve">кандидатуры председателя правления </w:t>
            </w:r>
          </w:p>
        </w:tc>
        <w:tc>
          <w:tcPr>
            <w:tcW w:w="4242" w:type="dxa"/>
            <w:shd w:val="clear" w:color="auto" w:fill="auto"/>
            <w:vAlign w:val="center"/>
          </w:tcPr>
          <w:p w14:paraId="4FFFC2D0" w14:textId="77777777" w:rsidR="008A7830" w:rsidRPr="005A1F62" w:rsidRDefault="008A7830" w:rsidP="0062539F">
            <w:pPr>
              <w:pStyle w:val="Default"/>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От 0 до 2 в зависимости от длительности периода отсутствия согласования с ЦБ РФ лица, исполняющего обязанности руководителя кредитной организации</w:t>
            </w:r>
          </w:p>
        </w:tc>
      </w:tr>
      <w:tr w:rsidR="008A7830" w:rsidRPr="005A1F62" w14:paraId="21D219FA" w14:textId="77777777" w:rsidTr="00DF69DC">
        <w:trPr>
          <w:trHeight w:val="20"/>
        </w:trPr>
        <w:tc>
          <w:tcPr>
            <w:tcW w:w="578" w:type="dxa"/>
            <w:shd w:val="clear" w:color="auto" w:fill="auto"/>
            <w:vAlign w:val="center"/>
          </w:tcPr>
          <w:p w14:paraId="3C7FAA0D" w14:textId="4AB538F5" w:rsidR="008A7830" w:rsidRPr="005A1F62" w:rsidRDefault="0087439C" w:rsidP="0062539F">
            <w:pPr>
              <w:pStyle w:val="Default"/>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18</w:t>
            </w:r>
          </w:p>
        </w:tc>
        <w:tc>
          <w:tcPr>
            <w:tcW w:w="4422" w:type="dxa"/>
            <w:shd w:val="clear" w:color="auto" w:fill="auto"/>
            <w:vAlign w:val="center"/>
          </w:tcPr>
          <w:p w14:paraId="652BC9B5" w14:textId="5C175DB9" w:rsidR="008A7830" w:rsidRPr="005A1F62" w:rsidRDefault="008A7830" w:rsidP="0062539F">
            <w:pPr>
              <w:pStyle w:val="Default"/>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Финансовые инструменты банка активно используются или, по мнению</w:t>
            </w:r>
            <w:r w:rsidR="00475E66" w:rsidRPr="005A1F62">
              <w:rPr>
                <w:rFonts w:ascii="Times New Roman" w:eastAsia="Times New Roman" w:hAnsi="Times New Roman" w:cs="Times New Roman"/>
                <w:color w:val="auto"/>
                <w:lang w:eastAsia="ru-RU"/>
              </w:rPr>
              <w:t xml:space="preserve"> А</w:t>
            </w:r>
            <w:r w:rsidRPr="005A1F62">
              <w:rPr>
                <w:rFonts w:ascii="Times New Roman" w:eastAsia="Times New Roman" w:hAnsi="Times New Roman" w:cs="Times New Roman"/>
                <w:color w:val="auto"/>
                <w:lang w:eastAsia="ru-RU"/>
              </w:rPr>
              <w:t>гентства, с высокой вероятностью могут использоваться в схемных (т</w:t>
            </w:r>
            <w:r w:rsidR="00475E66" w:rsidRPr="005A1F62">
              <w:rPr>
                <w:rFonts w:ascii="Times New Roman" w:eastAsia="Times New Roman" w:hAnsi="Times New Roman" w:cs="Times New Roman"/>
                <w:color w:val="auto"/>
                <w:lang w:eastAsia="ru-RU"/>
              </w:rPr>
              <w:t>о есть</w:t>
            </w:r>
            <w:r w:rsidRPr="005A1F62">
              <w:rPr>
                <w:rFonts w:ascii="Times New Roman" w:eastAsia="Times New Roman" w:hAnsi="Times New Roman" w:cs="Times New Roman"/>
                <w:color w:val="auto"/>
                <w:lang w:eastAsia="ru-RU"/>
              </w:rPr>
              <w:t xml:space="preserve"> позволяющих формально выполнить требования законодательства, при этом нарушив их экономическую суть) операциях других компаний, являющихся регулируемыми</w:t>
            </w:r>
          </w:p>
        </w:tc>
        <w:tc>
          <w:tcPr>
            <w:tcW w:w="4242" w:type="dxa"/>
            <w:shd w:val="clear" w:color="auto" w:fill="auto"/>
            <w:vAlign w:val="center"/>
          </w:tcPr>
          <w:p w14:paraId="5BE60170" w14:textId="73DAB946" w:rsidR="008A7830" w:rsidRPr="005A1F62" w:rsidRDefault="008A7830" w:rsidP="0062539F">
            <w:pPr>
              <w:pStyle w:val="Default"/>
              <w:jc w:val="both"/>
              <w:rPr>
                <w:rFonts w:ascii="Times New Roman" w:eastAsia="Times New Roman" w:hAnsi="Times New Roman" w:cs="Times New Roman"/>
                <w:color w:val="auto"/>
                <w:lang w:eastAsia="ru-RU"/>
              </w:rPr>
            </w:pPr>
            <w:r w:rsidRPr="005A1F62">
              <w:rPr>
                <w:rFonts w:ascii="Times New Roman" w:eastAsia="Times New Roman" w:hAnsi="Times New Roman" w:cs="Times New Roman"/>
                <w:color w:val="auto"/>
                <w:lang w:eastAsia="ru-RU"/>
              </w:rPr>
              <w:t>От 0 до 2,5 в зависимости от масштабов схемных операций и связанных с этим регулятивных рисков</w:t>
            </w:r>
          </w:p>
        </w:tc>
      </w:tr>
      <w:tr w:rsidR="008A7830" w:rsidRPr="005A1F62" w14:paraId="0B6848D1" w14:textId="77777777" w:rsidTr="00DF69DC">
        <w:tblPrEx>
          <w:tblCellMar>
            <w:left w:w="0" w:type="dxa"/>
            <w:right w:w="0" w:type="dxa"/>
          </w:tblCellMar>
        </w:tblPrEx>
        <w:trPr>
          <w:trHeight w:val="20"/>
        </w:trPr>
        <w:tc>
          <w:tcPr>
            <w:tcW w:w="578" w:type="dxa"/>
            <w:shd w:val="clear" w:color="auto" w:fill="auto"/>
            <w:vAlign w:val="center"/>
          </w:tcPr>
          <w:p w14:paraId="392714DF" w14:textId="7A530657" w:rsidR="008A7830" w:rsidRPr="005A1F62" w:rsidRDefault="0087439C" w:rsidP="0062539F">
            <w:r w:rsidRPr="005A1F62">
              <w:t>19</w:t>
            </w:r>
          </w:p>
        </w:tc>
        <w:tc>
          <w:tcPr>
            <w:tcW w:w="4422" w:type="dxa"/>
            <w:shd w:val="clear" w:color="auto" w:fill="auto"/>
            <w:tcMar>
              <w:top w:w="0" w:type="dxa"/>
              <w:left w:w="108" w:type="dxa"/>
              <w:bottom w:w="0" w:type="dxa"/>
              <w:right w:w="108" w:type="dxa"/>
            </w:tcMar>
            <w:vAlign w:val="center"/>
            <w:hideMark/>
          </w:tcPr>
          <w:p w14:paraId="143B6211" w14:textId="79678039" w:rsidR="008A7830" w:rsidRPr="005A1F62" w:rsidRDefault="008A7830" w:rsidP="0062539F">
            <w:pPr>
              <w:jc w:val="both"/>
            </w:pPr>
            <w:r w:rsidRPr="005A1F62">
              <w:t xml:space="preserve">Наличие предупреждений / штрафов / приостановки допуска к торгам со стороны </w:t>
            </w:r>
            <w:r w:rsidR="00475E66" w:rsidRPr="005A1F62">
              <w:t>б</w:t>
            </w:r>
            <w:r w:rsidRPr="005A1F62">
              <w:t>иржи (организатора торгов)</w:t>
            </w:r>
          </w:p>
        </w:tc>
        <w:tc>
          <w:tcPr>
            <w:tcW w:w="4242" w:type="dxa"/>
            <w:shd w:val="clear" w:color="auto" w:fill="auto"/>
            <w:tcMar>
              <w:top w:w="0" w:type="dxa"/>
              <w:left w:w="108" w:type="dxa"/>
              <w:bottom w:w="0" w:type="dxa"/>
              <w:right w:w="108" w:type="dxa"/>
            </w:tcMar>
            <w:vAlign w:val="center"/>
            <w:hideMark/>
          </w:tcPr>
          <w:p w14:paraId="452DDC46" w14:textId="77777777" w:rsidR="008A7830" w:rsidRPr="005A1F62" w:rsidRDefault="008A7830" w:rsidP="0062539F">
            <w:pPr>
              <w:jc w:val="both"/>
            </w:pPr>
            <w:r w:rsidRPr="005A1F62">
              <w:t>От 0,5 до 2,5 в зависимости от значимости предупреждений со стороны биржи, потенциального влияния на бизнес объекта рейтинга</w:t>
            </w:r>
          </w:p>
        </w:tc>
      </w:tr>
      <w:tr w:rsidR="008A7830" w:rsidRPr="005A1F62" w14:paraId="25B2A2F4" w14:textId="77777777" w:rsidTr="00DF69DC">
        <w:tblPrEx>
          <w:tblCellMar>
            <w:left w:w="0" w:type="dxa"/>
            <w:right w:w="0" w:type="dxa"/>
          </w:tblCellMar>
        </w:tblPrEx>
        <w:trPr>
          <w:trHeight w:val="20"/>
        </w:trPr>
        <w:tc>
          <w:tcPr>
            <w:tcW w:w="578" w:type="dxa"/>
            <w:shd w:val="clear" w:color="auto" w:fill="auto"/>
            <w:vAlign w:val="center"/>
          </w:tcPr>
          <w:p w14:paraId="7EFCBF90" w14:textId="51062F78" w:rsidR="008A7830" w:rsidRPr="005A1F62" w:rsidRDefault="008F5238" w:rsidP="0062539F">
            <w:r w:rsidRPr="005A1F62">
              <w:t>20</w:t>
            </w:r>
          </w:p>
        </w:tc>
        <w:tc>
          <w:tcPr>
            <w:tcW w:w="4422" w:type="dxa"/>
            <w:shd w:val="clear" w:color="auto" w:fill="auto"/>
            <w:tcMar>
              <w:top w:w="0" w:type="dxa"/>
              <w:left w:w="108" w:type="dxa"/>
              <w:bottom w:w="0" w:type="dxa"/>
              <w:right w:w="108" w:type="dxa"/>
            </w:tcMar>
            <w:vAlign w:val="center"/>
          </w:tcPr>
          <w:p w14:paraId="3ABE362B" w14:textId="4CD1CFE0" w:rsidR="008A7830" w:rsidRPr="005A1F62" w:rsidRDefault="008A7830" w:rsidP="0062539F">
            <w:pPr>
              <w:jc w:val="both"/>
            </w:pPr>
            <w:r w:rsidRPr="005A1F62">
              <w:t xml:space="preserve">Наличие за последние 24 месяца сообщений о принятых Банком России решениях о привлечении к административной ответственности кредитных организаций и (или) должностных лиц, являющихся единоличными исполнительными органами по статье 15.27 КоАП «Неисполнение требований </w:t>
            </w:r>
            <w:r w:rsidRPr="005A1F62">
              <w:lastRenderedPageBreak/>
              <w:t>законодательства о противодействии легализации (отмыванию) доходов, полученных преступным путем, и финансированию терроризма»</w:t>
            </w:r>
          </w:p>
        </w:tc>
        <w:tc>
          <w:tcPr>
            <w:tcW w:w="4242" w:type="dxa"/>
            <w:shd w:val="clear" w:color="auto" w:fill="auto"/>
            <w:tcMar>
              <w:top w:w="0" w:type="dxa"/>
              <w:left w:w="108" w:type="dxa"/>
              <w:bottom w:w="0" w:type="dxa"/>
              <w:right w:w="108" w:type="dxa"/>
            </w:tcMar>
            <w:vAlign w:val="center"/>
          </w:tcPr>
          <w:p w14:paraId="2E30EAF6" w14:textId="77777777" w:rsidR="008A7830" w:rsidRPr="005A1F62" w:rsidRDefault="008A7830" w:rsidP="0062539F">
            <w:pPr>
              <w:jc w:val="both"/>
            </w:pPr>
            <w:r w:rsidRPr="005A1F62">
              <w:lastRenderedPageBreak/>
              <w:t xml:space="preserve">От 0 до 1 в зависимости от частоты таких сообщений </w:t>
            </w:r>
          </w:p>
        </w:tc>
      </w:tr>
      <w:tr w:rsidR="008A7830" w:rsidRPr="005A1F62" w14:paraId="0282356B" w14:textId="77777777" w:rsidTr="00DF69DC">
        <w:tblPrEx>
          <w:tblCellMar>
            <w:left w:w="0" w:type="dxa"/>
            <w:right w:w="0" w:type="dxa"/>
          </w:tblCellMar>
        </w:tblPrEx>
        <w:trPr>
          <w:trHeight w:val="20"/>
        </w:trPr>
        <w:tc>
          <w:tcPr>
            <w:tcW w:w="578" w:type="dxa"/>
            <w:shd w:val="clear" w:color="auto" w:fill="auto"/>
            <w:vAlign w:val="center"/>
          </w:tcPr>
          <w:p w14:paraId="64B91052" w14:textId="0F745928" w:rsidR="008A7830" w:rsidRPr="005A1F62" w:rsidRDefault="008F5238" w:rsidP="0062539F">
            <w:r w:rsidRPr="005A1F62">
              <w:t>21</w:t>
            </w:r>
          </w:p>
        </w:tc>
        <w:tc>
          <w:tcPr>
            <w:tcW w:w="4422" w:type="dxa"/>
            <w:shd w:val="clear" w:color="auto" w:fill="auto"/>
            <w:tcMar>
              <w:top w:w="0" w:type="dxa"/>
              <w:left w:w="108" w:type="dxa"/>
              <w:bottom w:w="0" w:type="dxa"/>
              <w:right w:w="108" w:type="dxa"/>
            </w:tcMar>
            <w:vAlign w:val="center"/>
          </w:tcPr>
          <w:p w14:paraId="51223E56" w14:textId="414DE78E" w:rsidR="008A7830" w:rsidRPr="005A1F62" w:rsidRDefault="008A7830" w:rsidP="0062539F">
            <w:pPr>
              <w:jc w:val="both"/>
            </w:pPr>
            <w:r w:rsidRPr="005A1F62">
              <w:t xml:space="preserve">Аномально высокая доходность по долговым инструментам банка </w:t>
            </w:r>
          </w:p>
        </w:tc>
        <w:tc>
          <w:tcPr>
            <w:tcW w:w="4242" w:type="dxa"/>
            <w:shd w:val="clear" w:color="auto" w:fill="auto"/>
            <w:tcMar>
              <w:top w:w="0" w:type="dxa"/>
              <w:left w:w="108" w:type="dxa"/>
              <w:bottom w:w="0" w:type="dxa"/>
              <w:right w:w="108" w:type="dxa"/>
            </w:tcMar>
            <w:vAlign w:val="center"/>
          </w:tcPr>
          <w:p w14:paraId="29BE3EF6" w14:textId="77777777" w:rsidR="008A7830" w:rsidRPr="005A1F62" w:rsidRDefault="008A7830" w:rsidP="0062539F">
            <w:pPr>
              <w:jc w:val="both"/>
            </w:pPr>
            <w:r w:rsidRPr="005A1F62">
              <w:t>От 0 до 1,5 в зависимости от превышения доходности по долговым инструментам банка над доходностью инструментов сопоставимых кредитных организаций</w:t>
            </w:r>
          </w:p>
        </w:tc>
      </w:tr>
      <w:tr w:rsidR="008A7830" w:rsidRPr="005A1F62" w14:paraId="3A38578D" w14:textId="77777777" w:rsidTr="00DF69DC">
        <w:tblPrEx>
          <w:tblCellMar>
            <w:left w:w="0" w:type="dxa"/>
            <w:right w:w="0" w:type="dxa"/>
          </w:tblCellMar>
        </w:tblPrEx>
        <w:trPr>
          <w:trHeight w:val="820"/>
        </w:trPr>
        <w:tc>
          <w:tcPr>
            <w:tcW w:w="578" w:type="dxa"/>
            <w:shd w:val="clear" w:color="auto" w:fill="auto"/>
            <w:vAlign w:val="center"/>
          </w:tcPr>
          <w:p w14:paraId="55EC49C5" w14:textId="7D598285" w:rsidR="008A7830" w:rsidRPr="005A1F62" w:rsidRDefault="008F5238" w:rsidP="0062539F">
            <w:r w:rsidRPr="005A1F62">
              <w:t>22</w:t>
            </w:r>
          </w:p>
        </w:tc>
        <w:tc>
          <w:tcPr>
            <w:tcW w:w="4422" w:type="dxa"/>
            <w:shd w:val="clear" w:color="auto" w:fill="auto"/>
            <w:tcMar>
              <w:top w:w="0" w:type="dxa"/>
              <w:left w:w="108" w:type="dxa"/>
              <w:bottom w:w="0" w:type="dxa"/>
              <w:right w:w="108" w:type="dxa"/>
            </w:tcMar>
            <w:vAlign w:val="center"/>
          </w:tcPr>
          <w:p w14:paraId="5847F960" w14:textId="56228054" w:rsidR="008A7830" w:rsidRPr="005A1F62" w:rsidRDefault="008A7830" w:rsidP="0062539F">
            <w:pPr>
              <w:jc w:val="both"/>
            </w:pPr>
            <w:r w:rsidRPr="005A1F62">
              <w:t>У банка были неудачные попытки вступления в ССВ</w:t>
            </w:r>
          </w:p>
        </w:tc>
        <w:tc>
          <w:tcPr>
            <w:tcW w:w="4242" w:type="dxa"/>
            <w:shd w:val="clear" w:color="auto" w:fill="auto"/>
            <w:tcMar>
              <w:top w:w="0" w:type="dxa"/>
              <w:left w:w="108" w:type="dxa"/>
              <w:bottom w:w="0" w:type="dxa"/>
              <w:right w:w="108" w:type="dxa"/>
            </w:tcMar>
            <w:vAlign w:val="center"/>
          </w:tcPr>
          <w:p w14:paraId="5C36B7DC" w14:textId="77777777" w:rsidR="008A7830" w:rsidRPr="005A1F62" w:rsidRDefault="008A7830" w:rsidP="0062539F">
            <w:pPr>
              <w:jc w:val="both"/>
            </w:pPr>
            <w:r w:rsidRPr="005A1F62">
              <w:t>1-1,5 в зависимости от количества попыток войти в ССВ</w:t>
            </w:r>
          </w:p>
        </w:tc>
      </w:tr>
      <w:tr w:rsidR="008A7830" w:rsidRPr="005A1F62" w14:paraId="38E5309C" w14:textId="77777777" w:rsidTr="00DF69DC">
        <w:tblPrEx>
          <w:tblCellMar>
            <w:left w:w="0" w:type="dxa"/>
            <w:right w:w="0" w:type="dxa"/>
          </w:tblCellMar>
        </w:tblPrEx>
        <w:trPr>
          <w:trHeight w:val="820"/>
        </w:trPr>
        <w:tc>
          <w:tcPr>
            <w:tcW w:w="578" w:type="dxa"/>
            <w:shd w:val="clear" w:color="auto" w:fill="auto"/>
            <w:vAlign w:val="center"/>
          </w:tcPr>
          <w:p w14:paraId="24330DE0" w14:textId="14FF98FC" w:rsidR="008A7830" w:rsidRPr="005A1F62" w:rsidRDefault="008F5238" w:rsidP="0062539F">
            <w:r w:rsidRPr="005A1F62">
              <w:t>23</w:t>
            </w:r>
          </w:p>
        </w:tc>
        <w:tc>
          <w:tcPr>
            <w:tcW w:w="4422" w:type="dxa"/>
            <w:shd w:val="clear" w:color="auto" w:fill="auto"/>
            <w:tcMar>
              <w:top w:w="0" w:type="dxa"/>
              <w:left w:w="108" w:type="dxa"/>
              <w:bottom w:w="0" w:type="dxa"/>
              <w:right w:w="108" w:type="dxa"/>
            </w:tcMar>
            <w:vAlign w:val="center"/>
          </w:tcPr>
          <w:p w14:paraId="1E8393E4" w14:textId="64D6EC45" w:rsidR="008A7830" w:rsidRPr="005A1F62" w:rsidRDefault="008A7830" w:rsidP="0062539F">
            <w:pPr>
              <w:jc w:val="both"/>
            </w:pPr>
            <w:r w:rsidRPr="005A1F62">
              <w:t>В истории банка были неудачные попытки получения отдельных лицензий (например, валютной лицензии), которые так и не получены банком на момент его оценки</w:t>
            </w:r>
          </w:p>
        </w:tc>
        <w:tc>
          <w:tcPr>
            <w:tcW w:w="4242" w:type="dxa"/>
            <w:shd w:val="clear" w:color="auto" w:fill="auto"/>
            <w:tcMar>
              <w:top w:w="0" w:type="dxa"/>
              <w:left w:w="108" w:type="dxa"/>
              <w:bottom w:w="0" w:type="dxa"/>
              <w:right w:w="108" w:type="dxa"/>
            </w:tcMar>
            <w:vAlign w:val="center"/>
          </w:tcPr>
          <w:p w14:paraId="38CD593C" w14:textId="77777777" w:rsidR="008A7830" w:rsidRPr="005A1F62" w:rsidRDefault="008A7830" w:rsidP="0062539F">
            <w:pPr>
              <w:jc w:val="both"/>
            </w:pPr>
            <w:r w:rsidRPr="005A1F62">
              <w:t xml:space="preserve">От 0,5 до 1 в зависимости от количества попыток </w:t>
            </w:r>
          </w:p>
        </w:tc>
      </w:tr>
      <w:tr w:rsidR="008A7830" w:rsidRPr="005A1F62" w14:paraId="7E739C59" w14:textId="77777777" w:rsidTr="00DF69DC">
        <w:tblPrEx>
          <w:tblCellMar>
            <w:left w:w="0" w:type="dxa"/>
            <w:right w:w="0" w:type="dxa"/>
          </w:tblCellMar>
        </w:tblPrEx>
        <w:trPr>
          <w:trHeight w:val="820"/>
        </w:trPr>
        <w:tc>
          <w:tcPr>
            <w:tcW w:w="578" w:type="dxa"/>
            <w:shd w:val="clear" w:color="auto" w:fill="auto"/>
            <w:vAlign w:val="center"/>
          </w:tcPr>
          <w:p w14:paraId="60AB3A76" w14:textId="53F51D02" w:rsidR="008A7830" w:rsidRPr="005A1F62" w:rsidRDefault="008F5238" w:rsidP="0062539F">
            <w:r w:rsidRPr="005A1F62">
              <w:t>24</w:t>
            </w:r>
          </w:p>
        </w:tc>
        <w:tc>
          <w:tcPr>
            <w:tcW w:w="4422" w:type="dxa"/>
            <w:shd w:val="clear" w:color="auto" w:fill="auto"/>
            <w:tcMar>
              <w:top w:w="0" w:type="dxa"/>
              <w:left w:w="108" w:type="dxa"/>
              <w:bottom w:w="0" w:type="dxa"/>
              <w:right w:w="108" w:type="dxa"/>
            </w:tcMar>
            <w:vAlign w:val="center"/>
          </w:tcPr>
          <w:p w14:paraId="558FEB54" w14:textId="5CE1B73E" w:rsidR="008A7830" w:rsidRPr="005A1F62" w:rsidRDefault="008A7830" w:rsidP="0062539F">
            <w:pPr>
              <w:jc w:val="both"/>
            </w:pPr>
            <w:r w:rsidRPr="005A1F62">
              <w:t xml:space="preserve">У банка и </w:t>
            </w:r>
            <w:r w:rsidR="00475E66" w:rsidRPr="005A1F62">
              <w:t>(</w:t>
            </w:r>
            <w:r w:rsidRPr="005A1F62">
              <w:t>или</w:t>
            </w:r>
            <w:r w:rsidR="00475E66" w:rsidRPr="005A1F62">
              <w:t>)</w:t>
            </w:r>
            <w:r w:rsidRPr="005A1F62">
              <w:t xml:space="preserve"> участников / акционеров, доля владения которых 25% и более в уставном капитале объекта рейтинга, были или есть просроченные обязательства перед бюджетом и </w:t>
            </w:r>
            <w:r w:rsidR="00475E66" w:rsidRPr="005A1F62">
              <w:t>(</w:t>
            </w:r>
            <w:r w:rsidRPr="005A1F62">
              <w:t>или</w:t>
            </w:r>
            <w:r w:rsidR="00475E66" w:rsidRPr="005A1F62">
              <w:t>)</w:t>
            </w:r>
            <w:r w:rsidRPr="005A1F62">
              <w:t xml:space="preserve"> внебюджетными фондами, а также кредиторами сроком более 30 календарных дней</w:t>
            </w:r>
          </w:p>
        </w:tc>
        <w:tc>
          <w:tcPr>
            <w:tcW w:w="4242" w:type="dxa"/>
            <w:shd w:val="clear" w:color="auto" w:fill="auto"/>
            <w:tcMar>
              <w:top w:w="0" w:type="dxa"/>
              <w:left w:w="108" w:type="dxa"/>
              <w:bottom w:w="0" w:type="dxa"/>
              <w:right w:w="108" w:type="dxa"/>
            </w:tcMar>
            <w:vAlign w:val="center"/>
          </w:tcPr>
          <w:p w14:paraId="0D43D5F4" w14:textId="77777777" w:rsidR="008A7830" w:rsidRPr="005A1F62" w:rsidRDefault="008A7830" w:rsidP="0062539F">
            <w:pPr>
              <w:jc w:val="both"/>
            </w:pPr>
            <w:r w:rsidRPr="005A1F62">
              <w:t>От 0,5 до 2 в зависимости от распространения в СМИ этой информации, срока просроченной задолженности, влияния этой информации на репутацию объекта рейтинга</w:t>
            </w:r>
          </w:p>
        </w:tc>
      </w:tr>
      <w:tr w:rsidR="008A7830" w:rsidRPr="005A1F62" w14:paraId="254B1D56" w14:textId="77777777" w:rsidTr="00DF69DC">
        <w:tblPrEx>
          <w:tblCellMar>
            <w:left w:w="0" w:type="dxa"/>
            <w:right w:w="0" w:type="dxa"/>
          </w:tblCellMar>
        </w:tblPrEx>
        <w:trPr>
          <w:trHeight w:val="820"/>
        </w:trPr>
        <w:tc>
          <w:tcPr>
            <w:tcW w:w="578" w:type="dxa"/>
            <w:shd w:val="clear" w:color="auto" w:fill="auto"/>
            <w:vAlign w:val="center"/>
          </w:tcPr>
          <w:p w14:paraId="157AEEDE" w14:textId="685E5C35" w:rsidR="008A7830" w:rsidRPr="005A1F62" w:rsidRDefault="008F5238" w:rsidP="0062539F">
            <w:r w:rsidRPr="005A1F62">
              <w:t>25</w:t>
            </w:r>
          </w:p>
        </w:tc>
        <w:tc>
          <w:tcPr>
            <w:tcW w:w="4422" w:type="dxa"/>
            <w:shd w:val="clear" w:color="auto" w:fill="auto"/>
            <w:tcMar>
              <w:top w:w="0" w:type="dxa"/>
              <w:left w:w="108" w:type="dxa"/>
              <w:bottom w:w="0" w:type="dxa"/>
              <w:right w:w="108" w:type="dxa"/>
            </w:tcMar>
            <w:vAlign w:val="center"/>
          </w:tcPr>
          <w:p w14:paraId="3441F0B4" w14:textId="42BF5D79" w:rsidR="008A7830" w:rsidRPr="005A1F62" w:rsidRDefault="008A7830" w:rsidP="0062539F">
            <w:pPr>
              <w:jc w:val="both"/>
            </w:pPr>
            <w:r w:rsidRPr="005A1F62">
              <w:t>Наличие лиц, контролирующих 10% и более в уставном капитале банка, которые находятся в стадии ликвидации (банкротства)</w:t>
            </w:r>
          </w:p>
        </w:tc>
        <w:tc>
          <w:tcPr>
            <w:tcW w:w="4242" w:type="dxa"/>
            <w:shd w:val="clear" w:color="auto" w:fill="auto"/>
            <w:tcMar>
              <w:top w:w="0" w:type="dxa"/>
              <w:left w:w="108" w:type="dxa"/>
              <w:bottom w:w="0" w:type="dxa"/>
              <w:right w:w="108" w:type="dxa"/>
            </w:tcMar>
            <w:vAlign w:val="center"/>
          </w:tcPr>
          <w:p w14:paraId="60BBF24B" w14:textId="77777777" w:rsidR="008A7830" w:rsidRPr="005A1F62" w:rsidRDefault="008A7830" w:rsidP="0062539F">
            <w:pPr>
              <w:jc w:val="both"/>
            </w:pPr>
            <w:r w:rsidRPr="005A1F62">
              <w:t>От 0,5 до 2 в зависимости от доли таких собственников в капитале объекта рейтинга</w:t>
            </w:r>
          </w:p>
        </w:tc>
      </w:tr>
      <w:tr w:rsidR="008A7830" w:rsidRPr="005A1F62" w14:paraId="72018D78" w14:textId="77777777" w:rsidTr="00DF69DC">
        <w:tblPrEx>
          <w:tblCellMar>
            <w:left w:w="0" w:type="dxa"/>
            <w:right w:w="0" w:type="dxa"/>
          </w:tblCellMar>
        </w:tblPrEx>
        <w:trPr>
          <w:trHeight w:val="820"/>
        </w:trPr>
        <w:tc>
          <w:tcPr>
            <w:tcW w:w="578" w:type="dxa"/>
            <w:shd w:val="clear" w:color="auto" w:fill="auto"/>
            <w:vAlign w:val="center"/>
          </w:tcPr>
          <w:p w14:paraId="7E48795F" w14:textId="3C153334" w:rsidR="008A7830" w:rsidRPr="005A1F62" w:rsidRDefault="008F5238" w:rsidP="0062539F">
            <w:r w:rsidRPr="005A1F62">
              <w:t>26</w:t>
            </w:r>
          </w:p>
        </w:tc>
        <w:tc>
          <w:tcPr>
            <w:tcW w:w="4422" w:type="dxa"/>
            <w:shd w:val="clear" w:color="auto" w:fill="auto"/>
            <w:tcMar>
              <w:top w:w="0" w:type="dxa"/>
              <w:left w:w="108" w:type="dxa"/>
              <w:bottom w:w="0" w:type="dxa"/>
              <w:right w:w="108" w:type="dxa"/>
            </w:tcMar>
            <w:vAlign w:val="center"/>
          </w:tcPr>
          <w:p w14:paraId="4DB129E8" w14:textId="282A6A9B" w:rsidR="008A7830" w:rsidRPr="005A1F62" w:rsidRDefault="008A7830" w:rsidP="0062539F">
            <w:pPr>
              <w:jc w:val="both"/>
            </w:pPr>
            <w:r w:rsidRPr="005A1F62">
              <w:t>Если собственником объекта рейтинга является организация, работающая на регулируемом рынке, при этом у нее отозвана / аннулирована / приостановлена лицензия, без которой она не может осуществлять дальнейшую деятельность</w:t>
            </w:r>
          </w:p>
        </w:tc>
        <w:tc>
          <w:tcPr>
            <w:tcW w:w="4242" w:type="dxa"/>
            <w:shd w:val="clear" w:color="auto" w:fill="auto"/>
            <w:tcMar>
              <w:top w:w="0" w:type="dxa"/>
              <w:left w:w="108" w:type="dxa"/>
              <w:bottom w:w="0" w:type="dxa"/>
              <w:right w:w="108" w:type="dxa"/>
            </w:tcMar>
            <w:vAlign w:val="center"/>
          </w:tcPr>
          <w:p w14:paraId="20A195EE" w14:textId="77777777" w:rsidR="008A7830" w:rsidRPr="005A1F62" w:rsidRDefault="008A7830" w:rsidP="0062539F">
            <w:pPr>
              <w:jc w:val="both"/>
            </w:pPr>
            <w:r w:rsidRPr="005A1F62">
              <w:t>От 0,5 до 1 в зависимости от доли такого собственника в структуре собственности объекта рейтинга</w:t>
            </w:r>
          </w:p>
        </w:tc>
      </w:tr>
      <w:bookmarkEnd w:id="44"/>
    </w:tbl>
    <w:p w14:paraId="2982B639" w14:textId="77777777" w:rsidR="008A40EB" w:rsidRPr="005A1F62" w:rsidRDefault="008A40EB" w:rsidP="00DC2FED"/>
    <w:p w14:paraId="16956D0B" w14:textId="3FC79F48" w:rsidR="008A40EB" w:rsidRPr="005A1F62" w:rsidRDefault="008A40EB" w:rsidP="006A777B">
      <w:pPr>
        <w:ind w:firstLine="567"/>
        <w:jc w:val="both"/>
      </w:pPr>
      <w:bookmarkStart w:id="45" w:name="_Hlk510516595"/>
      <w:r w:rsidRPr="005A1F62">
        <w:t xml:space="preserve">Если суммарный вычет составляет 2 </w:t>
      </w:r>
      <w:r w:rsidR="00475E66" w:rsidRPr="005A1F62">
        <w:t xml:space="preserve">балла </w:t>
      </w:r>
      <w:r w:rsidR="001C2591" w:rsidRPr="005A1F62">
        <w:t>или более, то оценка фактора «Д</w:t>
      </w:r>
      <w:r w:rsidRPr="005A1F62">
        <w:t xml:space="preserve">еловая репутация» </w:t>
      </w:r>
      <w:r w:rsidR="001C2591" w:rsidRPr="005A1F62">
        <w:t>устанавливается на уровне</w:t>
      </w:r>
      <w:r w:rsidRPr="005A1F62">
        <w:t xml:space="preserve"> -1. Если итоговый вычет составляет 2,5 балла, то выделяется умеренный стресс-фактор за деловую репутацию, если вычет составляет 3 </w:t>
      </w:r>
      <w:r w:rsidR="00475E66" w:rsidRPr="005A1F62">
        <w:t xml:space="preserve">балла </w:t>
      </w:r>
      <w:r w:rsidRPr="005A1F62">
        <w:t xml:space="preserve">или более, то выделяется сильный стресс-фактор за деловую репутацию. </w:t>
      </w:r>
    </w:p>
    <w:p w14:paraId="61644348" w14:textId="4BF6CCF4" w:rsidR="002C523E" w:rsidRPr="005A1F62" w:rsidRDefault="008A40EB" w:rsidP="006A777B">
      <w:pPr>
        <w:ind w:firstLine="567"/>
        <w:jc w:val="both"/>
      </w:pPr>
      <w:bookmarkStart w:id="46" w:name="_Hlk508196620"/>
      <w:r w:rsidRPr="005A1F62">
        <w:t xml:space="preserve">Оценка фактора </w:t>
      </w:r>
      <w:r w:rsidR="00475E66" w:rsidRPr="005A1F62">
        <w:t>«</w:t>
      </w:r>
      <w:r w:rsidRPr="005A1F62">
        <w:t>деловая репутация</w:t>
      </w:r>
      <w:r w:rsidR="00475E66" w:rsidRPr="005A1F62">
        <w:t>»</w:t>
      </w:r>
      <w:r w:rsidRPr="005A1F62">
        <w:t xml:space="preserve"> ограничивается баллом 0,</w:t>
      </w:r>
      <w:r w:rsidR="00C921F1" w:rsidRPr="005A1F62">
        <w:t>2</w:t>
      </w:r>
      <w:r w:rsidRPr="005A1F62">
        <w:t>5</w:t>
      </w:r>
      <w:r w:rsidR="00475E66" w:rsidRPr="005A1F62">
        <w:t xml:space="preserve">, </w:t>
      </w:r>
      <w:r w:rsidRPr="005A1F62">
        <w:t>даже если сумма вычетов по таблице выше сост</w:t>
      </w:r>
      <w:r w:rsidR="008F5238" w:rsidRPr="005A1F62">
        <w:t>авляет 0 баллов</w:t>
      </w:r>
      <w:r w:rsidR="00475E66" w:rsidRPr="005A1F62">
        <w:t>,</w:t>
      </w:r>
      <w:r w:rsidR="008F5238" w:rsidRPr="005A1F62">
        <w:t xml:space="preserve"> в случае если </w:t>
      </w:r>
      <w:r w:rsidRPr="005A1F62">
        <w:t>у банка нет публи</w:t>
      </w:r>
      <w:r w:rsidR="008F5238" w:rsidRPr="005A1F62">
        <w:t>чной кредитной истории (рыночных выпусков</w:t>
      </w:r>
      <w:r w:rsidRPr="005A1F62">
        <w:t xml:space="preserve"> облигаций)</w:t>
      </w:r>
      <w:bookmarkStart w:id="47" w:name="_Toc277183399"/>
      <w:r w:rsidR="008F5238" w:rsidRPr="005A1F62">
        <w:t>.</w:t>
      </w:r>
    </w:p>
    <w:bookmarkEnd w:id="45"/>
    <w:bookmarkEnd w:id="46"/>
    <w:p w14:paraId="508C7B3A" w14:textId="77777777" w:rsidR="008F5238" w:rsidRPr="005A1F62" w:rsidRDefault="008F5238" w:rsidP="00DC2FED">
      <w:pPr>
        <w:pStyle w:val="afb"/>
        <w:jc w:val="both"/>
      </w:pPr>
    </w:p>
    <w:p w14:paraId="5E76148B" w14:textId="66C26387" w:rsidR="009B681E" w:rsidRPr="005A1F62" w:rsidRDefault="009B681E" w:rsidP="00D44657">
      <w:pPr>
        <w:pStyle w:val="3"/>
        <w:numPr>
          <w:ilvl w:val="1"/>
          <w:numId w:val="17"/>
        </w:numPr>
        <w:tabs>
          <w:tab w:val="left" w:pos="709"/>
        </w:tabs>
        <w:spacing w:before="0" w:after="0"/>
        <w:ind w:left="0" w:firstLine="567"/>
        <w:rPr>
          <w:rFonts w:ascii="Times New Roman" w:hAnsi="Times New Roman" w:cs="Times New Roman"/>
        </w:rPr>
      </w:pPr>
      <w:bookmarkStart w:id="48" w:name="_Toc343776092"/>
      <w:bookmarkStart w:id="49" w:name="_Toc459363745"/>
      <w:bookmarkStart w:id="50" w:name="_Toc44433451"/>
      <w:bookmarkStart w:id="51" w:name="_Hlk510516708"/>
      <w:r w:rsidRPr="005A1F62">
        <w:rPr>
          <w:rFonts w:ascii="Times New Roman" w:hAnsi="Times New Roman" w:cs="Times New Roman"/>
        </w:rPr>
        <w:t>Специализация и кэптивность</w:t>
      </w:r>
      <w:bookmarkEnd w:id="47"/>
      <w:bookmarkEnd w:id="48"/>
      <w:bookmarkEnd w:id="49"/>
      <w:bookmarkEnd w:id="50"/>
    </w:p>
    <w:p w14:paraId="4A7118EB" w14:textId="77777777" w:rsidR="0062539F" w:rsidRPr="005A1F62" w:rsidRDefault="0062539F" w:rsidP="0062539F"/>
    <w:p w14:paraId="19FE89F6" w14:textId="68365336" w:rsidR="00A64C71" w:rsidRPr="005A1F62" w:rsidRDefault="009B681E" w:rsidP="006735C7">
      <w:pPr>
        <w:tabs>
          <w:tab w:val="left" w:pos="709"/>
        </w:tabs>
        <w:ind w:firstLine="567"/>
        <w:jc w:val="both"/>
        <w:rPr>
          <w:bCs/>
        </w:rPr>
      </w:pPr>
      <w:r w:rsidRPr="005A1F62">
        <w:rPr>
          <w:u w:val="single"/>
        </w:rPr>
        <w:t>Цель оценки</w:t>
      </w:r>
      <w:r w:rsidR="00475E66" w:rsidRPr="005A1F62">
        <w:rPr>
          <w:u w:val="single"/>
        </w:rPr>
        <w:t>:</w:t>
      </w:r>
      <w:r w:rsidR="00475E66" w:rsidRPr="005A1F62">
        <w:t xml:space="preserve"> о</w:t>
      </w:r>
      <w:r w:rsidRPr="005A1F62">
        <w:t xml:space="preserve">пределить риски, связанные с недостаточной диверсификацией бизнеса по </w:t>
      </w:r>
      <w:r w:rsidR="00CD6CE0" w:rsidRPr="005A1F62">
        <w:t xml:space="preserve">направлениям </w:t>
      </w:r>
      <w:r w:rsidR="0082030F" w:rsidRPr="005A1F62">
        <w:t>банковской деятельности</w:t>
      </w:r>
      <w:r w:rsidRPr="005A1F62">
        <w:t xml:space="preserve"> либо </w:t>
      </w:r>
      <w:r w:rsidR="00F803DB" w:rsidRPr="005A1F62">
        <w:t xml:space="preserve">с </w:t>
      </w:r>
      <w:r w:rsidRPr="005A1F62">
        <w:t>концентрацией бизнеса на операциях со связанными сторонами</w:t>
      </w:r>
      <w:r w:rsidR="00A64C71" w:rsidRPr="005A1F62">
        <w:t>, оценить с</w:t>
      </w:r>
      <w:r w:rsidR="00C00B65" w:rsidRPr="005A1F62">
        <w:t xml:space="preserve">тепень рискованности </w:t>
      </w:r>
      <w:r w:rsidR="00A64C71" w:rsidRPr="005A1F62">
        <w:t>бизнес-модели</w:t>
      </w:r>
      <w:r w:rsidR="00C00B65" w:rsidRPr="005A1F62">
        <w:t xml:space="preserve"> банка</w:t>
      </w:r>
      <w:r w:rsidR="00A64C71" w:rsidRPr="005A1F62">
        <w:t xml:space="preserve">, </w:t>
      </w:r>
      <w:r w:rsidR="00A64C71" w:rsidRPr="005A1F62">
        <w:lastRenderedPageBreak/>
        <w:t>а также отраслевую концентраци</w:t>
      </w:r>
      <w:r w:rsidR="00763FC1" w:rsidRPr="005A1F62">
        <w:t>ю</w:t>
      </w:r>
      <w:r w:rsidR="00A64C71" w:rsidRPr="005A1F62">
        <w:t xml:space="preserve"> бизнеса</w:t>
      </w:r>
      <w:r w:rsidRPr="005A1F62">
        <w:t>.</w:t>
      </w:r>
      <w:r w:rsidR="0082030F" w:rsidRPr="005A1F62">
        <w:t xml:space="preserve"> Повышенная зависимость финансового результата от ограниченного набора источников доходов означает риск резкого ухудшения финансовых показателей в случае ужесточения регулирования сегментов, обеспечивающих основную долю доходов, или в случае рецессии в отдельных сегментах банковского рынка / отраслях деятельности клиентов. Кредитование связанных сторон в значительных объемах сопряжено с регулятивным риском, а также может означать упрощенные, недостаточно консервативные процедуры риск-менеджмента и корпоративного управления в части принятия риска на аффилированных с банком лиц или лиц, косвенным образом приближенных к бенефициарам банка.</w:t>
      </w:r>
      <w:r w:rsidR="00E277AB" w:rsidRPr="005A1F62">
        <w:t xml:space="preserve"> </w:t>
      </w:r>
      <w:r w:rsidR="00CC7CC7" w:rsidRPr="005A1F62">
        <w:t>Кредитование связанных сторон повышает чувствительность бизнеса банка к проблемам собственников, а также</w:t>
      </w:r>
      <w:r w:rsidR="00CD78CF" w:rsidRPr="005A1F62">
        <w:t xml:space="preserve"> </w:t>
      </w:r>
      <w:r w:rsidR="00CC7CC7" w:rsidRPr="005A1F62">
        <w:t xml:space="preserve">является источником конфликта интересов, который может быть разрешен не в пользу </w:t>
      </w:r>
      <w:r w:rsidR="007B60DA" w:rsidRPr="005A1F62">
        <w:t>банка</w:t>
      </w:r>
      <w:r w:rsidR="00CC7CC7" w:rsidRPr="005A1F62">
        <w:t>.</w:t>
      </w:r>
    </w:p>
    <w:p w14:paraId="54FF5039" w14:textId="77777777" w:rsidR="00A64C71" w:rsidRPr="005A1F62" w:rsidRDefault="00A64C71" w:rsidP="00DC2FED">
      <w:pPr>
        <w:tabs>
          <w:tab w:val="left" w:pos="709"/>
        </w:tabs>
        <w:ind w:firstLine="567"/>
        <w:jc w:val="both"/>
      </w:pPr>
    </w:p>
    <w:p w14:paraId="61B57AD7" w14:textId="77777777" w:rsidR="009B681E" w:rsidRPr="005A1F62" w:rsidRDefault="009B681E" w:rsidP="00DC2FED">
      <w:pPr>
        <w:tabs>
          <w:tab w:val="left" w:pos="709"/>
        </w:tabs>
        <w:ind w:firstLine="567"/>
        <w:rPr>
          <w:u w:val="single"/>
        </w:rPr>
      </w:pPr>
      <w:r w:rsidRPr="005A1F62">
        <w:rPr>
          <w:u w:val="single"/>
        </w:rPr>
        <w:t>Алгоритм выставления оценки</w:t>
      </w:r>
    </w:p>
    <w:p w14:paraId="4396ABF9" w14:textId="4EF0D31C" w:rsidR="00214933" w:rsidRPr="005A1F62" w:rsidRDefault="00214933" w:rsidP="00C24C02"/>
    <w:p w14:paraId="7C9B9270" w14:textId="5D66956F" w:rsidR="00214933" w:rsidRPr="005A1F62" w:rsidRDefault="00214933" w:rsidP="00C24C02">
      <w:pPr>
        <w:ind w:firstLine="360"/>
        <w:jc w:val="both"/>
        <w:rPr>
          <w:color w:val="000000"/>
        </w:rPr>
      </w:pPr>
      <w:r w:rsidRPr="005A1F62">
        <w:rPr>
          <w:color w:val="000000"/>
        </w:rPr>
        <w:t>Балл за фактор «специализация и кэптивность» представляет собой минима</w:t>
      </w:r>
      <w:r w:rsidR="00F6464E" w:rsidRPr="005A1F62">
        <w:rPr>
          <w:color w:val="000000"/>
        </w:rPr>
        <w:t xml:space="preserve">льную из оценок следующих </w:t>
      </w:r>
      <w:r w:rsidRPr="005A1F62">
        <w:rPr>
          <w:color w:val="000000"/>
        </w:rPr>
        <w:t>показателей:</w:t>
      </w:r>
    </w:p>
    <w:p w14:paraId="017D711C" w14:textId="5C6B34E6" w:rsidR="00214933" w:rsidRPr="005A1F62" w:rsidRDefault="00214933" w:rsidP="00D44657">
      <w:pPr>
        <w:numPr>
          <w:ilvl w:val="0"/>
          <w:numId w:val="43"/>
        </w:numPr>
        <w:jc w:val="both"/>
        <w:rPr>
          <w:color w:val="000000"/>
        </w:rPr>
      </w:pPr>
      <w:r w:rsidRPr="005A1F62">
        <w:rPr>
          <w:color w:val="000000"/>
        </w:rPr>
        <w:t>Диве</w:t>
      </w:r>
      <w:r w:rsidR="005A0E24" w:rsidRPr="005A1F62">
        <w:rPr>
          <w:color w:val="000000"/>
        </w:rPr>
        <w:t>рсификация активов по сегментам или д</w:t>
      </w:r>
      <w:r w:rsidRPr="005A1F62">
        <w:rPr>
          <w:color w:val="000000"/>
        </w:rPr>
        <w:t>иверсификация доходов по источникам;</w:t>
      </w:r>
    </w:p>
    <w:p w14:paraId="4468FFAF" w14:textId="77777777" w:rsidR="00214933" w:rsidRPr="005A1F62" w:rsidRDefault="00214933" w:rsidP="00D44657">
      <w:pPr>
        <w:numPr>
          <w:ilvl w:val="0"/>
          <w:numId w:val="43"/>
        </w:numPr>
        <w:jc w:val="both"/>
        <w:rPr>
          <w:color w:val="000000"/>
        </w:rPr>
      </w:pPr>
      <w:r w:rsidRPr="005A1F62">
        <w:rPr>
          <w:color w:val="000000"/>
        </w:rPr>
        <w:t>Кредитный риск на связанных с банком лиц.</w:t>
      </w:r>
    </w:p>
    <w:p w14:paraId="73EE502E" w14:textId="77777777" w:rsidR="00214933" w:rsidRPr="005A1F62" w:rsidRDefault="00214933" w:rsidP="00214933">
      <w:pPr>
        <w:ind w:firstLine="360"/>
        <w:jc w:val="both"/>
        <w:rPr>
          <w:color w:val="000000"/>
        </w:rPr>
      </w:pPr>
    </w:p>
    <w:p w14:paraId="0B25C57B" w14:textId="27EB647B" w:rsidR="00214933" w:rsidRPr="005A1F62" w:rsidRDefault="004045A8" w:rsidP="00214933">
      <w:pPr>
        <w:ind w:firstLine="360"/>
        <w:jc w:val="both"/>
        <w:rPr>
          <w:color w:val="000000"/>
        </w:rPr>
      </w:pPr>
      <w:r w:rsidRPr="005A1F62">
        <w:rPr>
          <w:color w:val="000000"/>
        </w:rPr>
        <w:t>Д</w:t>
      </w:r>
      <w:r w:rsidR="00214933" w:rsidRPr="005A1F62">
        <w:rPr>
          <w:color w:val="000000"/>
        </w:rPr>
        <w:t>иверсификаци</w:t>
      </w:r>
      <w:r w:rsidR="00017038" w:rsidRPr="005A1F62">
        <w:rPr>
          <w:color w:val="000000"/>
        </w:rPr>
        <w:t xml:space="preserve">я </w:t>
      </w:r>
      <w:r w:rsidRPr="005A1F62">
        <w:rPr>
          <w:color w:val="000000"/>
        </w:rPr>
        <w:t xml:space="preserve">активов по сегментам оценивается на основе </w:t>
      </w:r>
      <w:r w:rsidR="00214933" w:rsidRPr="005A1F62">
        <w:rPr>
          <w:color w:val="000000"/>
        </w:rPr>
        <w:t>индекса Херфиндаля – Хиршмана</w:t>
      </w:r>
      <w:r w:rsidR="00CE4549" w:rsidRPr="005A1F62">
        <w:rPr>
          <w:color w:val="000000"/>
        </w:rPr>
        <w:t>, рассчитанного по активам, приходящимся на следующие сегменты</w:t>
      </w:r>
      <w:r w:rsidR="00214933" w:rsidRPr="005A1F62">
        <w:rPr>
          <w:color w:val="000000"/>
        </w:rPr>
        <w:t>:</w:t>
      </w:r>
    </w:p>
    <w:p w14:paraId="4315A3A6" w14:textId="77777777" w:rsidR="00214933" w:rsidRPr="005A1F62" w:rsidRDefault="00214933" w:rsidP="00D44657">
      <w:pPr>
        <w:numPr>
          <w:ilvl w:val="0"/>
          <w:numId w:val="43"/>
        </w:numPr>
        <w:jc w:val="both"/>
        <w:rPr>
          <w:color w:val="000000"/>
        </w:rPr>
      </w:pPr>
      <w:r w:rsidRPr="005A1F62">
        <w:rPr>
          <w:color w:val="000000"/>
        </w:rPr>
        <w:t>ипотечные и жилищные ссуды ФЛ;</w:t>
      </w:r>
    </w:p>
    <w:p w14:paraId="3033F857" w14:textId="77777777" w:rsidR="00214933" w:rsidRPr="005A1F62" w:rsidRDefault="00214933" w:rsidP="00D44657">
      <w:pPr>
        <w:numPr>
          <w:ilvl w:val="0"/>
          <w:numId w:val="43"/>
        </w:numPr>
        <w:jc w:val="both"/>
        <w:rPr>
          <w:color w:val="000000"/>
        </w:rPr>
      </w:pPr>
      <w:r w:rsidRPr="005A1F62">
        <w:rPr>
          <w:color w:val="000000"/>
        </w:rPr>
        <w:t>автокредиты ФЛ;</w:t>
      </w:r>
    </w:p>
    <w:p w14:paraId="54CADDB2" w14:textId="77777777" w:rsidR="00214933" w:rsidRPr="005A1F62" w:rsidRDefault="00214933" w:rsidP="00D44657">
      <w:pPr>
        <w:numPr>
          <w:ilvl w:val="0"/>
          <w:numId w:val="43"/>
        </w:numPr>
        <w:jc w:val="both"/>
        <w:rPr>
          <w:color w:val="000000"/>
        </w:rPr>
      </w:pPr>
      <w:r w:rsidRPr="005A1F62">
        <w:rPr>
          <w:color w:val="000000"/>
        </w:rPr>
        <w:t>прочее кредитование ФЛ;</w:t>
      </w:r>
    </w:p>
    <w:p w14:paraId="05A7E96F" w14:textId="77777777" w:rsidR="00214933" w:rsidRPr="005A1F62" w:rsidRDefault="00214933" w:rsidP="00D44657">
      <w:pPr>
        <w:numPr>
          <w:ilvl w:val="0"/>
          <w:numId w:val="43"/>
        </w:numPr>
        <w:jc w:val="both"/>
        <w:rPr>
          <w:color w:val="000000"/>
        </w:rPr>
      </w:pPr>
      <w:r w:rsidRPr="005A1F62">
        <w:rPr>
          <w:color w:val="000000"/>
        </w:rPr>
        <w:t>выданные гарантии (для расчета индекса Херфиндаля – Хиршмана используется сумма условных обязательств кредитного характера по выданным гарантиям, умноженная на поправочный коэффициент 0,15);</w:t>
      </w:r>
    </w:p>
    <w:p w14:paraId="15B2ECCB" w14:textId="77777777" w:rsidR="00214933" w:rsidRPr="005A1F62" w:rsidRDefault="00214933" w:rsidP="00D44657">
      <w:pPr>
        <w:numPr>
          <w:ilvl w:val="0"/>
          <w:numId w:val="43"/>
        </w:numPr>
        <w:jc w:val="both"/>
        <w:rPr>
          <w:color w:val="000000"/>
        </w:rPr>
      </w:pPr>
      <w:r w:rsidRPr="005A1F62">
        <w:rPr>
          <w:color w:val="000000"/>
        </w:rPr>
        <w:t>кредиты МСБ, в том числе ИП;</w:t>
      </w:r>
    </w:p>
    <w:p w14:paraId="2E0E7491" w14:textId="27DEA609" w:rsidR="00683F5D" w:rsidRPr="005A1F62" w:rsidRDefault="00214933" w:rsidP="00D44657">
      <w:pPr>
        <w:numPr>
          <w:ilvl w:val="0"/>
          <w:numId w:val="43"/>
        </w:numPr>
        <w:jc w:val="both"/>
        <w:rPr>
          <w:color w:val="000000"/>
        </w:rPr>
      </w:pPr>
      <w:r w:rsidRPr="005A1F62">
        <w:rPr>
          <w:color w:val="000000"/>
        </w:rPr>
        <w:t>кредиты крупным корпоративным клиентам (без учета РЕПО);</w:t>
      </w:r>
    </w:p>
    <w:p w14:paraId="105E210D" w14:textId="3ABE918B" w:rsidR="00683F5D" w:rsidRPr="005A1F62" w:rsidRDefault="00683F5D" w:rsidP="00D44657">
      <w:pPr>
        <w:numPr>
          <w:ilvl w:val="0"/>
          <w:numId w:val="43"/>
        </w:numPr>
        <w:jc w:val="both"/>
        <w:rPr>
          <w:color w:val="000000"/>
        </w:rPr>
      </w:pPr>
      <w:bookmarkStart w:id="52" w:name="_Hlk5293718"/>
      <w:r w:rsidRPr="005A1F62">
        <w:rPr>
          <w:color w:val="000000"/>
        </w:rPr>
        <w:t>кредиты и прочие предоставленные средства Минфину России, органам власти и внебюджетным фондам;</w:t>
      </w:r>
    </w:p>
    <w:bookmarkEnd w:id="52"/>
    <w:p w14:paraId="15087748" w14:textId="23946E74" w:rsidR="00214933" w:rsidRPr="005A1F62" w:rsidRDefault="00214933" w:rsidP="00D44657">
      <w:pPr>
        <w:numPr>
          <w:ilvl w:val="0"/>
          <w:numId w:val="43"/>
        </w:numPr>
        <w:jc w:val="both"/>
        <w:rPr>
          <w:color w:val="000000"/>
        </w:rPr>
      </w:pPr>
      <w:r w:rsidRPr="005A1F62">
        <w:rPr>
          <w:color w:val="000000"/>
        </w:rPr>
        <w:t>прочие активы.</w:t>
      </w:r>
    </w:p>
    <w:p w14:paraId="00D4B3B1" w14:textId="77777777" w:rsidR="00214933" w:rsidRPr="005A1F62" w:rsidRDefault="00214933" w:rsidP="00214933">
      <w:pPr>
        <w:ind w:firstLine="360"/>
        <w:jc w:val="both"/>
        <w:rPr>
          <w:color w:val="000000"/>
        </w:rPr>
      </w:pPr>
      <w:r w:rsidRPr="005A1F62">
        <w:rPr>
          <w:color w:val="000000"/>
        </w:rPr>
        <w:t>К прочим активам Агентство относит балансовые остатки по всем низкодоходным операциям размещения свободной ликвидности, поскольку они не могут определять специализацию банка, подвержены волатильности и затрудняют повышение операционной эффективности деятельности банка.</w:t>
      </w:r>
    </w:p>
    <w:p w14:paraId="0B6612A8" w14:textId="77777777" w:rsidR="00214933" w:rsidRPr="005A1F62" w:rsidRDefault="00214933" w:rsidP="00214933">
      <w:pPr>
        <w:ind w:firstLine="360"/>
        <w:jc w:val="both"/>
        <w:rPr>
          <w:color w:val="000000"/>
        </w:rPr>
      </w:pPr>
    </w:p>
    <w:p w14:paraId="7AFE390E" w14:textId="41FCF6AD" w:rsidR="00214933" w:rsidRPr="005A1F62" w:rsidRDefault="00017038" w:rsidP="00214933">
      <w:pPr>
        <w:ind w:firstLine="360"/>
        <w:jc w:val="both"/>
        <w:rPr>
          <w:color w:val="000000"/>
        </w:rPr>
      </w:pPr>
      <w:r w:rsidRPr="005A1F62">
        <w:rPr>
          <w:color w:val="000000"/>
        </w:rPr>
        <w:t xml:space="preserve">Диверсификация </w:t>
      </w:r>
      <w:r w:rsidR="00214933" w:rsidRPr="005A1F62">
        <w:rPr>
          <w:color w:val="000000"/>
        </w:rPr>
        <w:t>доходов по ис</w:t>
      </w:r>
      <w:r w:rsidRPr="005A1F62">
        <w:rPr>
          <w:color w:val="000000"/>
        </w:rPr>
        <w:t xml:space="preserve">точникам оценивается на основе </w:t>
      </w:r>
      <w:r w:rsidR="00214933" w:rsidRPr="005A1F62">
        <w:rPr>
          <w:color w:val="000000"/>
        </w:rPr>
        <w:t>индекса Херфиндаля – Хиршмана, рассчитанного п</w:t>
      </w:r>
      <w:r w:rsidRPr="005A1F62">
        <w:rPr>
          <w:color w:val="000000"/>
        </w:rPr>
        <w:t>о доходам, обеспеченным следующими источниками</w:t>
      </w:r>
      <w:r w:rsidR="00214933" w:rsidRPr="005A1F62">
        <w:rPr>
          <w:color w:val="000000"/>
        </w:rPr>
        <w:t>:</w:t>
      </w:r>
    </w:p>
    <w:p w14:paraId="05DFD14A" w14:textId="77777777" w:rsidR="00214933" w:rsidRPr="005A1F62" w:rsidRDefault="00214933" w:rsidP="00D44657">
      <w:pPr>
        <w:numPr>
          <w:ilvl w:val="0"/>
          <w:numId w:val="43"/>
        </w:numPr>
        <w:jc w:val="both"/>
        <w:rPr>
          <w:color w:val="000000"/>
        </w:rPr>
      </w:pPr>
      <w:r w:rsidRPr="005A1F62">
        <w:rPr>
          <w:color w:val="000000"/>
        </w:rPr>
        <w:t>Процентные доходы по средствам, предоставленным Минфину России, органам власти и внебюджетным фондам;</w:t>
      </w:r>
    </w:p>
    <w:p w14:paraId="766CC4FE" w14:textId="294D39B8" w:rsidR="00214933" w:rsidRPr="005A1F62" w:rsidRDefault="00214933" w:rsidP="00D44657">
      <w:pPr>
        <w:numPr>
          <w:ilvl w:val="0"/>
          <w:numId w:val="43"/>
        </w:numPr>
        <w:jc w:val="both"/>
        <w:rPr>
          <w:color w:val="000000"/>
        </w:rPr>
      </w:pPr>
      <w:r w:rsidRPr="005A1F62">
        <w:rPr>
          <w:color w:val="000000"/>
        </w:rPr>
        <w:t>Проце</w:t>
      </w:r>
      <w:r w:rsidR="009E167B" w:rsidRPr="005A1F62">
        <w:rPr>
          <w:color w:val="000000"/>
        </w:rPr>
        <w:t>нтные доходы по кредитам субъектам малого и среднего бизнеса</w:t>
      </w:r>
      <w:r w:rsidRPr="005A1F62">
        <w:rPr>
          <w:color w:val="000000"/>
        </w:rPr>
        <w:t>;</w:t>
      </w:r>
    </w:p>
    <w:p w14:paraId="12AC1DDD" w14:textId="59A8C66D" w:rsidR="009E167B" w:rsidRPr="005A1F62" w:rsidRDefault="009E167B" w:rsidP="00D44657">
      <w:pPr>
        <w:numPr>
          <w:ilvl w:val="0"/>
          <w:numId w:val="43"/>
        </w:numPr>
        <w:jc w:val="both"/>
        <w:rPr>
          <w:color w:val="000000"/>
        </w:rPr>
      </w:pPr>
      <w:r w:rsidRPr="005A1F62">
        <w:rPr>
          <w:color w:val="000000"/>
        </w:rPr>
        <w:t>П</w:t>
      </w:r>
      <w:r w:rsidR="0076591B" w:rsidRPr="005A1F62">
        <w:rPr>
          <w:color w:val="000000"/>
        </w:rPr>
        <w:t>роцентные доходы по кредитам кру</w:t>
      </w:r>
      <w:r w:rsidRPr="005A1F62">
        <w:rPr>
          <w:color w:val="000000"/>
        </w:rPr>
        <w:t>пным корпоративным клиентам (без учета РЕПО);</w:t>
      </w:r>
    </w:p>
    <w:p w14:paraId="5EA1B54D" w14:textId="5FB3217A" w:rsidR="00214933" w:rsidRPr="005A1F62" w:rsidRDefault="009E167B" w:rsidP="00D44657">
      <w:pPr>
        <w:numPr>
          <w:ilvl w:val="0"/>
          <w:numId w:val="43"/>
        </w:numPr>
        <w:jc w:val="both"/>
        <w:rPr>
          <w:color w:val="000000"/>
        </w:rPr>
      </w:pPr>
      <w:r w:rsidRPr="005A1F62">
        <w:rPr>
          <w:color w:val="000000"/>
        </w:rPr>
        <w:t xml:space="preserve">Процентные доходы по ипотечным и жилищным </w:t>
      </w:r>
      <w:r w:rsidR="00214933" w:rsidRPr="005A1F62">
        <w:rPr>
          <w:color w:val="000000"/>
        </w:rPr>
        <w:t>кредитам ФЛ;</w:t>
      </w:r>
    </w:p>
    <w:p w14:paraId="761832DD" w14:textId="5FE25856" w:rsidR="009E167B" w:rsidRPr="005A1F62" w:rsidRDefault="009E167B" w:rsidP="00D44657">
      <w:pPr>
        <w:numPr>
          <w:ilvl w:val="0"/>
          <w:numId w:val="43"/>
        </w:numPr>
        <w:jc w:val="both"/>
        <w:rPr>
          <w:color w:val="000000"/>
        </w:rPr>
      </w:pPr>
      <w:r w:rsidRPr="005A1F62">
        <w:rPr>
          <w:color w:val="000000"/>
        </w:rPr>
        <w:t>Процентные доходы по автокредитам ФЛ;</w:t>
      </w:r>
    </w:p>
    <w:p w14:paraId="0963C38C" w14:textId="060611C7" w:rsidR="009E167B" w:rsidRPr="005A1F62" w:rsidRDefault="009E167B" w:rsidP="00D44657">
      <w:pPr>
        <w:numPr>
          <w:ilvl w:val="0"/>
          <w:numId w:val="43"/>
        </w:numPr>
        <w:jc w:val="both"/>
        <w:rPr>
          <w:color w:val="000000"/>
        </w:rPr>
      </w:pPr>
      <w:r w:rsidRPr="005A1F62">
        <w:rPr>
          <w:color w:val="000000"/>
        </w:rPr>
        <w:t>Процентные доходы по прочим кредитам ФЛ;</w:t>
      </w:r>
    </w:p>
    <w:p w14:paraId="32D10751" w14:textId="77777777" w:rsidR="00683F5D" w:rsidRPr="005A1F62" w:rsidRDefault="00683F5D" w:rsidP="00D44657">
      <w:pPr>
        <w:numPr>
          <w:ilvl w:val="0"/>
          <w:numId w:val="43"/>
        </w:numPr>
        <w:jc w:val="both"/>
        <w:rPr>
          <w:color w:val="000000"/>
        </w:rPr>
      </w:pPr>
      <w:r w:rsidRPr="005A1F62">
        <w:rPr>
          <w:color w:val="000000"/>
        </w:rPr>
        <w:t>Процентные доходы по низкодоходным ликвидным активам, которые рассчитываются как сумма доходов по следующим направлениям деятельности:</w:t>
      </w:r>
    </w:p>
    <w:p w14:paraId="18127E4D" w14:textId="77777777" w:rsidR="00683F5D" w:rsidRPr="005A1F62" w:rsidRDefault="00683F5D" w:rsidP="00D44657">
      <w:pPr>
        <w:numPr>
          <w:ilvl w:val="1"/>
          <w:numId w:val="43"/>
        </w:numPr>
        <w:jc w:val="both"/>
        <w:rPr>
          <w:color w:val="000000"/>
        </w:rPr>
      </w:pPr>
      <w:r w:rsidRPr="005A1F62">
        <w:rPr>
          <w:color w:val="000000"/>
        </w:rPr>
        <w:lastRenderedPageBreak/>
        <w:t>Процентные доходы по операциям обратного РЕПО с некредитными организациями;</w:t>
      </w:r>
    </w:p>
    <w:p w14:paraId="18841B94" w14:textId="77777777" w:rsidR="00683F5D" w:rsidRPr="005A1F62" w:rsidRDefault="00683F5D" w:rsidP="00D44657">
      <w:pPr>
        <w:numPr>
          <w:ilvl w:val="1"/>
          <w:numId w:val="43"/>
        </w:numPr>
        <w:jc w:val="both"/>
        <w:rPr>
          <w:color w:val="000000"/>
        </w:rPr>
      </w:pPr>
      <w:r w:rsidRPr="005A1F62">
        <w:rPr>
          <w:color w:val="000000"/>
        </w:rPr>
        <w:t>Процентные доходы по предоставленным кредитным организациям средствам и размещенным в Банке России средствам (межбанковские кредиты и депозиты и операции обратного РЕПО);</w:t>
      </w:r>
    </w:p>
    <w:p w14:paraId="544D415A" w14:textId="777A8F21" w:rsidR="00683F5D" w:rsidRPr="005A1F62" w:rsidRDefault="00683F5D" w:rsidP="00D44657">
      <w:pPr>
        <w:numPr>
          <w:ilvl w:val="1"/>
          <w:numId w:val="43"/>
        </w:numPr>
        <w:jc w:val="both"/>
        <w:rPr>
          <w:color w:val="000000"/>
        </w:rPr>
      </w:pPr>
      <w:r w:rsidRPr="005A1F62">
        <w:rPr>
          <w:color w:val="000000"/>
        </w:rPr>
        <w:t>Процентные доходы по вложениям в долговые обязательства (облигации, векселя и иные долговые ценные бумаги);</w:t>
      </w:r>
    </w:p>
    <w:p w14:paraId="4BE4D626" w14:textId="701442A2" w:rsidR="00214933" w:rsidRPr="005A1F62" w:rsidRDefault="00214933" w:rsidP="00D44657">
      <w:pPr>
        <w:numPr>
          <w:ilvl w:val="0"/>
          <w:numId w:val="43"/>
        </w:numPr>
        <w:jc w:val="both"/>
        <w:rPr>
          <w:color w:val="000000"/>
        </w:rPr>
      </w:pPr>
      <w:r w:rsidRPr="005A1F62">
        <w:rPr>
          <w:color w:val="000000"/>
        </w:rPr>
        <w:t>Комиссионные доходы за открытие и ведение банковских счетов, за расчетно-кассовое обслуживание и за осуществление переводов денежных средств</w:t>
      </w:r>
      <w:r w:rsidR="00017038" w:rsidRPr="005A1F62">
        <w:rPr>
          <w:color w:val="000000"/>
        </w:rPr>
        <w:t>;</w:t>
      </w:r>
    </w:p>
    <w:p w14:paraId="24F84C58" w14:textId="77777777" w:rsidR="00214933" w:rsidRPr="005A1F62" w:rsidRDefault="00214933" w:rsidP="00D44657">
      <w:pPr>
        <w:numPr>
          <w:ilvl w:val="0"/>
          <w:numId w:val="43"/>
        </w:numPr>
        <w:jc w:val="both"/>
        <w:rPr>
          <w:color w:val="000000"/>
        </w:rPr>
      </w:pPr>
      <w:r w:rsidRPr="005A1F62">
        <w:rPr>
          <w:color w:val="000000"/>
        </w:rPr>
        <w:t>Комиссионные доходы от выдачи гарантий и поручительств;</w:t>
      </w:r>
    </w:p>
    <w:p w14:paraId="53DE6B68" w14:textId="6582E981" w:rsidR="00214933" w:rsidRPr="005A1F62" w:rsidRDefault="00214933" w:rsidP="00D44657">
      <w:pPr>
        <w:numPr>
          <w:ilvl w:val="0"/>
          <w:numId w:val="43"/>
        </w:numPr>
        <w:jc w:val="both"/>
        <w:rPr>
          <w:color w:val="000000"/>
        </w:rPr>
      </w:pPr>
      <w:r w:rsidRPr="005A1F62">
        <w:rPr>
          <w:color w:val="000000"/>
        </w:rPr>
        <w:t>Комиссионные доходы за проведение операций с валютными ценностями и от оказания посреднических услуг по брокерским и аналогичным договорам.</w:t>
      </w:r>
    </w:p>
    <w:p w14:paraId="6A44F7E4" w14:textId="77777777" w:rsidR="009E167B" w:rsidRPr="005A1F62" w:rsidRDefault="009E167B" w:rsidP="00C24C02">
      <w:pPr>
        <w:pStyle w:val="afb"/>
        <w:jc w:val="both"/>
        <w:rPr>
          <w:color w:val="000000"/>
        </w:rPr>
      </w:pPr>
    </w:p>
    <w:p w14:paraId="4614EC16" w14:textId="5F90F453" w:rsidR="00997FDE" w:rsidRPr="005A1F62" w:rsidRDefault="00422E6B" w:rsidP="00997FDE">
      <w:pPr>
        <w:ind w:firstLine="360"/>
        <w:jc w:val="both"/>
        <w:rPr>
          <w:color w:val="000000"/>
        </w:rPr>
      </w:pPr>
      <w:r w:rsidRPr="005A1F62">
        <w:rPr>
          <w:color w:val="000000"/>
        </w:rPr>
        <w:t>Выбо</w:t>
      </w:r>
      <w:r w:rsidR="00997FDE" w:rsidRPr="005A1F62">
        <w:rPr>
          <w:color w:val="000000"/>
        </w:rPr>
        <w:t xml:space="preserve">р между оценкой специализации банка </w:t>
      </w:r>
      <w:r w:rsidRPr="005A1F62">
        <w:rPr>
          <w:color w:val="000000"/>
        </w:rPr>
        <w:t xml:space="preserve">на основе диверсификации активов по сегментам и диверсификации доходов по источникам осуществляется </w:t>
      </w:r>
      <w:r w:rsidR="00997FDE" w:rsidRPr="005A1F62">
        <w:rPr>
          <w:color w:val="000000"/>
        </w:rPr>
        <w:t>на основе экспертного суждения о степени репрезентативности обоих показателей, формируемого с учетом вариации доходности различных компонентов активов и значимости поддержания соответствующих остатков для сохранения конкурентных позиций в различных сегментах банковского сектора.</w:t>
      </w:r>
    </w:p>
    <w:p w14:paraId="17BCE838" w14:textId="77777777" w:rsidR="00422E6B" w:rsidRPr="005A1F62" w:rsidRDefault="00422E6B" w:rsidP="00214933">
      <w:pPr>
        <w:ind w:firstLine="360"/>
        <w:jc w:val="both"/>
        <w:rPr>
          <w:color w:val="000000"/>
        </w:rPr>
      </w:pPr>
    </w:p>
    <w:p w14:paraId="37DF4BBC" w14:textId="6489DBAA" w:rsidR="00214933" w:rsidRPr="005A1F62" w:rsidRDefault="00214933" w:rsidP="00214933">
      <w:pPr>
        <w:ind w:firstLine="360"/>
        <w:jc w:val="both"/>
        <w:rPr>
          <w:color w:val="000000"/>
        </w:rPr>
      </w:pPr>
      <w:r w:rsidRPr="005A1F62">
        <w:rPr>
          <w:color w:val="000000"/>
        </w:rPr>
        <w:t>Кредитный риск на связанных с банком лиц представляет собой оценку отношения кредитных рисков, приходящихся на связанных с банком лиц</w:t>
      </w:r>
      <w:r w:rsidRPr="005A1F62">
        <w:rPr>
          <w:rStyle w:val="a9"/>
          <w:color w:val="000000"/>
        </w:rPr>
        <w:footnoteReference w:id="11"/>
      </w:r>
      <w:r w:rsidRPr="005A1F62">
        <w:rPr>
          <w:color w:val="000000"/>
        </w:rPr>
        <w:t>, к регулятивному капиталу.</w:t>
      </w:r>
    </w:p>
    <w:p w14:paraId="3E96957D" w14:textId="77777777" w:rsidR="00214933" w:rsidRPr="005A1F62" w:rsidRDefault="00214933" w:rsidP="00214933">
      <w:pPr>
        <w:ind w:firstLine="360"/>
        <w:jc w:val="both"/>
        <w:rPr>
          <w:color w:val="000000"/>
        </w:rPr>
      </w:pPr>
    </w:p>
    <w:p w14:paraId="22681AB1" w14:textId="0C694C08" w:rsidR="00214933" w:rsidRPr="005A1F62" w:rsidRDefault="00214933" w:rsidP="00214933">
      <w:pPr>
        <w:ind w:firstLine="360"/>
        <w:jc w:val="both"/>
        <w:rPr>
          <w:color w:val="000000"/>
        </w:rPr>
      </w:pPr>
      <w:r w:rsidRPr="005A1F62">
        <w:rPr>
          <w:color w:val="000000"/>
        </w:rPr>
        <w:t>Балл за фактор «специализация и кэптивность» может экспертно корректироваться на следующих основаниях:</w:t>
      </w:r>
    </w:p>
    <w:p w14:paraId="07DFCA8B" w14:textId="77777777" w:rsidR="00214933" w:rsidRPr="005A1F62" w:rsidRDefault="00214933" w:rsidP="00C24C02"/>
    <w:p w14:paraId="53298389" w14:textId="1BB8FB86" w:rsidR="00560FD2" w:rsidRPr="005A1F62" w:rsidRDefault="00560FD2" w:rsidP="00D44657">
      <w:pPr>
        <w:pStyle w:val="afb"/>
        <w:numPr>
          <w:ilvl w:val="0"/>
          <w:numId w:val="50"/>
        </w:numPr>
        <w:jc w:val="both"/>
      </w:pPr>
      <w:r w:rsidRPr="005A1F62">
        <w:t>Значительная рискованность бизнес-модели банка (корректировка вниз от 0,5 до 1 балла</w:t>
      </w:r>
      <w:r w:rsidR="00214933" w:rsidRPr="005A1F62">
        <w:t xml:space="preserve"> таким образом, чтобы итоговый балл не был ниже -1</w:t>
      </w:r>
      <w:r w:rsidRPr="005A1F62">
        <w:t xml:space="preserve">). Бизнес-модель оценивается </w:t>
      </w:r>
      <w:r w:rsidR="00383F0C" w:rsidRPr="005A1F62">
        <w:t>в ретроспективе</w:t>
      </w:r>
      <w:r w:rsidRPr="005A1F62">
        <w:t xml:space="preserve"> последних </w:t>
      </w:r>
      <w:r w:rsidR="00475E66" w:rsidRPr="005A1F62">
        <w:t>одного-двух</w:t>
      </w:r>
      <w:r w:rsidRPr="005A1F62">
        <w:t xml:space="preserve"> лет. Примеры рискованных бизнес-моделей:</w:t>
      </w:r>
    </w:p>
    <w:p w14:paraId="7AA80D36" w14:textId="6A51F27B" w:rsidR="00560FD2" w:rsidRPr="005A1F62" w:rsidRDefault="00475E66" w:rsidP="00D44657">
      <w:pPr>
        <w:pStyle w:val="afb"/>
        <w:numPr>
          <w:ilvl w:val="0"/>
          <w:numId w:val="51"/>
        </w:numPr>
        <w:jc w:val="both"/>
      </w:pPr>
      <w:r w:rsidRPr="005A1F62">
        <w:t xml:space="preserve">банк </w:t>
      </w:r>
      <w:r w:rsidR="00560FD2" w:rsidRPr="005A1F62">
        <w:t xml:space="preserve">специализируется на корпоративном кредитовании, при этом более 20% корпоративного портфеля приходится на компании с отдельными признаками отсутствия реальной деятельности (кредит существенно </w:t>
      </w:r>
      <w:r w:rsidR="00560FD2" w:rsidRPr="005A1F62">
        <w:lastRenderedPageBreak/>
        <w:t>больше выручки, низкие налоговые отчисления, неадекватный деятельности штат сотрудников и т.</w:t>
      </w:r>
      <w:r w:rsidRPr="005A1F62">
        <w:t xml:space="preserve"> </w:t>
      </w:r>
      <w:r w:rsidR="00560FD2" w:rsidRPr="005A1F62">
        <w:t xml:space="preserve">д.). В качестве индикаторов могут использоваться данные формы 115 в части ссуд (выше 20%), классифицированных в форме 115 по пункту 3.12.3 (ссуды, выданные заемщикам с признаками отсутствия реальной деятельности, деятельность которых признана реальной правлением (или другим уполномоченным органом банка), либо ссуд с расчетным резервом 50%, </w:t>
      </w:r>
      <w:r w:rsidR="00A51CC9" w:rsidRPr="005A1F62">
        <w:t xml:space="preserve">или </w:t>
      </w:r>
      <w:r w:rsidR="00560FD2" w:rsidRPr="005A1F62">
        <w:t>значительный объем кредитного портфеля с признаками отсутствия реальной деятельности</w:t>
      </w:r>
      <w:r w:rsidR="00A51CC9" w:rsidRPr="005A1F62">
        <w:t>,</w:t>
      </w:r>
      <w:r w:rsidR="00560FD2" w:rsidRPr="005A1F62">
        <w:t xml:space="preserve"> не классифицированный по 3.12.3</w:t>
      </w:r>
      <w:r w:rsidR="00A51CC9" w:rsidRPr="005A1F62">
        <w:t>;</w:t>
      </w:r>
    </w:p>
    <w:p w14:paraId="1C0FC6C8" w14:textId="78187962" w:rsidR="00560FD2" w:rsidRPr="005A1F62" w:rsidRDefault="00A51CC9" w:rsidP="00D44657">
      <w:pPr>
        <w:pStyle w:val="afb"/>
        <w:numPr>
          <w:ilvl w:val="0"/>
          <w:numId w:val="51"/>
        </w:numPr>
        <w:jc w:val="both"/>
      </w:pPr>
      <w:r w:rsidRPr="005A1F62">
        <w:t xml:space="preserve">частая </w:t>
      </w:r>
      <w:r w:rsidR="00560FD2" w:rsidRPr="005A1F62">
        <w:t>или недавняя смена бизнес-модели</w:t>
      </w:r>
      <w:r w:rsidRPr="005A1F62">
        <w:t>;</w:t>
      </w:r>
    </w:p>
    <w:p w14:paraId="2449AB5E" w14:textId="3EBA6C26" w:rsidR="00560FD2" w:rsidRPr="005A1F62" w:rsidRDefault="00A51CC9" w:rsidP="00D44657">
      <w:pPr>
        <w:pStyle w:val="afb"/>
        <w:numPr>
          <w:ilvl w:val="0"/>
          <w:numId w:val="51"/>
        </w:numPr>
        <w:jc w:val="both"/>
      </w:pPr>
      <w:r w:rsidRPr="005A1F62">
        <w:t xml:space="preserve">высокая </w:t>
      </w:r>
      <w:r w:rsidR="00560FD2" w:rsidRPr="005A1F62">
        <w:t xml:space="preserve">концентрация на </w:t>
      </w:r>
      <w:r w:rsidR="00383F0C" w:rsidRPr="005A1F62">
        <w:t>размещении средств корпоративным клиентов</w:t>
      </w:r>
      <w:r w:rsidR="00560FD2" w:rsidRPr="005A1F62">
        <w:t xml:space="preserve"> за счет депозитов физических лиц</w:t>
      </w:r>
      <w:r w:rsidRPr="005A1F62">
        <w:t>;</w:t>
      </w:r>
    </w:p>
    <w:p w14:paraId="7984752C" w14:textId="0DD62ABE" w:rsidR="00383F0C" w:rsidRPr="005A1F62" w:rsidRDefault="00A51CC9" w:rsidP="00D44657">
      <w:pPr>
        <w:pStyle w:val="afb"/>
        <w:numPr>
          <w:ilvl w:val="0"/>
          <w:numId w:val="51"/>
        </w:numPr>
        <w:jc w:val="both"/>
      </w:pPr>
      <w:r w:rsidRPr="005A1F62">
        <w:t xml:space="preserve">резкий </w:t>
      </w:r>
      <w:r w:rsidR="00560FD2" w:rsidRPr="005A1F62">
        <w:t xml:space="preserve">рост выданных гарантий, который может привести к росту выплат по гарантиям в перспективе </w:t>
      </w:r>
      <w:r w:rsidRPr="005A1F62">
        <w:t>одного-двух</w:t>
      </w:r>
      <w:r w:rsidR="00560FD2" w:rsidRPr="005A1F62">
        <w:t xml:space="preserve"> лет, или если есть основание полагать вывод активов через повышенные агентские комиссии</w:t>
      </w:r>
      <w:r w:rsidRPr="005A1F62">
        <w:t>;</w:t>
      </w:r>
    </w:p>
    <w:p w14:paraId="393FFE47" w14:textId="17EBD3C8" w:rsidR="00560FD2" w:rsidRPr="005A1F62" w:rsidRDefault="00A51CC9" w:rsidP="00D44657">
      <w:pPr>
        <w:pStyle w:val="afb"/>
        <w:numPr>
          <w:ilvl w:val="0"/>
          <w:numId w:val="51"/>
        </w:numPr>
        <w:jc w:val="both"/>
      </w:pPr>
      <w:r w:rsidRPr="005A1F62">
        <w:t xml:space="preserve">резкий </w:t>
      </w:r>
      <w:r w:rsidR="00560FD2" w:rsidRPr="005A1F62">
        <w:t>рост кредитного портфеля, который, по мнению Агентства, в значительной степени подвержен риску обесценения</w:t>
      </w:r>
      <w:r w:rsidRPr="005A1F62">
        <w:t xml:space="preserve">; </w:t>
      </w:r>
    </w:p>
    <w:p w14:paraId="670ACE6B" w14:textId="63F2F76F" w:rsidR="00560FD2" w:rsidRPr="005A1F62" w:rsidRDefault="00A51CC9" w:rsidP="00D44657">
      <w:pPr>
        <w:pStyle w:val="afb"/>
        <w:numPr>
          <w:ilvl w:val="0"/>
          <w:numId w:val="51"/>
        </w:numPr>
        <w:jc w:val="both"/>
      </w:pPr>
      <w:r w:rsidRPr="005A1F62">
        <w:t xml:space="preserve">значительный </w:t>
      </w:r>
      <w:r w:rsidR="00560FD2" w:rsidRPr="005A1F62">
        <w:t xml:space="preserve">объем расчетных операций относительно размера банка и (или) клиентских остатков (или диспропорции по остаткам в кассе и </w:t>
      </w:r>
      <w:r w:rsidRPr="005A1F62">
        <w:t xml:space="preserve">размерам </w:t>
      </w:r>
      <w:r w:rsidR="00560FD2" w:rsidRPr="005A1F62">
        <w:t>активов / кассовым операциям), который сопряжен с повышенными операционными рисками и рисками нарушения 115-ФЗ</w:t>
      </w:r>
      <w:r w:rsidRPr="005A1F62">
        <w:t>;</w:t>
      </w:r>
    </w:p>
    <w:p w14:paraId="249DDCE7" w14:textId="7FCFC0A6" w:rsidR="00560FD2" w:rsidRPr="005A1F62" w:rsidRDefault="00A51CC9" w:rsidP="00D44657">
      <w:pPr>
        <w:pStyle w:val="afb"/>
        <w:numPr>
          <w:ilvl w:val="0"/>
          <w:numId w:val="51"/>
        </w:numPr>
        <w:jc w:val="both"/>
      </w:pPr>
      <w:r w:rsidRPr="005A1F62">
        <w:t xml:space="preserve">велик </w:t>
      </w:r>
      <w:r w:rsidR="00560FD2" w:rsidRPr="005A1F62">
        <w:t xml:space="preserve">риск нарушения Н25 после отмены учета кредитования </w:t>
      </w:r>
      <w:r w:rsidR="008C0D49" w:rsidRPr="005A1F62">
        <w:t xml:space="preserve">связанных с банком </w:t>
      </w:r>
      <w:r w:rsidR="006A2ACA" w:rsidRPr="005A1F62">
        <w:t>компаний</w:t>
      </w:r>
      <w:r w:rsidR="008C0D49" w:rsidRPr="005A1F62">
        <w:t xml:space="preserve"> </w:t>
      </w:r>
      <w:r w:rsidR="00560FD2" w:rsidRPr="005A1F62">
        <w:t xml:space="preserve">с понижающими коэффициентами или, если, по мнению Агентства, в числителе Н25 учтены не все кредитные риски, приходящиеся </w:t>
      </w:r>
      <w:r w:rsidR="00A844FF" w:rsidRPr="005A1F62">
        <w:t>на связанные с банком стороны.</w:t>
      </w:r>
    </w:p>
    <w:p w14:paraId="73ACBAF6" w14:textId="6C777FBE" w:rsidR="00560FD2" w:rsidRPr="005A1F62" w:rsidRDefault="00560FD2" w:rsidP="00DC2FED"/>
    <w:p w14:paraId="26617494" w14:textId="5FF44850" w:rsidR="00AD2AF2" w:rsidRPr="005A1F62" w:rsidRDefault="00AD2AF2" w:rsidP="00D44657">
      <w:pPr>
        <w:pStyle w:val="afb"/>
        <w:numPr>
          <w:ilvl w:val="0"/>
          <w:numId w:val="50"/>
        </w:numPr>
        <w:jc w:val="both"/>
      </w:pPr>
      <w:bookmarkStart w:id="53" w:name="_Hlk508196851"/>
      <w:r w:rsidRPr="005A1F62">
        <w:t xml:space="preserve">При высокой концентрации активов на кредитовании </w:t>
      </w:r>
      <w:r w:rsidR="00A51CC9" w:rsidRPr="005A1F62">
        <w:t xml:space="preserve">заемщиков </w:t>
      </w:r>
      <w:r w:rsidRPr="005A1F62">
        <w:t>отдельных отраслей</w:t>
      </w:r>
      <w:r w:rsidR="00316CD6" w:rsidRPr="005A1F62">
        <w:t xml:space="preserve"> хозяйственной деятельности </w:t>
      </w:r>
      <w:r w:rsidR="009612EB" w:rsidRPr="005A1F62">
        <w:t>может</w:t>
      </w:r>
      <w:r w:rsidRPr="005A1F62">
        <w:t xml:space="preserve"> </w:t>
      </w:r>
      <w:r w:rsidR="00A51CC9" w:rsidRPr="005A1F62">
        <w:t>налагаться «</w:t>
      </w:r>
      <w:r w:rsidRPr="005A1F62">
        <w:t>штраф</w:t>
      </w:r>
      <w:r w:rsidR="00A51CC9" w:rsidRPr="005A1F62">
        <w:t>»</w:t>
      </w:r>
      <w:r w:rsidRPr="005A1F62">
        <w:t>, который</w:t>
      </w:r>
      <w:r w:rsidR="009612EB" w:rsidRPr="005A1F62">
        <w:t xml:space="preserve"> составл</w:t>
      </w:r>
      <w:r w:rsidR="00316CD6" w:rsidRPr="005A1F62">
        <w:t xml:space="preserve">яет от 0,5 до 1 </w:t>
      </w:r>
      <w:r w:rsidR="00A51CC9" w:rsidRPr="005A1F62">
        <w:t xml:space="preserve">балла </w:t>
      </w:r>
      <w:r w:rsidR="00316CD6" w:rsidRPr="005A1F62">
        <w:t xml:space="preserve">(итоговый балл не ниже -1) </w:t>
      </w:r>
      <w:r w:rsidR="00615136" w:rsidRPr="005A1F62">
        <w:t>в соответствии со следующими критериями</w:t>
      </w:r>
      <w:r w:rsidR="008F5238" w:rsidRPr="005A1F62">
        <w:t xml:space="preserve"> (при этом </w:t>
      </w:r>
      <w:r w:rsidR="00A51CC9" w:rsidRPr="005A1F62">
        <w:t>учитывается</w:t>
      </w:r>
      <w:r w:rsidR="008F5238" w:rsidRPr="005A1F62">
        <w:t xml:space="preserve"> значимость корпоративного кредитования для банка как направления деятельности)</w:t>
      </w:r>
      <w:r w:rsidRPr="005A1F62">
        <w:t>:</w:t>
      </w:r>
    </w:p>
    <w:p w14:paraId="03C20D6A" w14:textId="17B2087F" w:rsidR="00AD2AF2" w:rsidRPr="005A1F62" w:rsidRDefault="00AD2AF2" w:rsidP="00D44657">
      <w:pPr>
        <w:pStyle w:val="afb"/>
        <w:numPr>
          <w:ilvl w:val="0"/>
          <w:numId w:val="52"/>
        </w:numPr>
        <w:jc w:val="both"/>
      </w:pPr>
      <w:r w:rsidRPr="005A1F62">
        <w:t>0,5 бал</w:t>
      </w:r>
      <w:r w:rsidR="00316CD6" w:rsidRPr="005A1F62">
        <w:t xml:space="preserve">ла, если для крупнейшей в ссудном портфеле </w:t>
      </w:r>
      <w:r w:rsidRPr="005A1F62">
        <w:t xml:space="preserve">отрасли </w:t>
      </w:r>
      <w:r w:rsidR="00316CD6" w:rsidRPr="005A1F62">
        <w:t xml:space="preserve">хозяйственной деятельности заемщиков </w:t>
      </w:r>
      <w:r w:rsidRPr="005A1F62">
        <w:t xml:space="preserve">характерна более высокая просроченная задолженность, чем в среднем по корпоративному сектору, а доля </w:t>
      </w:r>
      <w:r w:rsidR="00316CD6" w:rsidRPr="005A1F62">
        <w:t>ссуд за</w:t>
      </w:r>
      <w:r w:rsidR="008F5238" w:rsidRPr="005A1F62">
        <w:t xml:space="preserve">емщикам такой отрасли в корпоративном ссудном портфеле </w:t>
      </w:r>
      <w:r w:rsidR="00316CD6" w:rsidRPr="005A1F62">
        <w:t xml:space="preserve">банка </w:t>
      </w:r>
      <w:r w:rsidRPr="005A1F62">
        <w:t>составляет не мене</w:t>
      </w:r>
      <w:r w:rsidR="00316CD6" w:rsidRPr="005A1F62">
        <w:t>е 25%, но не более 40%</w:t>
      </w:r>
      <w:r w:rsidR="004E0EE0" w:rsidRPr="005A1F62">
        <w:t xml:space="preserve"> </w:t>
      </w:r>
      <w:bookmarkStart w:id="54" w:name="_Hlk508196947"/>
      <w:r w:rsidR="004E0EE0" w:rsidRPr="005A1F62">
        <w:t>(штраф может не п</w:t>
      </w:r>
      <w:r w:rsidR="004F446A" w:rsidRPr="005A1F62">
        <w:t>рименяться при невысоко</w:t>
      </w:r>
      <w:r w:rsidR="004E0EE0" w:rsidRPr="005A1F62">
        <w:t>й доле корпоративного ссудного портфеля в активах банка)</w:t>
      </w:r>
      <w:bookmarkEnd w:id="54"/>
      <w:r w:rsidRPr="005A1F62">
        <w:t>;</w:t>
      </w:r>
    </w:p>
    <w:p w14:paraId="46893F19" w14:textId="26FA2C51" w:rsidR="00AD2AF2" w:rsidRPr="005A1F62" w:rsidRDefault="00316CD6" w:rsidP="00D44657">
      <w:pPr>
        <w:pStyle w:val="afb"/>
        <w:numPr>
          <w:ilvl w:val="0"/>
          <w:numId w:val="52"/>
        </w:numPr>
        <w:jc w:val="both"/>
      </w:pPr>
      <w:r w:rsidRPr="005A1F62">
        <w:t xml:space="preserve">1 балл, если для крупнейшей в ссудном портфеле отрасли хозяйственной деятельности заемщиков </w:t>
      </w:r>
      <w:r w:rsidR="00AD2AF2" w:rsidRPr="005A1F62">
        <w:t>характерна более высокая просроченная задолженность, чем в среднем по</w:t>
      </w:r>
      <w:r w:rsidRPr="005A1F62">
        <w:t xml:space="preserve"> корпоративному сектору, а доля ссуд за</w:t>
      </w:r>
      <w:r w:rsidR="008F5238" w:rsidRPr="005A1F62">
        <w:t xml:space="preserve">емщикам такой отрасли в корпоративном портфеле </w:t>
      </w:r>
      <w:r w:rsidRPr="005A1F62">
        <w:t xml:space="preserve">банка </w:t>
      </w:r>
      <w:r w:rsidR="00AD2AF2" w:rsidRPr="005A1F62">
        <w:t>соста</w:t>
      </w:r>
      <w:r w:rsidRPr="005A1F62">
        <w:t>вляет не менее 40%</w:t>
      </w:r>
      <w:r w:rsidR="004E0EE0" w:rsidRPr="005A1F62">
        <w:t xml:space="preserve"> (штраф может не п</w:t>
      </w:r>
      <w:r w:rsidR="004F446A" w:rsidRPr="005A1F62">
        <w:t>рименяться при невысоко</w:t>
      </w:r>
      <w:r w:rsidR="004E0EE0" w:rsidRPr="005A1F62">
        <w:t>й доле корпоративного ссудного портфеля в активах банка)</w:t>
      </w:r>
      <w:r w:rsidR="00615136" w:rsidRPr="005A1F62">
        <w:t>.</w:t>
      </w:r>
    </w:p>
    <w:p w14:paraId="3870422B" w14:textId="77777777" w:rsidR="009B681E" w:rsidRPr="005A1F62" w:rsidRDefault="009B681E" w:rsidP="00DC2FED">
      <w:pPr>
        <w:tabs>
          <w:tab w:val="left" w:pos="709"/>
        </w:tabs>
        <w:ind w:firstLine="567"/>
        <w:jc w:val="both"/>
        <w:rPr>
          <w:i/>
          <w:color w:val="000080"/>
        </w:rPr>
      </w:pPr>
      <w:bookmarkStart w:id="55" w:name="_Toc277183400"/>
      <w:bookmarkStart w:id="56" w:name="_Toc343776093"/>
      <w:bookmarkEnd w:id="51"/>
      <w:bookmarkEnd w:id="53"/>
    </w:p>
    <w:p w14:paraId="45A74563" w14:textId="1040DC41" w:rsidR="009B681E" w:rsidRPr="005A1F62" w:rsidRDefault="00F22C38" w:rsidP="00D44657">
      <w:pPr>
        <w:pStyle w:val="3"/>
        <w:numPr>
          <w:ilvl w:val="1"/>
          <w:numId w:val="17"/>
        </w:numPr>
        <w:tabs>
          <w:tab w:val="left" w:pos="709"/>
        </w:tabs>
        <w:spacing w:before="0" w:after="0"/>
        <w:ind w:left="0" w:firstLine="567"/>
        <w:rPr>
          <w:rFonts w:ascii="Times New Roman" w:hAnsi="Times New Roman" w:cs="Times New Roman"/>
        </w:rPr>
      </w:pPr>
      <w:bookmarkStart w:id="57" w:name="_Toc459363747"/>
      <w:bookmarkStart w:id="58" w:name="_Toc44433452"/>
      <w:bookmarkStart w:id="59" w:name="_Hlk510516778"/>
      <w:r w:rsidRPr="005A1F62">
        <w:rPr>
          <w:rFonts w:ascii="Times New Roman" w:hAnsi="Times New Roman" w:cs="Times New Roman"/>
        </w:rPr>
        <w:t xml:space="preserve">Конкурентные </w:t>
      </w:r>
      <w:r w:rsidR="009B681E" w:rsidRPr="005A1F62">
        <w:rPr>
          <w:rFonts w:ascii="Times New Roman" w:hAnsi="Times New Roman" w:cs="Times New Roman"/>
        </w:rPr>
        <w:t>позици</w:t>
      </w:r>
      <w:bookmarkEnd w:id="55"/>
      <w:bookmarkEnd w:id="56"/>
      <w:bookmarkEnd w:id="57"/>
      <w:r w:rsidRPr="005A1F62">
        <w:rPr>
          <w:rFonts w:ascii="Times New Roman" w:hAnsi="Times New Roman" w:cs="Times New Roman"/>
        </w:rPr>
        <w:t>и</w:t>
      </w:r>
      <w:bookmarkEnd w:id="58"/>
    </w:p>
    <w:p w14:paraId="234E6FAC" w14:textId="77777777" w:rsidR="0062539F" w:rsidRPr="005A1F62" w:rsidRDefault="0062539F" w:rsidP="0062539F"/>
    <w:p w14:paraId="3735CAA2" w14:textId="3F98270F" w:rsidR="00EB7EC1" w:rsidRPr="005A1F62" w:rsidRDefault="009B681E" w:rsidP="00E4631E">
      <w:pPr>
        <w:tabs>
          <w:tab w:val="left" w:pos="709"/>
        </w:tabs>
        <w:ind w:firstLine="567"/>
        <w:jc w:val="both"/>
      </w:pPr>
      <w:r w:rsidRPr="005A1F62">
        <w:rPr>
          <w:u w:val="single"/>
        </w:rPr>
        <w:t>Цель оценки</w:t>
      </w:r>
      <w:r w:rsidR="00E96F02" w:rsidRPr="005A1F62">
        <w:rPr>
          <w:u w:val="single"/>
        </w:rPr>
        <w:t>:</w:t>
      </w:r>
      <w:r w:rsidRPr="005A1F62">
        <w:t xml:space="preserve"> </w:t>
      </w:r>
      <w:r w:rsidR="00E96F02" w:rsidRPr="005A1F62">
        <w:t>о</w:t>
      </w:r>
      <w:r w:rsidRPr="005A1F62">
        <w:t xml:space="preserve">пределить, насколько прочны конкурентные позиции </w:t>
      </w:r>
      <w:r w:rsidR="00AF2623" w:rsidRPr="005A1F62">
        <w:t xml:space="preserve">банка </w:t>
      </w:r>
      <w:r w:rsidRPr="005A1F62">
        <w:t xml:space="preserve">на основных направлениях деятельности, а также выяснить, насколько текущие конкурентные </w:t>
      </w:r>
      <w:r w:rsidRPr="005A1F62">
        <w:lastRenderedPageBreak/>
        <w:t xml:space="preserve">позиции позволяют </w:t>
      </w:r>
      <w:r w:rsidR="00AF2623" w:rsidRPr="005A1F62">
        <w:t xml:space="preserve">банку </w:t>
      </w:r>
      <w:r w:rsidRPr="005A1F62">
        <w:t>генерировать прибыль, достаточную для покрытия текущих и будущих обязательств</w:t>
      </w:r>
      <w:r w:rsidR="00CE287C" w:rsidRPr="005A1F62">
        <w:t xml:space="preserve">. </w:t>
      </w:r>
    </w:p>
    <w:p w14:paraId="25AB76B4" w14:textId="0CF80AE5" w:rsidR="009B681E" w:rsidRPr="005A1F62" w:rsidRDefault="00CE287C" w:rsidP="00DC2FED">
      <w:pPr>
        <w:tabs>
          <w:tab w:val="left" w:pos="709"/>
        </w:tabs>
        <w:ind w:firstLine="567"/>
        <w:jc w:val="both"/>
      </w:pPr>
      <w:r w:rsidRPr="005A1F62">
        <w:t>Значи</w:t>
      </w:r>
      <w:r w:rsidR="00681AF3" w:rsidRPr="005A1F62">
        <w:t>мые позиции</w:t>
      </w:r>
      <w:r w:rsidR="00262006" w:rsidRPr="005A1F62">
        <w:t xml:space="preserve"> </w:t>
      </w:r>
      <w:r w:rsidRPr="005A1F62">
        <w:t xml:space="preserve">на </w:t>
      </w:r>
      <w:r w:rsidR="00681AF3" w:rsidRPr="005A1F62">
        <w:t xml:space="preserve">банковском </w:t>
      </w:r>
      <w:r w:rsidRPr="005A1F62">
        <w:t>рынк</w:t>
      </w:r>
      <w:r w:rsidR="00681AF3" w:rsidRPr="005A1F62">
        <w:t>е</w:t>
      </w:r>
      <w:r w:rsidR="00EB7EC1" w:rsidRPr="005A1F62">
        <w:t>, как правило,</w:t>
      </w:r>
      <w:r w:rsidRPr="005A1F62">
        <w:t xml:space="preserve"> повыша</w:t>
      </w:r>
      <w:r w:rsidR="00681AF3" w:rsidRPr="005A1F62">
        <w:t>ю</w:t>
      </w:r>
      <w:r w:rsidRPr="005A1F62">
        <w:t xml:space="preserve">т вероятность административной поддержки </w:t>
      </w:r>
      <w:r w:rsidR="00EB7EC1" w:rsidRPr="005A1F62">
        <w:t>б</w:t>
      </w:r>
      <w:r w:rsidRPr="005A1F62">
        <w:t>анка со стороны органов власти</w:t>
      </w:r>
      <w:r w:rsidR="00EB7EC1" w:rsidRPr="005A1F62">
        <w:t>, укрепля</w:t>
      </w:r>
      <w:r w:rsidR="00C65261" w:rsidRPr="005A1F62">
        <w:t>ю</w:t>
      </w:r>
      <w:r w:rsidR="00EB7EC1" w:rsidRPr="005A1F62">
        <w:t>т переговорные позиции банка, позволя</w:t>
      </w:r>
      <w:r w:rsidR="00C65261" w:rsidRPr="005A1F62">
        <w:t>ю</w:t>
      </w:r>
      <w:r w:rsidR="00EB7EC1" w:rsidRPr="005A1F62">
        <w:t>т получать доступ к более качественной клиентской базе и привлечению ресурсов на выгодных условиях</w:t>
      </w:r>
      <w:r w:rsidRPr="005A1F62">
        <w:t xml:space="preserve">. </w:t>
      </w:r>
      <w:r w:rsidR="00EB7EC1" w:rsidRPr="005A1F62">
        <w:t xml:space="preserve">Важную роль в банковском бизнесе в силу большой доли постоянных расходов (ИТ-инфраструктура, система корпоративного управления) играет </w:t>
      </w:r>
      <w:r w:rsidR="00AF2623" w:rsidRPr="005A1F62">
        <w:t xml:space="preserve">и </w:t>
      </w:r>
      <w:r w:rsidR="00EB7EC1" w:rsidRPr="005A1F62">
        <w:t xml:space="preserve">эффект от масштаба, что также усиливает положительную корреляцию между конкурентными позициями и кредитоспособностью. </w:t>
      </w:r>
      <w:r w:rsidRPr="005A1F62">
        <w:t xml:space="preserve">Кроме того, сильные конкурентные позиции </w:t>
      </w:r>
      <w:r w:rsidR="00EB7EC1" w:rsidRPr="005A1F62">
        <w:t>обычно</w:t>
      </w:r>
      <w:r w:rsidRPr="005A1F62">
        <w:t xml:space="preserve"> позволяют </w:t>
      </w:r>
      <w:r w:rsidR="00EB7EC1" w:rsidRPr="005A1F62">
        <w:t>добиться большей диверсификации активов и пассивов и за</w:t>
      </w:r>
      <w:r w:rsidR="00CD78CF" w:rsidRPr="005A1F62">
        <w:t xml:space="preserve"> </w:t>
      </w:r>
      <w:r w:rsidR="00EB7EC1" w:rsidRPr="005A1F62">
        <w:t xml:space="preserve">счет этого </w:t>
      </w:r>
      <w:r w:rsidRPr="005A1F62">
        <w:t>генерировать</w:t>
      </w:r>
      <w:r w:rsidR="00EB7EC1" w:rsidRPr="005A1F62">
        <w:t xml:space="preserve"> более</w:t>
      </w:r>
      <w:r w:rsidRPr="005A1F62">
        <w:t xml:space="preserve"> стабильные денежные потоки, что также позитивно влияет на кредитоспособност</w:t>
      </w:r>
      <w:r w:rsidR="00EB7EC1" w:rsidRPr="005A1F62">
        <w:t>ь</w:t>
      </w:r>
      <w:r w:rsidRPr="005A1F62">
        <w:t>.</w:t>
      </w:r>
      <w:r w:rsidR="0082327A" w:rsidRPr="005A1F62">
        <w:t xml:space="preserve"> Оценка конкурентных позиций может быть повышена при очень широкой географии деятельности банка, обуславливающей хорошую диверсификацию бизнеса, наличие множественных точек продаж.</w:t>
      </w:r>
    </w:p>
    <w:p w14:paraId="6DD3900F" w14:textId="77777777" w:rsidR="006A777B" w:rsidRPr="005A1F62" w:rsidRDefault="006A777B" w:rsidP="00DC2FED">
      <w:pPr>
        <w:tabs>
          <w:tab w:val="left" w:pos="709"/>
        </w:tabs>
        <w:ind w:firstLine="567"/>
        <w:jc w:val="both"/>
      </w:pPr>
    </w:p>
    <w:p w14:paraId="3DF5A6AA" w14:textId="77777777" w:rsidR="00DB1766" w:rsidRPr="005A1F62" w:rsidRDefault="009B681E" w:rsidP="00DC2FED">
      <w:pPr>
        <w:tabs>
          <w:tab w:val="left" w:pos="709"/>
        </w:tabs>
        <w:ind w:firstLine="567"/>
        <w:jc w:val="both"/>
        <w:rPr>
          <w:u w:val="single"/>
        </w:rPr>
      </w:pPr>
      <w:r w:rsidRPr="005A1F62">
        <w:rPr>
          <w:u w:val="single"/>
        </w:rPr>
        <w:t>Алгоритм выставления оценки</w:t>
      </w:r>
    </w:p>
    <w:p w14:paraId="3E877F7D" w14:textId="77777777" w:rsidR="006A777B" w:rsidRPr="005A1F62" w:rsidDel="00DB1766" w:rsidRDefault="006A777B" w:rsidP="00DC2FED">
      <w:pPr>
        <w:tabs>
          <w:tab w:val="left" w:pos="709"/>
        </w:tabs>
        <w:ind w:firstLine="567"/>
        <w:jc w:val="both"/>
        <w:rPr>
          <w:u w:val="single"/>
        </w:rPr>
      </w:pPr>
    </w:p>
    <w:tbl>
      <w:tblPr>
        <w:tblStyle w:val="af0"/>
        <w:tblW w:w="5000" w:type="pct"/>
        <w:tblLook w:val="04A0" w:firstRow="1" w:lastRow="0" w:firstColumn="1" w:lastColumn="0" w:noHBand="0" w:noVBand="1"/>
      </w:tblPr>
      <w:tblGrid>
        <w:gridCol w:w="3681"/>
        <w:gridCol w:w="1132"/>
        <w:gridCol w:w="1133"/>
        <w:gridCol w:w="1133"/>
        <w:gridCol w:w="1133"/>
        <w:gridCol w:w="1133"/>
      </w:tblGrid>
      <w:tr w:rsidR="00DB1766" w:rsidRPr="005A1F62" w14:paraId="79A6AE16" w14:textId="77777777" w:rsidTr="00482CEA">
        <w:tc>
          <w:tcPr>
            <w:tcW w:w="1970" w:type="pct"/>
          </w:tcPr>
          <w:p w14:paraId="1407A858" w14:textId="77777777" w:rsidR="00DB1766" w:rsidRPr="005A1F62" w:rsidRDefault="00DB1766" w:rsidP="00DC2FED">
            <w:pPr>
              <w:tabs>
                <w:tab w:val="left" w:pos="709"/>
              </w:tabs>
              <w:jc w:val="both"/>
            </w:pPr>
            <w:r w:rsidRPr="005A1F62">
              <w:t>Место по активам на банковском рынке РФ</w:t>
            </w:r>
          </w:p>
        </w:tc>
        <w:tc>
          <w:tcPr>
            <w:tcW w:w="606" w:type="pct"/>
            <w:vAlign w:val="center"/>
          </w:tcPr>
          <w:p w14:paraId="04D1F09E" w14:textId="77777777" w:rsidR="00DB1766" w:rsidRPr="005A1F62" w:rsidRDefault="00DB1766" w:rsidP="00482CEA">
            <w:pPr>
              <w:jc w:val="center"/>
            </w:pPr>
            <w:r w:rsidRPr="005A1F62">
              <w:t>1-10</w:t>
            </w:r>
          </w:p>
        </w:tc>
        <w:tc>
          <w:tcPr>
            <w:tcW w:w="606" w:type="pct"/>
            <w:vAlign w:val="center"/>
          </w:tcPr>
          <w:p w14:paraId="05089D2B" w14:textId="77777777" w:rsidR="00DB1766" w:rsidRPr="005A1F62" w:rsidRDefault="00DB1766" w:rsidP="00482CEA">
            <w:pPr>
              <w:jc w:val="center"/>
            </w:pPr>
            <w:r w:rsidRPr="005A1F62">
              <w:t>11-35</w:t>
            </w:r>
          </w:p>
        </w:tc>
        <w:tc>
          <w:tcPr>
            <w:tcW w:w="606" w:type="pct"/>
            <w:vAlign w:val="center"/>
          </w:tcPr>
          <w:p w14:paraId="36821DD7" w14:textId="77777777" w:rsidR="00DB1766" w:rsidRPr="005A1F62" w:rsidRDefault="00DB1766" w:rsidP="00482CEA">
            <w:pPr>
              <w:jc w:val="center"/>
            </w:pPr>
            <w:r w:rsidRPr="005A1F62">
              <w:t>36-80</w:t>
            </w:r>
          </w:p>
        </w:tc>
        <w:tc>
          <w:tcPr>
            <w:tcW w:w="606" w:type="pct"/>
            <w:vAlign w:val="center"/>
          </w:tcPr>
          <w:p w14:paraId="38BF82D1" w14:textId="77777777" w:rsidR="00DB1766" w:rsidRPr="005A1F62" w:rsidRDefault="00DB1766" w:rsidP="00482CEA">
            <w:pPr>
              <w:jc w:val="center"/>
            </w:pPr>
            <w:r w:rsidRPr="005A1F62">
              <w:t>81-200</w:t>
            </w:r>
          </w:p>
        </w:tc>
        <w:tc>
          <w:tcPr>
            <w:tcW w:w="606" w:type="pct"/>
            <w:vAlign w:val="center"/>
          </w:tcPr>
          <w:p w14:paraId="260A713B" w14:textId="245370CF" w:rsidR="00DB1766" w:rsidRPr="005A1F62" w:rsidRDefault="004F446A" w:rsidP="00482CEA">
            <w:pPr>
              <w:jc w:val="center"/>
            </w:pPr>
            <w:r w:rsidRPr="005A1F62">
              <w:t>201 и ниже</w:t>
            </w:r>
          </w:p>
        </w:tc>
      </w:tr>
      <w:tr w:rsidR="00DB1766" w:rsidRPr="005A1F62" w14:paraId="5DE801A5" w14:textId="77777777" w:rsidTr="00482CEA">
        <w:tc>
          <w:tcPr>
            <w:tcW w:w="1970" w:type="pct"/>
          </w:tcPr>
          <w:p w14:paraId="0A71710A" w14:textId="77777777" w:rsidR="00DB1766" w:rsidRPr="005A1F62" w:rsidRDefault="00DB1766" w:rsidP="00DC2FED">
            <w:pPr>
              <w:tabs>
                <w:tab w:val="left" w:pos="709"/>
              </w:tabs>
              <w:jc w:val="both"/>
            </w:pPr>
            <w:r w:rsidRPr="005A1F62">
              <w:t>Балл</w:t>
            </w:r>
          </w:p>
        </w:tc>
        <w:tc>
          <w:tcPr>
            <w:tcW w:w="606" w:type="pct"/>
            <w:vAlign w:val="center"/>
          </w:tcPr>
          <w:p w14:paraId="3D0A479A" w14:textId="77777777" w:rsidR="00DB1766" w:rsidRPr="005A1F62" w:rsidRDefault="00DB1766" w:rsidP="00482CEA">
            <w:pPr>
              <w:tabs>
                <w:tab w:val="left" w:pos="709"/>
              </w:tabs>
              <w:jc w:val="center"/>
            </w:pPr>
            <w:r w:rsidRPr="005A1F62">
              <w:t>1</w:t>
            </w:r>
          </w:p>
        </w:tc>
        <w:tc>
          <w:tcPr>
            <w:tcW w:w="606" w:type="pct"/>
            <w:vAlign w:val="center"/>
          </w:tcPr>
          <w:p w14:paraId="4E69B6E9" w14:textId="77777777" w:rsidR="00DB1766" w:rsidRPr="005A1F62" w:rsidRDefault="00DB1766" w:rsidP="00482CEA">
            <w:pPr>
              <w:tabs>
                <w:tab w:val="left" w:pos="709"/>
              </w:tabs>
              <w:jc w:val="center"/>
            </w:pPr>
            <w:r w:rsidRPr="005A1F62">
              <w:t>0,5</w:t>
            </w:r>
          </w:p>
        </w:tc>
        <w:tc>
          <w:tcPr>
            <w:tcW w:w="606" w:type="pct"/>
            <w:vAlign w:val="center"/>
          </w:tcPr>
          <w:p w14:paraId="489AEBED" w14:textId="77777777" w:rsidR="00DB1766" w:rsidRPr="005A1F62" w:rsidRDefault="00DB1766" w:rsidP="00482CEA">
            <w:pPr>
              <w:tabs>
                <w:tab w:val="left" w:pos="709"/>
              </w:tabs>
              <w:jc w:val="center"/>
            </w:pPr>
            <w:r w:rsidRPr="005A1F62">
              <w:t>0</w:t>
            </w:r>
          </w:p>
        </w:tc>
        <w:tc>
          <w:tcPr>
            <w:tcW w:w="606" w:type="pct"/>
            <w:vAlign w:val="center"/>
          </w:tcPr>
          <w:p w14:paraId="7A59B06C" w14:textId="77777777" w:rsidR="00DB1766" w:rsidRPr="005A1F62" w:rsidRDefault="00DB1766" w:rsidP="00482CEA">
            <w:pPr>
              <w:tabs>
                <w:tab w:val="left" w:pos="709"/>
              </w:tabs>
              <w:jc w:val="center"/>
            </w:pPr>
            <w:r w:rsidRPr="005A1F62">
              <w:t>-0,5</w:t>
            </w:r>
          </w:p>
        </w:tc>
        <w:tc>
          <w:tcPr>
            <w:tcW w:w="606" w:type="pct"/>
            <w:vAlign w:val="center"/>
          </w:tcPr>
          <w:p w14:paraId="5DD20A75" w14:textId="77777777" w:rsidR="00DB1766" w:rsidRPr="005A1F62" w:rsidRDefault="00DB1766" w:rsidP="00482CEA">
            <w:pPr>
              <w:tabs>
                <w:tab w:val="left" w:pos="709"/>
              </w:tabs>
              <w:jc w:val="center"/>
            </w:pPr>
            <w:r w:rsidRPr="005A1F62">
              <w:t>-1</w:t>
            </w:r>
          </w:p>
        </w:tc>
      </w:tr>
    </w:tbl>
    <w:p w14:paraId="2893FA4C" w14:textId="77777777" w:rsidR="00DB1766" w:rsidRPr="005A1F62" w:rsidRDefault="00DB1766" w:rsidP="00DC2FED">
      <w:pPr>
        <w:tabs>
          <w:tab w:val="left" w:pos="709"/>
        </w:tabs>
        <w:ind w:left="567"/>
        <w:jc w:val="both"/>
      </w:pPr>
    </w:p>
    <w:p w14:paraId="4FF609E7" w14:textId="38C9CD3E" w:rsidR="00DB1766" w:rsidRPr="005A1F62" w:rsidRDefault="00DB1766" w:rsidP="00DC2FED">
      <w:pPr>
        <w:tabs>
          <w:tab w:val="left" w:pos="709"/>
        </w:tabs>
        <w:ind w:firstLine="567"/>
        <w:jc w:val="both"/>
      </w:pPr>
      <w:r w:rsidRPr="005A1F62">
        <w:t>Балл может быть снижен на 0,5-1 (итоговый балл не ниже</w:t>
      </w:r>
      <w:r w:rsidR="00262006" w:rsidRPr="005A1F62">
        <w:t xml:space="preserve"> </w:t>
      </w:r>
      <w:r w:rsidRPr="005A1F62">
        <w:t>-1), если конкурентные позиции банка ограничены. Например:</w:t>
      </w:r>
    </w:p>
    <w:p w14:paraId="2B5C0AA4" w14:textId="70593A06" w:rsidR="0023528D" w:rsidRPr="005A1F62" w:rsidRDefault="0023528D" w:rsidP="00D44657">
      <w:pPr>
        <w:pStyle w:val="afb"/>
        <w:numPr>
          <w:ilvl w:val="0"/>
          <w:numId w:val="49"/>
        </w:numPr>
        <w:tabs>
          <w:tab w:val="left" w:pos="709"/>
        </w:tabs>
        <w:jc w:val="both"/>
      </w:pPr>
      <w:r w:rsidRPr="005A1F62">
        <w:t>Банк не входит в ССВ, и это не может быть обосновано особенностями бизнес-модели (например, это расчетная небанковская кредитная организация) или миссией банка (например, банки развития, кредитные организации по поддержке экспорта).</w:t>
      </w:r>
    </w:p>
    <w:p w14:paraId="2CE6CA05" w14:textId="39EC7E08" w:rsidR="00DB1766" w:rsidRPr="005A1F62" w:rsidRDefault="00DB1766" w:rsidP="00D44657">
      <w:pPr>
        <w:pStyle w:val="afb"/>
        <w:numPr>
          <w:ilvl w:val="0"/>
          <w:numId w:val="49"/>
        </w:numPr>
        <w:tabs>
          <w:tab w:val="left" w:pos="709"/>
        </w:tabs>
        <w:jc w:val="both"/>
      </w:pPr>
      <w:r w:rsidRPr="005A1F62">
        <w:t>Основное направление деятельности банка подвержено ужесточению регулирования (например, ужесточение норм резервирования по необеспеченным кредитам ФЛ, если банк специализируется на кредитовании ФЛ; регулятивные ограничения по привлечению средств госсектора, если пассивная база опирается на средства госкомпаний</w:t>
      </w:r>
      <w:r w:rsidR="00E96F02" w:rsidRPr="005A1F62">
        <w:t>,</w:t>
      </w:r>
      <w:r w:rsidRPr="005A1F62">
        <w:t xml:space="preserve"> и т.</w:t>
      </w:r>
      <w:r w:rsidR="00E96F02" w:rsidRPr="005A1F62">
        <w:t xml:space="preserve"> </w:t>
      </w:r>
      <w:r w:rsidRPr="005A1F62">
        <w:t>д.) или основное направление бизнеса подвержено стагнации (значительное сокращение профильного направления бизнеса или ожидание такого сокращения).</w:t>
      </w:r>
    </w:p>
    <w:p w14:paraId="2CE0F942" w14:textId="4CC32D39" w:rsidR="00DB1766" w:rsidRPr="005A1F62" w:rsidRDefault="00DB1766" w:rsidP="00D44657">
      <w:pPr>
        <w:pStyle w:val="afb"/>
        <w:numPr>
          <w:ilvl w:val="0"/>
          <w:numId w:val="49"/>
        </w:numPr>
        <w:tabs>
          <w:tab w:val="left" w:pos="709"/>
        </w:tabs>
        <w:jc w:val="both"/>
      </w:pPr>
      <w:r w:rsidRPr="005A1F62">
        <w:t xml:space="preserve">Конкурентные позиции банка были увеличены без наличия долгосрочных конкурентных преимуществ, за счет которых эти позиции можно было бы удержать (например, </w:t>
      </w:r>
      <w:r w:rsidR="00654C19" w:rsidRPr="005A1F62">
        <w:t>б</w:t>
      </w:r>
      <w:r w:rsidRPr="005A1F62">
        <w:t>анк привлекает фондирование по повышенным процентным ставкам (превышает БУДВ настолько, что это приводит к уплате отчислений в АСВ по повышенной ставке) и т.</w:t>
      </w:r>
      <w:r w:rsidR="00D07D4D" w:rsidRPr="005A1F62">
        <w:t xml:space="preserve"> </w:t>
      </w:r>
      <w:r w:rsidRPr="005A1F62">
        <w:t>д.).</w:t>
      </w:r>
    </w:p>
    <w:p w14:paraId="1837597E" w14:textId="226AEE85" w:rsidR="004F446A" w:rsidRPr="005A1F62" w:rsidRDefault="004F446A" w:rsidP="00D44657">
      <w:pPr>
        <w:pStyle w:val="afb"/>
        <w:numPr>
          <w:ilvl w:val="0"/>
          <w:numId w:val="49"/>
        </w:numPr>
        <w:tabs>
          <w:tab w:val="left" w:pos="709"/>
        </w:tabs>
        <w:jc w:val="both"/>
      </w:pPr>
      <w:bookmarkStart w:id="60" w:name="_Hlk508197386"/>
      <w:r w:rsidRPr="005A1F62">
        <w:t>Размер активов банка не отражает его конкурентные позиции (в активах значительна доля нестабильных краткосрочных компонентов, значительная доля активов является низкодоходной, активы сконцентрированы на требованиях к ограниченному кругу лиц</w:t>
      </w:r>
      <w:r w:rsidR="00D07D4D" w:rsidRPr="005A1F62">
        <w:t>,</w:t>
      </w:r>
      <w:r w:rsidRPr="005A1F62">
        <w:t xml:space="preserve"> и эти операции имеют признаки нерыночного характера</w:t>
      </w:r>
      <w:r w:rsidR="00D07D4D" w:rsidRPr="005A1F62">
        <w:t>).</w:t>
      </w:r>
    </w:p>
    <w:p w14:paraId="4DC731D7" w14:textId="57C741B8" w:rsidR="00DB1766" w:rsidRPr="005A1F62" w:rsidRDefault="00DB1766" w:rsidP="00D44657">
      <w:pPr>
        <w:pStyle w:val="afb"/>
        <w:numPr>
          <w:ilvl w:val="0"/>
          <w:numId w:val="49"/>
        </w:numPr>
        <w:tabs>
          <w:tab w:val="left" w:pos="709"/>
        </w:tabs>
        <w:jc w:val="both"/>
      </w:pPr>
      <w:r w:rsidRPr="005A1F62">
        <w:t xml:space="preserve">Банк устойчиво (не менее </w:t>
      </w:r>
      <w:r w:rsidR="00D07D4D" w:rsidRPr="005A1F62">
        <w:t xml:space="preserve">двух </w:t>
      </w:r>
      <w:r w:rsidRPr="005A1F62">
        <w:t xml:space="preserve">лет) демонстрирует </w:t>
      </w:r>
      <w:r w:rsidR="00654C19" w:rsidRPr="005A1F62">
        <w:t>проце</w:t>
      </w:r>
      <w:r w:rsidR="004F446A" w:rsidRPr="005A1F62">
        <w:t>н</w:t>
      </w:r>
      <w:r w:rsidR="00654C19" w:rsidRPr="005A1F62">
        <w:t>тную маржу, рассчитанную как отношение чистых проце</w:t>
      </w:r>
      <w:r w:rsidR="009072E4" w:rsidRPr="005A1F62">
        <w:t>н</w:t>
      </w:r>
      <w:r w:rsidR="00654C19" w:rsidRPr="005A1F62">
        <w:t xml:space="preserve">тных доходов к активам, генерирующим этот доход, </w:t>
      </w:r>
      <w:r w:rsidR="009A436D" w:rsidRPr="005A1F62">
        <w:t xml:space="preserve">на уровне </w:t>
      </w:r>
      <w:r w:rsidRPr="005A1F62">
        <w:t xml:space="preserve">ниже </w:t>
      </w:r>
      <w:r w:rsidR="00654C19" w:rsidRPr="005A1F62">
        <w:t>3</w:t>
      </w:r>
      <w:r w:rsidRPr="005A1F62">
        <w:t>%</w:t>
      </w:r>
      <w:r w:rsidR="009A436D" w:rsidRPr="005A1F62">
        <w:t xml:space="preserve"> годовых </w:t>
      </w:r>
      <w:r w:rsidR="004F446A" w:rsidRPr="005A1F62">
        <w:t>и (или) рентабельность собственного капитала по прибыли после налогообложения на уровне ниже 5% годовых</w:t>
      </w:r>
      <w:r w:rsidRPr="005A1F62">
        <w:t xml:space="preserve">, что, по мнению Агентства, может привести к потере </w:t>
      </w:r>
      <w:r w:rsidR="004F446A" w:rsidRPr="005A1F62">
        <w:t>интереса собственников к банку</w:t>
      </w:r>
      <w:r w:rsidR="00D07D4D" w:rsidRPr="005A1F62">
        <w:t>.</w:t>
      </w:r>
    </w:p>
    <w:p w14:paraId="39EEC432" w14:textId="324A5FA5" w:rsidR="00F535A1" w:rsidRPr="005A1F62" w:rsidRDefault="00F535A1" w:rsidP="00D44657">
      <w:pPr>
        <w:pStyle w:val="afb"/>
        <w:numPr>
          <w:ilvl w:val="0"/>
          <w:numId w:val="49"/>
        </w:numPr>
        <w:jc w:val="both"/>
      </w:pPr>
      <w:bookmarkStart w:id="61" w:name="_Hlk43308302"/>
      <w:bookmarkEnd w:id="60"/>
      <w:r w:rsidRPr="005A1F62">
        <w:lastRenderedPageBreak/>
        <w:t>Высокая концентрация активов и (или) привлеченных средств на регионах с очень высокими рисками инвестиционной привлекательности</w:t>
      </w:r>
      <w:r w:rsidR="005E18BD" w:rsidRPr="005A1F62">
        <w:rPr>
          <w:rStyle w:val="a9"/>
        </w:rPr>
        <w:footnoteReference w:id="12"/>
      </w:r>
      <w:r w:rsidRPr="005A1F62">
        <w:t>. К индикаторам, отражающим высокие риски инвестиционной привлекательности региона, Агентство относит</w:t>
      </w:r>
      <w:r w:rsidR="007D421D" w:rsidRPr="005A1F62">
        <w:t>, например,</w:t>
      </w:r>
      <w:r w:rsidRPr="005A1F62">
        <w:t xml:space="preserve"> значительно</w:t>
      </w:r>
      <w:r w:rsidR="00D40909" w:rsidRPr="005A1F62">
        <w:t>е</w:t>
      </w:r>
      <w:r w:rsidR="007D421D" w:rsidRPr="005A1F62">
        <w:t xml:space="preserve"> превы</w:t>
      </w:r>
      <w:r w:rsidR="00D40909" w:rsidRPr="005A1F62">
        <w:t>шение</w:t>
      </w:r>
      <w:r w:rsidRPr="005A1F62">
        <w:t xml:space="preserve"> среднероссийск</w:t>
      </w:r>
      <w:r w:rsidR="00D40909" w:rsidRPr="005A1F62">
        <w:t>ого</w:t>
      </w:r>
      <w:r w:rsidRPr="005A1F62">
        <w:t xml:space="preserve"> </w:t>
      </w:r>
      <w:r w:rsidR="00D40909" w:rsidRPr="005A1F62">
        <w:t>уровня по следующим показателям</w:t>
      </w:r>
      <w:r w:rsidRPr="005A1F62">
        <w:t>:</w:t>
      </w:r>
    </w:p>
    <w:p w14:paraId="17E98842" w14:textId="77777777" w:rsidR="00F535A1" w:rsidRPr="005A1F62" w:rsidRDefault="00F535A1" w:rsidP="00D44657">
      <w:pPr>
        <w:pStyle w:val="afb"/>
        <w:numPr>
          <w:ilvl w:val="1"/>
          <w:numId w:val="49"/>
        </w:numPr>
        <w:jc w:val="both"/>
      </w:pPr>
      <w:r w:rsidRPr="005A1F62">
        <w:t>доля просроченной задолженности по кредитам физических и юридических лиц;</w:t>
      </w:r>
    </w:p>
    <w:p w14:paraId="751D1A80" w14:textId="77777777" w:rsidR="00F535A1" w:rsidRPr="005A1F62" w:rsidRDefault="00F535A1" w:rsidP="00D44657">
      <w:pPr>
        <w:pStyle w:val="afb"/>
        <w:numPr>
          <w:ilvl w:val="1"/>
          <w:numId w:val="49"/>
        </w:numPr>
        <w:jc w:val="both"/>
      </w:pPr>
      <w:r w:rsidRPr="005A1F62">
        <w:t>доля просроченной задолженности в общем объеме кредиторской задолженности;</w:t>
      </w:r>
    </w:p>
    <w:p w14:paraId="788E881F" w14:textId="77777777" w:rsidR="00F535A1" w:rsidRPr="005A1F62" w:rsidRDefault="00F535A1" w:rsidP="00D44657">
      <w:pPr>
        <w:pStyle w:val="afb"/>
        <w:numPr>
          <w:ilvl w:val="1"/>
          <w:numId w:val="49"/>
        </w:numPr>
        <w:jc w:val="both"/>
      </w:pPr>
      <w:r w:rsidRPr="005A1F62">
        <w:t>удельный вес убыточных организаций в процентах от общего числа организаций;</w:t>
      </w:r>
    </w:p>
    <w:p w14:paraId="0F09158F" w14:textId="77777777" w:rsidR="00F535A1" w:rsidRPr="005A1F62" w:rsidRDefault="00F535A1" w:rsidP="00D44657">
      <w:pPr>
        <w:pStyle w:val="afb"/>
        <w:numPr>
          <w:ilvl w:val="1"/>
          <w:numId w:val="49"/>
        </w:numPr>
        <w:jc w:val="both"/>
      </w:pPr>
      <w:r w:rsidRPr="005A1F62">
        <w:t>уровень безработицы;</w:t>
      </w:r>
    </w:p>
    <w:p w14:paraId="6A8CD202" w14:textId="77777777" w:rsidR="00F535A1" w:rsidRPr="005A1F62" w:rsidRDefault="00F535A1" w:rsidP="00D44657">
      <w:pPr>
        <w:pStyle w:val="afb"/>
        <w:numPr>
          <w:ilvl w:val="1"/>
          <w:numId w:val="49"/>
        </w:numPr>
        <w:jc w:val="both"/>
      </w:pPr>
      <w:r w:rsidRPr="005A1F62">
        <w:t>численность населения с денежными доходами ниже величины прожиточного минимума, в процентах от общей численности населения;</w:t>
      </w:r>
    </w:p>
    <w:p w14:paraId="3761865F" w14:textId="77777777" w:rsidR="00F535A1" w:rsidRPr="005A1F62" w:rsidRDefault="00F535A1" w:rsidP="00D44657">
      <w:pPr>
        <w:pStyle w:val="afb"/>
        <w:numPr>
          <w:ilvl w:val="1"/>
          <w:numId w:val="49"/>
        </w:numPr>
        <w:jc w:val="both"/>
      </w:pPr>
      <w:r w:rsidRPr="005A1F62">
        <w:t>число зарегистрированных преступлений на 100 тыс. человек населения и т.д.</w:t>
      </w:r>
    </w:p>
    <w:bookmarkEnd w:id="61"/>
    <w:p w14:paraId="18F394C8" w14:textId="386634FE" w:rsidR="00FD06C2" w:rsidRPr="005A1F62" w:rsidRDefault="00FD06C2" w:rsidP="00D44657">
      <w:pPr>
        <w:pStyle w:val="afb"/>
        <w:numPr>
          <w:ilvl w:val="0"/>
          <w:numId w:val="49"/>
        </w:numPr>
        <w:jc w:val="both"/>
      </w:pPr>
      <w:r w:rsidRPr="005A1F62">
        <w:t>Банк входит в списки иностранных государств, ограничивающие проведение с ним определенных трансграничных операций, и это ограничивает перспективы его развития.</w:t>
      </w:r>
    </w:p>
    <w:p w14:paraId="440BC2B9" w14:textId="77777777" w:rsidR="00FD06C2" w:rsidRPr="005A1F62" w:rsidRDefault="00FD06C2" w:rsidP="00FD06C2">
      <w:pPr>
        <w:jc w:val="both"/>
      </w:pPr>
    </w:p>
    <w:p w14:paraId="5D1B5F64" w14:textId="6967EF34" w:rsidR="00DB1766" w:rsidRPr="005A1F62" w:rsidRDefault="00DB1766" w:rsidP="00DC2FED">
      <w:pPr>
        <w:tabs>
          <w:tab w:val="left" w:pos="709"/>
        </w:tabs>
        <w:ind w:firstLine="567"/>
        <w:jc w:val="both"/>
      </w:pPr>
      <w:r w:rsidRPr="005A1F62">
        <w:t xml:space="preserve">Балл </w:t>
      </w:r>
      <w:r w:rsidR="00BB4FCF" w:rsidRPr="005A1F62">
        <w:t>может быть повышен на 0,5 (</w:t>
      </w:r>
      <w:r w:rsidRPr="005A1F62">
        <w:t>итоговый балл не выше 1), если банк обладает значимыми конкурент</w:t>
      </w:r>
      <w:r w:rsidR="00763FC1" w:rsidRPr="005A1F62">
        <w:t>ны</w:t>
      </w:r>
      <w:r w:rsidRPr="005A1F62">
        <w:t>ми преимуществами. Например:</w:t>
      </w:r>
    </w:p>
    <w:p w14:paraId="7E276F0B" w14:textId="1EF8CDFA" w:rsidR="00DB1766" w:rsidRPr="005A1F62" w:rsidRDefault="00DB1766" w:rsidP="00D44657">
      <w:pPr>
        <w:pStyle w:val="afb"/>
        <w:numPr>
          <w:ilvl w:val="0"/>
          <w:numId w:val="48"/>
        </w:numPr>
        <w:tabs>
          <w:tab w:val="left" w:pos="709"/>
        </w:tabs>
        <w:jc w:val="both"/>
      </w:pPr>
      <w:r w:rsidRPr="005A1F62">
        <w:t xml:space="preserve">Банк имеет широкий доступ к дешевому фондированию за счет устойчивых на горизонте </w:t>
      </w:r>
      <w:r w:rsidR="00D07D4D" w:rsidRPr="005A1F62">
        <w:t>двух-трех</w:t>
      </w:r>
      <w:r w:rsidRPr="005A1F62">
        <w:t xml:space="preserve"> лет факторов.</w:t>
      </w:r>
    </w:p>
    <w:p w14:paraId="49DBF288" w14:textId="3C8BF6B0" w:rsidR="00DB1766" w:rsidRPr="005A1F62" w:rsidRDefault="00DB1766" w:rsidP="00D44657">
      <w:pPr>
        <w:pStyle w:val="afb"/>
        <w:numPr>
          <w:ilvl w:val="0"/>
          <w:numId w:val="48"/>
        </w:numPr>
        <w:tabs>
          <w:tab w:val="left" w:pos="709"/>
        </w:tabs>
        <w:jc w:val="both"/>
      </w:pPr>
      <w:r w:rsidRPr="005A1F62">
        <w:t xml:space="preserve">Бренд банка обеспечивает </w:t>
      </w:r>
      <w:r w:rsidR="00BB4FCF" w:rsidRPr="005A1F62">
        <w:t xml:space="preserve">его </w:t>
      </w:r>
      <w:r w:rsidRPr="005A1F62">
        <w:t>высокую узнаваемость</w:t>
      </w:r>
      <w:r w:rsidR="00BB4FCF" w:rsidRPr="005A1F62">
        <w:t xml:space="preserve"> </w:t>
      </w:r>
      <w:r w:rsidRPr="005A1F62">
        <w:t>и лояльность широкого круга клиентов</w:t>
      </w:r>
      <w:r w:rsidR="00BB4FCF" w:rsidRPr="005A1F62">
        <w:t xml:space="preserve"> на федер</w:t>
      </w:r>
      <w:r w:rsidR="009072E4" w:rsidRPr="005A1F62">
        <w:t>а</w:t>
      </w:r>
      <w:r w:rsidR="00BB4FCF" w:rsidRPr="005A1F62">
        <w:t>льном уровне</w:t>
      </w:r>
      <w:r w:rsidRPr="005A1F62">
        <w:t>.</w:t>
      </w:r>
    </w:p>
    <w:p w14:paraId="15F416DD" w14:textId="77777777" w:rsidR="00DB1766" w:rsidRPr="005A1F62" w:rsidRDefault="00DB1766" w:rsidP="00D44657">
      <w:pPr>
        <w:numPr>
          <w:ilvl w:val="0"/>
          <w:numId w:val="49"/>
        </w:numPr>
        <w:jc w:val="both"/>
      </w:pPr>
      <w:r w:rsidRPr="005A1F62">
        <w:t>Личные связи и (или) статус собственников и (или) топ-менеджеров обеспечивают банку хорошие переговорные позиции и потенциал укрепления конкурентных позиций.</w:t>
      </w:r>
    </w:p>
    <w:p w14:paraId="501DCC63" w14:textId="25125DA3" w:rsidR="00DB1766" w:rsidRPr="005A1F62" w:rsidRDefault="00DB1766" w:rsidP="00D44657">
      <w:pPr>
        <w:pStyle w:val="afb"/>
        <w:numPr>
          <w:ilvl w:val="0"/>
          <w:numId w:val="49"/>
        </w:numPr>
        <w:tabs>
          <w:tab w:val="left" w:pos="709"/>
        </w:tabs>
        <w:jc w:val="both"/>
      </w:pPr>
      <w:r w:rsidRPr="005A1F62">
        <w:t>Банк имеет значимые конкурентные позиции (устойчиво входит в топ-5) на одном из рынков его специализации (ипотека, автокредиты, кредитование МСБ, необеспеченное кредитование ФЛ, кредитование корпоративного сектора, факторинг и т.</w:t>
      </w:r>
      <w:r w:rsidR="00D07D4D" w:rsidRPr="005A1F62">
        <w:t xml:space="preserve"> </w:t>
      </w:r>
      <w:r w:rsidRPr="005A1F62">
        <w:t xml:space="preserve">д.). </w:t>
      </w:r>
    </w:p>
    <w:p w14:paraId="51BB0CCA" w14:textId="75B1B3B2" w:rsidR="0086698D" w:rsidRPr="005A1F62" w:rsidRDefault="0086698D" w:rsidP="00D44657">
      <w:pPr>
        <w:pStyle w:val="afb"/>
        <w:numPr>
          <w:ilvl w:val="0"/>
          <w:numId w:val="49"/>
        </w:numPr>
        <w:tabs>
          <w:tab w:val="left" w:pos="709"/>
        </w:tabs>
        <w:jc w:val="both"/>
      </w:pPr>
      <w:r w:rsidRPr="005A1F62">
        <w:t>География деятельности банка признается очень широкой. Корректировка не применяется при несоответствии структуры географии деятельности структуре текущих операций (то есть более 10% кредитного портфеля приходится на регионы, в которых нет обособленных подразделений банка</w:t>
      </w:r>
      <w:r w:rsidR="00D07D4D" w:rsidRPr="005A1F62">
        <w:t>,</w:t>
      </w:r>
      <w:r w:rsidR="00B9627F" w:rsidRPr="005A1F62">
        <w:t xml:space="preserve"> </w:t>
      </w:r>
      <w:r w:rsidR="00D26199" w:rsidRPr="005A1F62">
        <w:t>на последнюю отчетную дату).</w:t>
      </w:r>
    </w:p>
    <w:p w14:paraId="0FE679BA" w14:textId="77777777" w:rsidR="0086698D" w:rsidRPr="005A1F62" w:rsidRDefault="0086698D" w:rsidP="00DC2FED">
      <w:pPr>
        <w:pStyle w:val="afb"/>
        <w:tabs>
          <w:tab w:val="left" w:pos="709"/>
        </w:tabs>
        <w:jc w:val="both"/>
      </w:pPr>
      <w:r w:rsidRPr="005A1F62">
        <w:t>География деятельности банка признается очень широкой, если выполняется любое из условий:</w:t>
      </w:r>
    </w:p>
    <w:p w14:paraId="17D8996F" w14:textId="77777777" w:rsidR="0086698D" w:rsidRPr="005A1F62" w:rsidRDefault="0086698D" w:rsidP="00D44657">
      <w:pPr>
        <w:pStyle w:val="afb"/>
        <w:numPr>
          <w:ilvl w:val="0"/>
          <w:numId w:val="57"/>
        </w:numPr>
        <w:jc w:val="both"/>
      </w:pPr>
      <w:r w:rsidRPr="005A1F62">
        <w:t>банк имеет более 200 обособленных структурных подразделений в более чем четырех федеральных округах;</w:t>
      </w:r>
    </w:p>
    <w:p w14:paraId="6B82E806" w14:textId="700B98C0" w:rsidR="0086698D" w:rsidRPr="005A1F62" w:rsidRDefault="0086698D" w:rsidP="00D44657">
      <w:pPr>
        <w:pStyle w:val="afb"/>
        <w:numPr>
          <w:ilvl w:val="0"/>
          <w:numId w:val="57"/>
        </w:numPr>
        <w:jc w:val="both"/>
      </w:pPr>
      <w:r w:rsidRPr="005A1F62">
        <w:t>доля региона с наибольшим весом в структур</w:t>
      </w:r>
      <w:r w:rsidR="00B9627F" w:rsidRPr="005A1F62">
        <w:t xml:space="preserve">е кредитного портфеля на последнюю отчетную дату </w:t>
      </w:r>
      <w:r w:rsidRPr="005A1F62">
        <w:t>не превышает 20%, при этом доля кредитного портфеля в активах выше 50%, банк имеет более 20 обособленных структурных подразделений.</w:t>
      </w:r>
    </w:p>
    <w:p w14:paraId="2236E355" w14:textId="77777777" w:rsidR="003408F3" w:rsidRPr="005A1F62" w:rsidRDefault="003408F3" w:rsidP="00DC2FED">
      <w:pPr>
        <w:pStyle w:val="afb"/>
        <w:tabs>
          <w:tab w:val="left" w:pos="709"/>
        </w:tabs>
        <w:jc w:val="both"/>
      </w:pPr>
    </w:p>
    <w:p w14:paraId="2EBC06E7" w14:textId="14BB4245" w:rsidR="003408F3" w:rsidRPr="005A1F62" w:rsidRDefault="003408F3" w:rsidP="006A777B">
      <w:pPr>
        <w:pStyle w:val="afb"/>
        <w:tabs>
          <w:tab w:val="left" w:pos="0"/>
        </w:tabs>
        <w:ind w:left="0" w:firstLine="567"/>
        <w:jc w:val="both"/>
      </w:pPr>
      <w:r w:rsidRPr="005A1F62">
        <w:lastRenderedPageBreak/>
        <w:t>Оценка фактора ограничивается баллом 0 для банков с базовой лицензией, а также для банков с универсальной лицензией с величиной капитала мене</w:t>
      </w:r>
      <w:r w:rsidR="00C65261" w:rsidRPr="005A1F62">
        <w:t>е</w:t>
      </w:r>
      <w:r w:rsidRPr="005A1F62">
        <w:t xml:space="preserve"> 1 млрд рублей.</w:t>
      </w:r>
    </w:p>
    <w:p w14:paraId="659D1B4F" w14:textId="77777777" w:rsidR="009B681E" w:rsidRPr="005A1F62" w:rsidRDefault="009B681E" w:rsidP="00DC2FED">
      <w:pPr>
        <w:pStyle w:val="2"/>
        <w:tabs>
          <w:tab w:val="left" w:pos="709"/>
        </w:tabs>
        <w:spacing w:before="0" w:after="0"/>
        <w:ind w:firstLine="567"/>
        <w:rPr>
          <w:rFonts w:ascii="Times New Roman" w:hAnsi="Times New Roman" w:cs="Times New Roman"/>
          <w:i w:val="0"/>
        </w:rPr>
      </w:pPr>
      <w:bookmarkStart w:id="63" w:name="_Toc277183403"/>
      <w:bookmarkEnd w:id="59"/>
      <w:r w:rsidRPr="005A1F62">
        <w:rPr>
          <w:rFonts w:ascii="Times New Roman" w:hAnsi="Times New Roman" w:cs="Times New Roman"/>
          <w:i w:val="0"/>
        </w:rPr>
        <w:br w:type="page"/>
      </w:r>
      <w:bookmarkStart w:id="64" w:name="_Toc343776095"/>
      <w:bookmarkStart w:id="65" w:name="_Toc459363748"/>
      <w:bookmarkStart w:id="66" w:name="_Toc44433453"/>
      <w:bookmarkStart w:id="67" w:name="_Hlk510516817"/>
      <w:r w:rsidRPr="005A1F62">
        <w:rPr>
          <w:rFonts w:ascii="Times New Roman" w:hAnsi="Times New Roman" w:cs="Times New Roman"/>
          <w:i w:val="0"/>
        </w:rPr>
        <w:lastRenderedPageBreak/>
        <w:t xml:space="preserve">РАЗДЕЛ </w:t>
      </w:r>
      <w:r w:rsidRPr="005A1F62">
        <w:rPr>
          <w:rFonts w:ascii="Times New Roman" w:hAnsi="Times New Roman" w:cs="Times New Roman"/>
          <w:i w:val="0"/>
          <w:lang w:val="en-US"/>
        </w:rPr>
        <w:t>II</w:t>
      </w:r>
      <w:r w:rsidRPr="005A1F62">
        <w:rPr>
          <w:rFonts w:ascii="Times New Roman" w:hAnsi="Times New Roman" w:cs="Times New Roman"/>
          <w:i w:val="0"/>
        </w:rPr>
        <w:t xml:space="preserve">. </w:t>
      </w:r>
      <w:bookmarkEnd w:id="63"/>
      <w:bookmarkEnd w:id="64"/>
      <w:r w:rsidRPr="005A1F62">
        <w:rPr>
          <w:rFonts w:ascii="Times New Roman" w:hAnsi="Times New Roman" w:cs="Times New Roman"/>
          <w:i w:val="0"/>
        </w:rPr>
        <w:t>ФИНАНСОВЫЕ РИСКИ</w:t>
      </w:r>
      <w:bookmarkEnd w:id="65"/>
      <w:bookmarkEnd w:id="66"/>
    </w:p>
    <w:p w14:paraId="43CF5DF1" w14:textId="10709C19" w:rsidR="006A777B" w:rsidRPr="005A1F62" w:rsidRDefault="006A777B" w:rsidP="00DC2FED">
      <w:pPr>
        <w:tabs>
          <w:tab w:val="left" w:pos="709"/>
        </w:tabs>
        <w:ind w:firstLine="567"/>
        <w:jc w:val="both"/>
      </w:pPr>
    </w:p>
    <w:p w14:paraId="572D9DCF" w14:textId="358716B4" w:rsidR="009B681E" w:rsidRPr="005A1F62" w:rsidRDefault="0061392B" w:rsidP="00DC2FED">
      <w:pPr>
        <w:tabs>
          <w:tab w:val="left" w:pos="709"/>
        </w:tabs>
        <w:ind w:firstLine="567"/>
        <w:jc w:val="both"/>
      </w:pPr>
      <w:r w:rsidRPr="005A1F62">
        <w:t>Вес раздела «</w:t>
      </w:r>
      <w:r w:rsidR="00F9364F" w:rsidRPr="005A1F62">
        <w:t xml:space="preserve">оценка </w:t>
      </w:r>
      <w:r w:rsidR="00F47B96" w:rsidRPr="005A1F62">
        <w:t>финансовых рисков» составляет 70</w:t>
      </w:r>
      <w:r w:rsidRPr="005A1F62">
        <w:t xml:space="preserve">%. В </w:t>
      </w:r>
      <w:r w:rsidR="00F9364F" w:rsidRPr="005A1F62">
        <w:t xml:space="preserve">его </w:t>
      </w:r>
      <w:r w:rsidRPr="005A1F62">
        <w:t xml:space="preserve">рамках оцениваются такие интегральные факторы, как </w:t>
      </w:r>
      <w:r w:rsidR="00E14120" w:rsidRPr="005A1F62">
        <w:t>«</w:t>
      </w:r>
      <w:r w:rsidRPr="005A1F62">
        <w:t>достаточность капитала</w:t>
      </w:r>
      <w:r w:rsidR="00E14120" w:rsidRPr="005A1F62">
        <w:t>»</w:t>
      </w:r>
      <w:r w:rsidRPr="005A1F62">
        <w:t xml:space="preserve"> с весом 8%, </w:t>
      </w:r>
      <w:r w:rsidR="00E14120" w:rsidRPr="005A1F62">
        <w:t>«</w:t>
      </w:r>
      <w:r w:rsidRPr="005A1F62">
        <w:t>устойчивость капитала к реализации кредитных рисков</w:t>
      </w:r>
      <w:r w:rsidR="00E14120" w:rsidRPr="005A1F62">
        <w:t>»</w:t>
      </w:r>
      <w:r w:rsidRPr="005A1F62">
        <w:t xml:space="preserve"> с весом 5%, </w:t>
      </w:r>
      <w:r w:rsidR="00E14120" w:rsidRPr="005A1F62">
        <w:t>«</w:t>
      </w:r>
      <w:r w:rsidRPr="005A1F62">
        <w:t>концентрация активных операций на крупных клиентах</w:t>
      </w:r>
      <w:r w:rsidR="00E14120" w:rsidRPr="005A1F62">
        <w:t>»</w:t>
      </w:r>
      <w:r w:rsidRPr="005A1F62">
        <w:t xml:space="preserve"> с весом </w:t>
      </w:r>
      <w:r w:rsidR="00CE6A2B" w:rsidRPr="005A1F62">
        <w:t>7</w:t>
      </w:r>
      <w:r w:rsidRPr="005A1F62">
        <w:t xml:space="preserve">%, </w:t>
      </w:r>
      <w:r w:rsidR="00E14120" w:rsidRPr="005A1F62">
        <w:t>«</w:t>
      </w:r>
      <w:r w:rsidRPr="005A1F62">
        <w:t>качество активов и внебалансовых обязательств под риском</w:t>
      </w:r>
      <w:r w:rsidR="00E14120" w:rsidRPr="005A1F62">
        <w:t>»</w:t>
      </w:r>
      <w:r w:rsidRPr="005A1F62">
        <w:t xml:space="preserve"> (качество выданных гарантий и поручительств) с весом 16%, </w:t>
      </w:r>
      <w:r w:rsidR="00E14120" w:rsidRPr="005A1F62">
        <w:t>«</w:t>
      </w:r>
      <w:r w:rsidRPr="005A1F62">
        <w:t>прибыльность операций</w:t>
      </w:r>
      <w:r w:rsidR="00E14120" w:rsidRPr="005A1F62">
        <w:t>»</w:t>
      </w:r>
      <w:r w:rsidRPr="005A1F62">
        <w:t xml:space="preserve"> с весом </w:t>
      </w:r>
      <w:r w:rsidR="006C6519" w:rsidRPr="005A1F62">
        <w:t>6</w:t>
      </w:r>
      <w:r w:rsidR="004141B6" w:rsidRPr="005A1F62">
        <w:t>,5</w:t>
      </w:r>
      <w:r w:rsidRPr="005A1F62">
        <w:t xml:space="preserve">%, </w:t>
      </w:r>
      <w:r w:rsidR="00E14120" w:rsidRPr="005A1F62">
        <w:t>«</w:t>
      </w:r>
      <w:r w:rsidRPr="005A1F62">
        <w:t>структура ресурсной базы</w:t>
      </w:r>
      <w:r w:rsidR="00E14120" w:rsidRPr="005A1F62">
        <w:t>»</w:t>
      </w:r>
      <w:r w:rsidRPr="005A1F62">
        <w:t xml:space="preserve"> с весом </w:t>
      </w:r>
      <w:r w:rsidR="004141B6" w:rsidRPr="005A1F62">
        <w:t>1</w:t>
      </w:r>
      <w:r w:rsidR="006C6519" w:rsidRPr="005A1F62">
        <w:t>1</w:t>
      </w:r>
      <w:r w:rsidR="004141B6" w:rsidRPr="005A1F62">
        <w:t>,5</w:t>
      </w:r>
      <w:r w:rsidR="00E21F1D" w:rsidRPr="005A1F62">
        <w:t xml:space="preserve">%, </w:t>
      </w:r>
      <w:r w:rsidR="00E14120" w:rsidRPr="005A1F62">
        <w:t>«</w:t>
      </w:r>
      <w:r w:rsidR="00E21F1D" w:rsidRPr="005A1F62">
        <w:t>ликвидность</w:t>
      </w:r>
      <w:r w:rsidR="00E14120" w:rsidRPr="005A1F62">
        <w:t>»</w:t>
      </w:r>
      <w:r w:rsidR="00E21F1D" w:rsidRPr="005A1F62">
        <w:t xml:space="preserve"> с весом 12</w:t>
      </w:r>
      <w:r w:rsidRPr="005A1F62">
        <w:t xml:space="preserve">%, </w:t>
      </w:r>
      <w:r w:rsidR="00E14120" w:rsidRPr="005A1F62">
        <w:t>«</w:t>
      </w:r>
      <w:r w:rsidRPr="005A1F62">
        <w:t>рыночные риски</w:t>
      </w:r>
      <w:r w:rsidR="00E14120" w:rsidRPr="005A1F62">
        <w:t>»</w:t>
      </w:r>
      <w:r w:rsidRPr="005A1F62">
        <w:t xml:space="preserve"> с весом 3%. По каждому из интегральных факторов оценива</w:t>
      </w:r>
      <w:r w:rsidR="00F9364F" w:rsidRPr="005A1F62">
        <w:t>ю</w:t>
      </w:r>
      <w:r w:rsidRPr="005A1F62">
        <w:t>тся несколько показателей, каждый из которых имеет свой вес, сумма группы показателей по фактору равна весу этого фактора.</w:t>
      </w:r>
    </w:p>
    <w:bookmarkEnd w:id="67"/>
    <w:p w14:paraId="21B7DB57" w14:textId="77777777" w:rsidR="006A777B" w:rsidRPr="005A1F62" w:rsidRDefault="006A777B" w:rsidP="00DC2FED">
      <w:pPr>
        <w:tabs>
          <w:tab w:val="left" w:pos="709"/>
        </w:tabs>
        <w:ind w:firstLine="567"/>
        <w:jc w:val="both"/>
      </w:pPr>
    </w:p>
    <w:p w14:paraId="0C0BEE8F" w14:textId="4F615BBE" w:rsidR="009B681E" w:rsidRPr="005A1F62" w:rsidRDefault="009B681E" w:rsidP="00D44657">
      <w:pPr>
        <w:pStyle w:val="3"/>
        <w:numPr>
          <w:ilvl w:val="1"/>
          <w:numId w:val="13"/>
        </w:numPr>
        <w:tabs>
          <w:tab w:val="left" w:pos="709"/>
        </w:tabs>
        <w:spacing w:before="0" w:after="0"/>
        <w:ind w:left="0" w:firstLine="567"/>
        <w:rPr>
          <w:rFonts w:ascii="Times New Roman" w:hAnsi="Times New Roman" w:cs="Times New Roman"/>
        </w:rPr>
      </w:pPr>
      <w:bookmarkStart w:id="68" w:name="_Toc277183404"/>
      <w:bookmarkStart w:id="69" w:name="_Toc343776096"/>
      <w:bookmarkStart w:id="70" w:name="_Toc459363749"/>
      <w:bookmarkStart w:id="71" w:name="_Toc44433454"/>
      <w:bookmarkStart w:id="72" w:name="_Hlk510516824"/>
      <w:bookmarkStart w:id="73" w:name="_Hlk510516875"/>
      <w:r w:rsidRPr="005A1F62">
        <w:rPr>
          <w:rFonts w:ascii="Times New Roman" w:hAnsi="Times New Roman" w:cs="Times New Roman"/>
        </w:rPr>
        <w:t>Достаточность и качество капитала</w:t>
      </w:r>
      <w:bookmarkEnd w:id="68"/>
      <w:bookmarkEnd w:id="69"/>
      <w:bookmarkEnd w:id="70"/>
      <w:r w:rsidR="00164EF4" w:rsidRPr="005A1F62">
        <w:rPr>
          <w:rStyle w:val="a9"/>
          <w:rFonts w:ascii="Times New Roman" w:hAnsi="Times New Roman" w:cs="Times New Roman"/>
        </w:rPr>
        <w:footnoteReference w:id="13"/>
      </w:r>
      <w:bookmarkEnd w:id="71"/>
    </w:p>
    <w:p w14:paraId="65097318" w14:textId="77777777" w:rsidR="0062539F" w:rsidRPr="005A1F62" w:rsidRDefault="0062539F" w:rsidP="0062539F"/>
    <w:bookmarkEnd w:id="72"/>
    <w:p w14:paraId="60E11B36" w14:textId="5773D735" w:rsidR="00EB7EC1" w:rsidRPr="005A1F62" w:rsidRDefault="009B681E" w:rsidP="00E4631E">
      <w:pPr>
        <w:tabs>
          <w:tab w:val="left" w:pos="709"/>
        </w:tabs>
        <w:ind w:firstLine="567"/>
        <w:jc w:val="both"/>
      </w:pPr>
      <w:r w:rsidRPr="005A1F62">
        <w:rPr>
          <w:u w:val="single"/>
        </w:rPr>
        <w:t>Цель оценки</w:t>
      </w:r>
      <w:r w:rsidR="00E14120" w:rsidRPr="005A1F62">
        <w:rPr>
          <w:u w:val="single"/>
        </w:rPr>
        <w:t>:</w:t>
      </w:r>
      <w:r w:rsidR="00E14120" w:rsidRPr="005A1F62">
        <w:t xml:space="preserve"> о</w:t>
      </w:r>
      <w:r w:rsidRPr="005A1F62">
        <w:t xml:space="preserve">пределить, насколько размер и качество капитала позволяют </w:t>
      </w:r>
      <w:r w:rsidR="00F9364F" w:rsidRPr="005A1F62">
        <w:t>б</w:t>
      </w:r>
      <w:r w:rsidRPr="005A1F62">
        <w:t>анку покрывать принимаемые риски и наращивать объемы операций.</w:t>
      </w:r>
      <w:r w:rsidR="00EF38A0" w:rsidRPr="005A1F62">
        <w:t xml:space="preserve"> </w:t>
      </w:r>
    </w:p>
    <w:p w14:paraId="51EECBE2" w14:textId="211A3E26" w:rsidR="006A777B" w:rsidRPr="005A1F62" w:rsidRDefault="00EF38A0" w:rsidP="000A5984">
      <w:pPr>
        <w:tabs>
          <w:tab w:val="left" w:pos="709"/>
        </w:tabs>
        <w:ind w:firstLine="567"/>
        <w:jc w:val="both"/>
      </w:pPr>
      <w:r w:rsidRPr="005A1F62">
        <w:t xml:space="preserve">Достаточность собственных средств оценивается с точки зрения возможностей банка по абсорбированию (без нарушения обязательных нормативов) непредвиденных и, как следствие, не отраженных в объеме созданных резервов убытков. </w:t>
      </w:r>
      <w:r w:rsidR="004C7CC3" w:rsidRPr="005A1F62">
        <w:t>До определенного предела ч</w:t>
      </w:r>
      <w:r w:rsidRPr="005A1F62">
        <w:t xml:space="preserve">ем больший объем потенциальных убытков может понести банк без нарушения требований регулятора, тем </w:t>
      </w:r>
      <w:r w:rsidR="004C7CC3" w:rsidRPr="005A1F62">
        <w:t xml:space="preserve">более </w:t>
      </w:r>
      <w:r w:rsidRPr="005A1F62">
        <w:t>позитивн</w:t>
      </w:r>
      <w:r w:rsidR="004C7CC3" w:rsidRPr="005A1F62">
        <w:t>о</w:t>
      </w:r>
      <w:r w:rsidRPr="005A1F62">
        <w:t xml:space="preserve"> это сказывается на его кредитоспособности. </w:t>
      </w:r>
      <w:r w:rsidR="004C7CC3" w:rsidRPr="005A1F62">
        <w:t>Чрезмерн</w:t>
      </w:r>
      <w:r w:rsidR="00EB7EC1" w:rsidRPr="005A1F62">
        <w:t xml:space="preserve">ый уровень достаточности </w:t>
      </w:r>
      <w:r w:rsidR="004C7CC3" w:rsidRPr="005A1F62">
        <w:t>капитал</w:t>
      </w:r>
      <w:r w:rsidR="00EB7EC1" w:rsidRPr="005A1F62">
        <w:t>а</w:t>
      </w:r>
      <w:r w:rsidR="004C7CC3" w:rsidRPr="005A1F62">
        <w:t xml:space="preserve"> банка может негативно сказываться на его рентабельности и профиле нефинансовых рисков, однако это</w:t>
      </w:r>
      <w:r w:rsidR="00EB7EC1" w:rsidRPr="005A1F62">
        <w:t>т эффект</w:t>
      </w:r>
      <w:r w:rsidR="004C7CC3" w:rsidRPr="005A1F62">
        <w:t xml:space="preserve"> учитывается в иных разделах методологии. </w:t>
      </w:r>
      <w:bookmarkEnd w:id="73"/>
    </w:p>
    <w:p w14:paraId="7751F5F6" w14:textId="77777777" w:rsidR="009B681E" w:rsidRPr="005A1F62" w:rsidRDefault="009B681E" w:rsidP="00DC2FED">
      <w:pPr>
        <w:tabs>
          <w:tab w:val="left" w:pos="709"/>
        </w:tabs>
        <w:ind w:firstLine="567"/>
        <w:rPr>
          <w:u w:val="single"/>
        </w:rPr>
      </w:pPr>
      <w:r w:rsidRPr="005A1F62">
        <w:rPr>
          <w:u w:val="single"/>
        </w:rPr>
        <w:t>Алгоритм выставления оценки</w:t>
      </w:r>
    </w:p>
    <w:p w14:paraId="3983714F" w14:textId="0C72DB24" w:rsidR="000A5984" w:rsidRPr="005A1F62" w:rsidRDefault="00B47A1E" w:rsidP="000A5984">
      <w:pPr>
        <w:tabs>
          <w:tab w:val="left" w:pos="709"/>
        </w:tabs>
        <w:ind w:firstLine="567"/>
        <w:contextualSpacing/>
        <w:jc w:val="both"/>
        <w:rPr>
          <w:bCs/>
          <w:i/>
        </w:rPr>
      </w:pPr>
      <w:r w:rsidRPr="005A1F62">
        <w:t>Для банков с универсальной лицензией в</w:t>
      </w:r>
      <w:r w:rsidR="0061392B" w:rsidRPr="005A1F62">
        <w:t xml:space="preserve">еса в группе показателей достаточности капитала распределяются между весами оценок значений норматива достаточности капитала Н1.0 (вес в группе – </w:t>
      </w:r>
      <w:r w:rsidR="00FD3945" w:rsidRPr="005A1F62">
        <w:t>30</w:t>
      </w:r>
      <w:r w:rsidR="0061392B" w:rsidRPr="005A1F62">
        <w:t xml:space="preserve">%), норматива достаточности базового капитала Н1.1 (20%), норматива достаточности основного капитала </w:t>
      </w:r>
      <w:r w:rsidR="00533A38" w:rsidRPr="005A1F62">
        <w:t xml:space="preserve">Н1.2 </w:t>
      </w:r>
      <w:r w:rsidR="000A5984" w:rsidRPr="005A1F62">
        <w:t xml:space="preserve">(40%) </w:t>
      </w:r>
      <w:r w:rsidR="00533A38" w:rsidRPr="005A1F62">
        <w:t xml:space="preserve">и норматива финансового рычага Н1.4 </w:t>
      </w:r>
      <w:r w:rsidR="0061392B" w:rsidRPr="005A1F62">
        <w:t>(</w:t>
      </w:r>
      <w:r w:rsidR="000A5984" w:rsidRPr="005A1F62">
        <w:t>10</w:t>
      </w:r>
      <w:r w:rsidR="0061392B" w:rsidRPr="005A1F62">
        <w:t xml:space="preserve">%). </w:t>
      </w:r>
      <w:r w:rsidR="00C20C7C" w:rsidRPr="005A1F62">
        <w:t xml:space="preserve">Для банков с базовой лицензией веса распределяются между значениями норматива достаточности капитала Н1.0 (вес в </w:t>
      </w:r>
      <w:r w:rsidR="00EA240C" w:rsidRPr="005A1F62">
        <w:t>группе</w:t>
      </w:r>
      <w:r w:rsidR="00EA240C" w:rsidRPr="005A1F62">
        <w:rPr>
          <w:lang w:val="en-US"/>
        </w:rPr>
        <w:t> </w:t>
      </w:r>
      <w:r w:rsidR="00C20C7C" w:rsidRPr="005A1F62">
        <w:t xml:space="preserve">– </w:t>
      </w:r>
      <w:r w:rsidR="00533A38" w:rsidRPr="005A1F62">
        <w:t>50</w:t>
      </w:r>
      <w:r w:rsidR="00C20C7C" w:rsidRPr="005A1F62">
        <w:t>%) и норматива достаточности основного капитала (</w:t>
      </w:r>
      <w:r w:rsidR="00533A38" w:rsidRPr="005A1F62">
        <w:t>50</w:t>
      </w:r>
      <w:r w:rsidR="00C20C7C" w:rsidRPr="005A1F62">
        <w:t>%)</w:t>
      </w:r>
      <w:r w:rsidR="000F71B3" w:rsidRPr="005A1F62">
        <w:t>.</w:t>
      </w:r>
      <w:r w:rsidR="008E57D7" w:rsidRPr="005A1F62">
        <w:t xml:space="preserve"> </w:t>
      </w:r>
      <w:r w:rsidR="0061392B" w:rsidRPr="005A1F62">
        <w:t>Данные показатели относятся к по</w:t>
      </w:r>
      <w:r w:rsidR="008E57D7" w:rsidRPr="005A1F62">
        <w:t>казателям с «длинным хвостом»</w:t>
      </w:r>
      <w:r w:rsidR="0061392B" w:rsidRPr="005A1F62">
        <w:t>.</w:t>
      </w:r>
      <w:r w:rsidR="000A5984" w:rsidRPr="005A1F62">
        <w:rPr>
          <w:bCs/>
          <w:i/>
        </w:rPr>
        <w:t xml:space="preserve"> </w:t>
      </w:r>
    </w:p>
    <w:p w14:paraId="0EAA2ACD" w14:textId="71B33822" w:rsidR="00780090" w:rsidRPr="005A1F62" w:rsidRDefault="00780090" w:rsidP="00DC2FED">
      <w:pPr>
        <w:tabs>
          <w:tab w:val="left" w:pos="709"/>
        </w:tabs>
        <w:ind w:firstLine="567"/>
        <w:jc w:val="both"/>
      </w:pPr>
      <w:bookmarkStart w:id="74" w:name="_Hlk504743691"/>
      <w:r w:rsidRPr="005A1F62">
        <w:t xml:space="preserve">Аналитик может снизить балл за достаточность капитала, если он имеет основания полагать, что часть активов является невозвратной и (или) резервы на возможные потери по определенным активам неадекватны принятым рискам, </w:t>
      </w:r>
      <w:proofErr w:type="gramStart"/>
      <w:r w:rsidRPr="005A1F62">
        <w:t>и</w:t>
      </w:r>
      <w:proofErr w:type="gramEnd"/>
      <w:r w:rsidRPr="005A1F62">
        <w:t xml:space="preserve"> в связи с этим пересчитать все нормативы достаточности капитала и норматив финансового рычага. При пересчете нормативов осуществляется уменьшение капитала соответствующего уровня и взвешенных по риску активов на величину ожидаемого обесценения активов. При этом базовый капитал в целях расчета норматива Н1.1 и основной капитал в целях расчета </w:t>
      </w:r>
      <w:r w:rsidR="008B27D0" w:rsidRPr="005A1F62">
        <w:t xml:space="preserve">нормативов </w:t>
      </w:r>
      <w:r w:rsidRPr="005A1F62">
        <w:t>Н1.2 и Н1.4 уменьшается только на ту часть ожидаемого убытка от обесценения активов, кото</w:t>
      </w:r>
      <w:r w:rsidR="008B27D0" w:rsidRPr="005A1F62">
        <w:t xml:space="preserve">рая не может быть абсорбирована учтенной в дополнительном капитале </w:t>
      </w:r>
      <w:r w:rsidRPr="005A1F62">
        <w:t>прибылью текущего</w:t>
      </w:r>
      <w:r w:rsidR="008B27D0" w:rsidRPr="005A1F62">
        <w:t xml:space="preserve"> года, не подтвержденной аудитором.</w:t>
      </w:r>
    </w:p>
    <w:p w14:paraId="697D7C0D" w14:textId="08F8F732" w:rsidR="005E77F9" w:rsidRPr="005A1F62" w:rsidRDefault="005E77F9" w:rsidP="00DC2FED">
      <w:pPr>
        <w:tabs>
          <w:tab w:val="left" w:pos="709"/>
        </w:tabs>
        <w:ind w:firstLine="567"/>
        <w:jc w:val="both"/>
      </w:pPr>
      <w:r w:rsidRPr="005A1F62">
        <w:t>Признаки недосозданных резервов</w:t>
      </w:r>
      <w:r w:rsidR="008B27D0" w:rsidRPr="005A1F62">
        <w:t>, выступающие основанием для корректировки нормативов достаточности капитала и финансового рычага на величину ожидаемых убытков от обесценения активов, включают, но не ограничиваются следующими случаями</w:t>
      </w:r>
      <w:r w:rsidR="009317CE" w:rsidRPr="005A1F62">
        <w:t>:</w:t>
      </w:r>
    </w:p>
    <w:p w14:paraId="0E0CEF58" w14:textId="64D2A935" w:rsidR="005E77F9" w:rsidRPr="005A1F62" w:rsidRDefault="005E77F9" w:rsidP="008B2D47">
      <w:pPr>
        <w:numPr>
          <w:ilvl w:val="0"/>
          <w:numId w:val="6"/>
        </w:numPr>
        <w:tabs>
          <w:tab w:val="clear" w:pos="720"/>
          <w:tab w:val="left" w:pos="709"/>
        </w:tabs>
        <w:ind w:left="0" w:firstLine="567"/>
        <w:jc w:val="both"/>
      </w:pPr>
      <w:r w:rsidRPr="005A1F62">
        <w:lastRenderedPageBreak/>
        <w:t xml:space="preserve">Большой (или резко растущий) объем ссуд, </w:t>
      </w:r>
      <w:r w:rsidR="00EF2F58" w:rsidRPr="005A1F62">
        <w:t>реструктурированных без понижения категории качества (классифицированных в соответствии с п. 3.10 Положения Банка России №590-П).</w:t>
      </w:r>
    </w:p>
    <w:p w14:paraId="2146B6AC" w14:textId="14E84C18" w:rsidR="005E77F9" w:rsidRPr="005A1F62" w:rsidRDefault="00592E64" w:rsidP="008B2D47">
      <w:pPr>
        <w:numPr>
          <w:ilvl w:val="0"/>
          <w:numId w:val="6"/>
        </w:numPr>
        <w:tabs>
          <w:tab w:val="clear" w:pos="720"/>
          <w:tab w:val="left" w:pos="709"/>
        </w:tabs>
        <w:ind w:left="0" w:firstLine="567"/>
        <w:jc w:val="both"/>
      </w:pPr>
      <w:r w:rsidRPr="005A1F62">
        <w:t>Существенная дельта</w:t>
      </w:r>
      <w:r w:rsidR="005E77F9" w:rsidRPr="005A1F62">
        <w:t xml:space="preserve"> между расчетными и фактически</w:t>
      </w:r>
      <w:r w:rsidRPr="005A1F62">
        <w:t xml:space="preserve"> сформированными </w:t>
      </w:r>
      <w:r w:rsidR="00E4631E" w:rsidRPr="005A1F62">
        <w:t>резервами на возможные потери по ссудам</w:t>
      </w:r>
      <w:r w:rsidR="005E77F9" w:rsidRPr="005A1F62">
        <w:t xml:space="preserve">. </w:t>
      </w:r>
      <w:r w:rsidR="00EF2F58" w:rsidRPr="005A1F62">
        <w:t xml:space="preserve">Потенциальное </w:t>
      </w:r>
      <w:proofErr w:type="spellStart"/>
      <w:r w:rsidR="00EF2F58" w:rsidRPr="005A1F62">
        <w:t>доформирование</w:t>
      </w:r>
      <w:proofErr w:type="spellEnd"/>
      <w:r w:rsidR="00EF2F58" w:rsidRPr="005A1F62">
        <w:t xml:space="preserve"> фактических резервов в той части, в которой они уменьшены относитель</w:t>
      </w:r>
      <w:r w:rsidRPr="005A1F62">
        <w:t xml:space="preserve">но расчетного уровня за счет </w:t>
      </w:r>
      <w:r w:rsidR="00EF2F58" w:rsidRPr="005A1F62">
        <w:t>обеспечения, учитывается в уменьшение нормативов достаточности капитала.</w:t>
      </w:r>
      <w:r w:rsidR="00E571A5" w:rsidRPr="005A1F62">
        <w:t xml:space="preserve"> </w:t>
      </w:r>
      <w:r w:rsidRPr="005A1F62">
        <w:t>Указанная корректировка не распространяется на принятое</w:t>
      </w:r>
      <w:r w:rsidR="00262006" w:rsidRPr="005A1F62">
        <w:t xml:space="preserve"> </w:t>
      </w:r>
      <w:r w:rsidRPr="005A1F62">
        <w:t xml:space="preserve">в уменьшение фактических резервов обеспечение </w:t>
      </w:r>
      <w:r w:rsidR="00E571A5" w:rsidRPr="005A1F62">
        <w:t xml:space="preserve">в виде гарантийных депозитов от контрагентов с условными рейтинговыми классами не ниже </w:t>
      </w:r>
      <w:r w:rsidR="00E571A5" w:rsidRPr="005A1F62">
        <w:rPr>
          <w:lang w:val="en-US"/>
        </w:rPr>
        <w:t>ruAA</w:t>
      </w:r>
      <w:r w:rsidR="00E571A5" w:rsidRPr="005A1F62">
        <w:t>- и (или) ценных бумаг с аналогичным кредитным качеством / условными рейтинговыми классами эмитентов.</w:t>
      </w:r>
    </w:p>
    <w:p w14:paraId="4EED340E" w14:textId="77777777" w:rsidR="005E77F9" w:rsidRPr="005A1F62" w:rsidRDefault="005E77F9" w:rsidP="008B2D47">
      <w:pPr>
        <w:numPr>
          <w:ilvl w:val="0"/>
          <w:numId w:val="6"/>
        </w:numPr>
        <w:tabs>
          <w:tab w:val="clear" w:pos="720"/>
          <w:tab w:val="left" w:pos="709"/>
        </w:tabs>
        <w:ind w:left="0" w:firstLine="567"/>
        <w:jc w:val="both"/>
      </w:pPr>
      <w:r w:rsidRPr="005A1F62">
        <w:t>Коэффициент резервирования по МСФО значительно превышает коэффициент резервирования по РСБУ (более чем на 3 п. п.) на одну и ту же дату.</w:t>
      </w:r>
    </w:p>
    <w:p w14:paraId="7CF2CC6E" w14:textId="3E8286C2" w:rsidR="005E77F9" w:rsidRPr="005A1F62" w:rsidRDefault="005E77F9" w:rsidP="008B2D47">
      <w:pPr>
        <w:numPr>
          <w:ilvl w:val="0"/>
          <w:numId w:val="6"/>
        </w:numPr>
        <w:tabs>
          <w:tab w:val="clear" w:pos="720"/>
          <w:tab w:val="left" w:pos="709"/>
        </w:tabs>
        <w:ind w:left="0" w:firstLine="567"/>
        <w:jc w:val="both"/>
      </w:pPr>
      <w:r w:rsidRPr="005A1F62">
        <w:t>Наличие достоверной информации о недосозданных резервах по кредитам / облигациям, оцениваемым по цене приобретения</w:t>
      </w:r>
      <w:r w:rsidR="0090648E" w:rsidRPr="005A1F62">
        <w:t>,</w:t>
      </w:r>
      <w:r w:rsidRPr="005A1F62">
        <w:t xml:space="preserve"> или наличие фактов манипулирования рыночной ценой бумаг, завышающих их стоимость</w:t>
      </w:r>
      <w:r w:rsidR="0090648E" w:rsidRPr="005A1F62">
        <w:t>,</w:t>
      </w:r>
      <w:r w:rsidRPr="005A1F62">
        <w:t xml:space="preserve"> / иным активам, оцениваемым в целях создания резервов на возможные потери</w:t>
      </w:r>
      <w:r w:rsidR="0090648E" w:rsidRPr="005A1F62">
        <w:t>,</w:t>
      </w:r>
      <w:r w:rsidRPr="005A1F62">
        <w:t xml:space="preserve"> / внебалансовым обязательствам. К достоверным источникам </w:t>
      </w:r>
      <w:r w:rsidR="007D0D03" w:rsidRPr="005A1F62">
        <w:t>относятся</w:t>
      </w:r>
      <w:r w:rsidR="0090648E" w:rsidRPr="005A1F62">
        <w:t>:</w:t>
      </w:r>
      <w:r w:rsidR="007D0D03" w:rsidRPr="005A1F62">
        <w:t xml:space="preserve"> 1) требования Банка России</w:t>
      </w:r>
      <w:r w:rsidRPr="005A1F62">
        <w:t xml:space="preserve"> к другим банкам увеличить резерв по заемщику, который также кредитуется и в рейтингуемом банке, при этом рейтингуемый банк создает меньший расчетный резерв; 2) наличие информации о допущении просроченной задолженности заемщиком в других банках, при этом в рейтингуемом банке просроченной задолженности пока нет в силу иного графика платежей (например, у другого банка этот заемщик допустил просроченную задолженность, а у объекта рейтинга резерв создан </w:t>
      </w:r>
      <w:r w:rsidR="007D0D03" w:rsidRPr="005A1F62">
        <w:t xml:space="preserve">в размере </w:t>
      </w:r>
      <w:r w:rsidRPr="005A1F62">
        <w:t>1%).</w:t>
      </w:r>
    </w:p>
    <w:p w14:paraId="0999A5E1" w14:textId="0B105A7E" w:rsidR="005E77F9" w:rsidRPr="005A1F62" w:rsidRDefault="005E77F9" w:rsidP="008B2D47">
      <w:pPr>
        <w:numPr>
          <w:ilvl w:val="0"/>
          <w:numId w:val="6"/>
        </w:numPr>
        <w:tabs>
          <w:tab w:val="clear" w:pos="720"/>
          <w:tab w:val="left" w:pos="709"/>
        </w:tabs>
        <w:ind w:left="0" w:firstLine="567"/>
        <w:jc w:val="both"/>
      </w:pPr>
      <w:r w:rsidRPr="005A1F62">
        <w:t xml:space="preserve">При активной практике цессий проблемного </w:t>
      </w:r>
      <w:r w:rsidR="007D0D03" w:rsidRPr="005A1F62">
        <w:t>кредитного портфеля с отсрочкой платежа по сделке</w:t>
      </w:r>
      <w:r w:rsidRPr="005A1F62">
        <w:t>, при которой на балансе банка надолго остается слабо покрытая резервами дебиторская задолженност</w:t>
      </w:r>
      <w:r w:rsidR="007D0D03" w:rsidRPr="005A1F62">
        <w:t>ь. Кредитный риск по такой задолженности, как правило, полностью принимается в уменьшение нормативов достаточности капитала.</w:t>
      </w:r>
    </w:p>
    <w:p w14:paraId="5FCB0BD7" w14:textId="173B3879" w:rsidR="009B681E" w:rsidRPr="005A1F62" w:rsidRDefault="005E77F9" w:rsidP="008B2D47">
      <w:pPr>
        <w:numPr>
          <w:ilvl w:val="0"/>
          <w:numId w:val="6"/>
        </w:numPr>
        <w:tabs>
          <w:tab w:val="clear" w:pos="720"/>
          <w:tab w:val="left" w:pos="709"/>
        </w:tabs>
        <w:ind w:left="0" w:firstLine="567"/>
        <w:jc w:val="both"/>
      </w:pPr>
      <w:r w:rsidRPr="005A1F62">
        <w:t>При высокой доле</w:t>
      </w:r>
      <w:r w:rsidR="009C6F34" w:rsidRPr="005A1F62">
        <w:t xml:space="preserve"> ссуд</w:t>
      </w:r>
      <w:r w:rsidR="007D0D03" w:rsidRPr="005A1F62">
        <w:t>, классифицированных в соответствии с п.</w:t>
      </w:r>
      <w:r w:rsidRPr="005A1F62">
        <w:t xml:space="preserve"> 3.12.3 </w:t>
      </w:r>
      <w:r w:rsidR="007D0D03" w:rsidRPr="005A1F62">
        <w:t xml:space="preserve">Положения Банка России №590-П </w:t>
      </w:r>
      <w:r w:rsidRPr="005A1F62">
        <w:t>(ссуды, выданные заемщикам с признаками отсутствия реальной деятельности, деятельность которых признана реальной правлением (или другим уполномоченным органом банка) с направлением соответствующих докумен</w:t>
      </w:r>
      <w:r w:rsidR="007D0D03" w:rsidRPr="005A1F62">
        <w:t>тов (протоколы, заключения) в Банк России</w:t>
      </w:r>
      <w:r w:rsidRPr="005A1F62">
        <w:t>)</w:t>
      </w:r>
      <w:r w:rsidR="0090648E" w:rsidRPr="005A1F62">
        <w:t>,</w:t>
      </w:r>
      <w:r w:rsidR="001A2F7B" w:rsidRPr="005A1F62">
        <w:t xml:space="preserve"> в портфеле ссуд </w:t>
      </w:r>
      <w:r w:rsidR="0090648E" w:rsidRPr="005A1F62">
        <w:t>юридических лиц (ЮЛ) и индивидуальных предпринимателей (ИП)</w:t>
      </w:r>
      <w:r w:rsidRPr="005A1F62">
        <w:t>.</w:t>
      </w:r>
    </w:p>
    <w:bookmarkEnd w:id="74"/>
    <w:p w14:paraId="5F553F47" w14:textId="77777777" w:rsidR="005E77F9" w:rsidRPr="005A1F62" w:rsidRDefault="005E77F9" w:rsidP="00DC2FED">
      <w:pPr>
        <w:tabs>
          <w:tab w:val="left" w:pos="709"/>
        </w:tabs>
        <w:ind w:firstLine="567"/>
        <w:jc w:val="both"/>
      </w:pPr>
    </w:p>
    <w:p w14:paraId="0B92204F" w14:textId="77777777" w:rsidR="009B681E" w:rsidRPr="005A1F62" w:rsidRDefault="009B681E" w:rsidP="00DC2FED">
      <w:pPr>
        <w:tabs>
          <w:tab w:val="left" w:pos="709"/>
        </w:tabs>
        <w:ind w:firstLine="567"/>
        <w:jc w:val="both"/>
        <w:rPr>
          <w:b/>
          <w:i/>
        </w:rPr>
      </w:pPr>
      <w:bookmarkStart w:id="75" w:name="_Toc343776097"/>
      <w:bookmarkStart w:id="76" w:name="_Toc343789692"/>
      <w:bookmarkStart w:id="77" w:name="_Toc345958533"/>
      <w:bookmarkStart w:id="78" w:name="_Toc345959904"/>
      <w:bookmarkStart w:id="79" w:name="_Toc348096071"/>
      <w:bookmarkStart w:id="80" w:name="_Toc351042292"/>
      <w:bookmarkStart w:id="81" w:name="_Toc351049901"/>
      <w:bookmarkStart w:id="82" w:name="_Toc354832061"/>
      <w:bookmarkStart w:id="83" w:name="_Toc354832431"/>
      <w:r w:rsidRPr="005A1F62">
        <w:rPr>
          <w:b/>
          <w:i/>
        </w:rPr>
        <w:t xml:space="preserve">Учет в баллах </w:t>
      </w:r>
      <w:r w:rsidR="00EB7EC1" w:rsidRPr="005A1F62">
        <w:rPr>
          <w:b/>
          <w:i/>
        </w:rPr>
        <w:t xml:space="preserve">предстоящей </w:t>
      </w:r>
      <w:r w:rsidRPr="005A1F62">
        <w:rPr>
          <w:b/>
          <w:i/>
        </w:rPr>
        <w:t>докапитализации</w:t>
      </w:r>
      <w:bookmarkEnd w:id="75"/>
      <w:bookmarkEnd w:id="76"/>
      <w:bookmarkEnd w:id="77"/>
      <w:bookmarkEnd w:id="78"/>
      <w:bookmarkEnd w:id="79"/>
      <w:bookmarkEnd w:id="80"/>
      <w:bookmarkEnd w:id="81"/>
      <w:bookmarkEnd w:id="82"/>
      <w:bookmarkEnd w:id="83"/>
    </w:p>
    <w:p w14:paraId="20D6DA0C" w14:textId="7885E172" w:rsidR="009B681E" w:rsidRPr="005A1F62" w:rsidRDefault="009B681E" w:rsidP="00DC2FED">
      <w:pPr>
        <w:tabs>
          <w:tab w:val="left" w:pos="709"/>
        </w:tabs>
        <w:ind w:firstLine="567"/>
        <w:jc w:val="both"/>
      </w:pPr>
      <w:bookmarkStart w:id="84" w:name="_Toc343776098"/>
      <w:bookmarkStart w:id="85" w:name="_Toc343789693"/>
      <w:bookmarkStart w:id="86" w:name="_Toc345958534"/>
      <w:bookmarkStart w:id="87" w:name="_Toc345959905"/>
      <w:bookmarkStart w:id="88" w:name="_Toc348096072"/>
      <w:bookmarkStart w:id="89" w:name="_Toc351042293"/>
      <w:bookmarkStart w:id="90" w:name="_Toc351049902"/>
      <w:bookmarkStart w:id="91" w:name="_Toc354832062"/>
      <w:bookmarkStart w:id="92" w:name="_Toc354832432"/>
      <w:r w:rsidRPr="005A1F62">
        <w:t xml:space="preserve">В случае если выполняются одновременно </w:t>
      </w:r>
      <w:r w:rsidR="00F9364F" w:rsidRPr="005A1F62">
        <w:t xml:space="preserve">два </w:t>
      </w:r>
      <w:r w:rsidRPr="005A1F62">
        <w:t>условия:</w:t>
      </w:r>
      <w:bookmarkEnd w:id="84"/>
      <w:bookmarkEnd w:id="85"/>
      <w:bookmarkEnd w:id="86"/>
      <w:bookmarkEnd w:id="87"/>
      <w:bookmarkEnd w:id="88"/>
      <w:bookmarkEnd w:id="89"/>
      <w:bookmarkEnd w:id="90"/>
      <w:bookmarkEnd w:id="91"/>
      <w:bookmarkEnd w:id="92"/>
      <w:r w:rsidR="004E641A" w:rsidRPr="005A1F62">
        <w:t xml:space="preserve"> </w:t>
      </w:r>
      <w:bookmarkStart w:id="93" w:name="_Toc343776099"/>
      <w:bookmarkStart w:id="94" w:name="_Toc343789694"/>
      <w:bookmarkStart w:id="95" w:name="_Toc345958535"/>
      <w:bookmarkStart w:id="96" w:name="_Toc345959906"/>
      <w:bookmarkStart w:id="97" w:name="_Toc348096073"/>
      <w:bookmarkStart w:id="98" w:name="_Toc351042294"/>
      <w:bookmarkStart w:id="99" w:name="_Toc351049903"/>
      <w:bookmarkStart w:id="100" w:name="_Toc354832063"/>
      <w:bookmarkStart w:id="101" w:name="_Toc354832433"/>
      <w:r w:rsidRPr="005A1F62">
        <w:t>деньги на докапитализацию уже</w:t>
      </w:r>
      <w:r w:rsidR="00A070CE" w:rsidRPr="005A1F62">
        <w:t xml:space="preserve"> находятся</w:t>
      </w:r>
      <w:r w:rsidRPr="005A1F62">
        <w:t xml:space="preserve"> в банке (могут отражаться на счет</w:t>
      </w:r>
      <w:r w:rsidR="00F9364F" w:rsidRPr="005A1F62">
        <w:t>ах</w:t>
      </w:r>
      <w:r w:rsidRPr="005A1F62">
        <w:t xml:space="preserve"> 47422 «Обязательства по прочим операциям», 60322 «Расчеты с прочими кредиторами»), но еще не отражены в отчетности как капитал</w:t>
      </w:r>
      <w:r w:rsidR="004E641A" w:rsidRPr="005A1F62">
        <w:t xml:space="preserve">. При этом </w:t>
      </w:r>
      <w:bookmarkStart w:id="102" w:name="_Toc354832064"/>
      <w:bookmarkStart w:id="103" w:name="_Toc354832434"/>
      <w:bookmarkStart w:id="104" w:name="_Toc343776101"/>
      <w:bookmarkStart w:id="105" w:name="_Toc343789696"/>
      <w:bookmarkStart w:id="106" w:name="_Toc345958537"/>
      <w:bookmarkStart w:id="107" w:name="_Toc345959908"/>
      <w:bookmarkStart w:id="108" w:name="_Toc348096075"/>
      <w:bookmarkStart w:id="109" w:name="_Toc351049905"/>
      <w:bookmarkEnd w:id="93"/>
      <w:bookmarkEnd w:id="94"/>
      <w:bookmarkEnd w:id="95"/>
      <w:bookmarkEnd w:id="96"/>
      <w:bookmarkEnd w:id="97"/>
      <w:bookmarkEnd w:id="98"/>
      <w:bookmarkEnd w:id="99"/>
      <w:bookmarkEnd w:id="100"/>
      <w:bookmarkEnd w:id="101"/>
      <w:r w:rsidR="00F9364F" w:rsidRPr="005A1F62">
        <w:t xml:space="preserve">аналитик </w:t>
      </w:r>
      <w:r w:rsidRPr="005A1F62">
        <w:t xml:space="preserve">оценивает нормативы достаточности собственных средств, которые были бы, если бы докапитализация уже завершилась, проводит оценку балла за достаточность капитала с учетом такого предположения, затем </w:t>
      </w:r>
      <w:r w:rsidR="00A070CE" w:rsidRPr="005A1F62">
        <w:t>выставляет</w:t>
      </w:r>
      <w:r w:rsidR="00CD78CF" w:rsidRPr="005A1F62">
        <w:t xml:space="preserve"> </w:t>
      </w:r>
      <w:r w:rsidRPr="005A1F62">
        <w:t xml:space="preserve">балл за достаточность капитала как среднее между фактическим и гипотетическим </w:t>
      </w:r>
      <w:r w:rsidR="0090648E" w:rsidRPr="005A1F62">
        <w:t>баллами</w:t>
      </w:r>
      <w:r w:rsidRPr="005A1F62">
        <w:t>.</w:t>
      </w:r>
      <w:bookmarkEnd w:id="102"/>
      <w:bookmarkEnd w:id="103"/>
      <w:bookmarkEnd w:id="104"/>
      <w:bookmarkEnd w:id="105"/>
      <w:bookmarkEnd w:id="106"/>
      <w:bookmarkEnd w:id="107"/>
      <w:bookmarkEnd w:id="108"/>
      <w:bookmarkEnd w:id="109"/>
      <w:r w:rsidRPr="005A1F62">
        <w:t xml:space="preserve"> </w:t>
      </w:r>
    </w:p>
    <w:p w14:paraId="6D77B8BA" w14:textId="77777777" w:rsidR="009B681E" w:rsidRPr="005A1F62" w:rsidRDefault="009B681E" w:rsidP="00DC2FED">
      <w:pPr>
        <w:tabs>
          <w:tab w:val="left" w:pos="709"/>
        </w:tabs>
        <w:ind w:firstLine="567"/>
      </w:pPr>
    </w:p>
    <w:p w14:paraId="24F6A485" w14:textId="39FE9E25" w:rsidR="009B681E" w:rsidRPr="005A1F62" w:rsidRDefault="009B681E" w:rsidP="008B2D47">
      <w:pPr>
        <w:pStyle w:val="3"/>
        <w:numPr>
          <w:ilvl w:val="1"/>
          <w:numId w:val="13"/>
        </w:numPr>
        <w:tabs>
          <w:tab w:val="left" w:pos="709"/>
        </w:tabs>
        <w:spacing w:before="0" w:after="0"/>
        <w:ind w:left="0" w:firstLine="567"/>
        <w:jc w:val="both"/>
        <w:rPr>
          <w:rFonts w:ascii="Times New Roman" w:hAnsi="Times New Roman" w:cs="Times New Roman"/>
        </w:rPr>
      </w:pPr>
      <w:bookmarkStart w:id="110" w:name="_Toc459363750"/>
      <w:bookmarkStart w:id="111" w:name="_Toc44433455"/>
      <w:bookmarkStart w:id="112" w:name="_Toc277183405"/>
      <w:bookmarkStart w:id="113" w:name="_Toc343776102"/>
      <w:r w:rsidRPr="005A1F62">
        <w:rPr>
          <w:rFonts w:ascii="Times New Roman" w:hAnsi="Times New Roman" w:cs="Times New Roman"/>
        </w:rPr>
        <w:t xml:space="preserve">Устойчивость капитала к реализации кредитных </w:t>
      </w:r>
      <w:r w:rsidR="00EE1019" w:rsidRPr="005A1F62">
        <w:rPr>
          <w:rFonts w:ascii="Times New Roman" w:hAnsi="Times New Roman" w:cs="Times New Roman"/>
        </w:rPr>
        <w:t xml:space="preserve">и рыночных </w:t>
      </w:r>
      <w:r w:rsidRPr="005A1F62">
        <w:rPr>
          <w:rFonts w:ascii="Times New Roman" w:hAnsi="Times New Roman" w:cs="Times New Roman"/>
        </w:rPr>
        <w:t>рисков</w:t>
      </w:r>
      <w:bookmarkEnd w:id="110"/>
      <w:bookmarkEnd w:id="111"/>
    </w:p>
    <w:p w14:paraId="7805B6D2" w14:textId="77777777" w:rsidR="0062539F" w:rsidRPr="005A1F62" w:rsidRDefault="0062539F" w:rsidP="0062539F"/>
    <w:p w14:paraId="5E074B49" w14:textId="680B6A52" w:rsidR="00C00769" w:rsidRPr="005A1F62" w:rsidRDefault="00C00769" w:rsidP="00DC2FED">
      <w:pPr>
        <w:tabs>
          <w:tab w:val="left" w:pos="709"/>
        </w:tabs>
        <w:ind w:firstLine="567"/>
        <w:jc w:val="both"/>
      </w:pPr>
      <w:r w:rsidRPr="005A1F62">
        <w:rPr>
          <w:u w:val="single"/>
        </w:rPr>
        <w:t>Цель оценки</w:t>
      </w:r>
      <w:r w:rsidR="0090648E" w:rsidRPr="005A1F62">
        <w:rPr>
          <w:u w:val="single"/>
        </w:rPr>
        <w:t>:</w:t>
      </w:r>
      <w:r w:rsidR="0090648E" w:rsidRPr="005A1F62">
        <w:t xml:space="preserve"> о</w:t>
      </w:r>
      <w:r w:rsidRPr="005A1F62">
        <w:t>пределить, какой размер убытков от обесценения активов при реализации кредитных и рыночных рисков может быть абсорбирован буфером капитала банка без нарушения регулятивных требований.</w:t>
      </w:r>
    </w:p>
    <w:p w14:paraId="58E01E00" w14:textId="77777777" w:rsidR="00C00769" w:rsidRPr="005A1F62" w:rsidRDefault="00C00769" w:rsidP="00DC2FED">
      <w:pPr>
        <w:tabs>
          <w:tab w:val="left" w:pos="709"/>
        </w:tabs>
        <w:ind w:firstLine="567"/>
        <w:jc w:val="both"/>
      </w:pPr>
      <w:r w:rsidRPr="005A1F62">
        <w:lastRenderedPageBreak/>
        <w:t>Фактор дополняет оценку достаточности капитала, но в отличие от нее учитывает также структуру активов под риском и концентрацию кредитных и рыночных рисков.</w:t>
      </w:r>
    </w:p>
    <w:p w14:paraId="28EBCC81" w14:textId="77777777" w:rsidR="00C00769" w:rsidRPr="005A1F62" w:rsidRDefault="00C00769" w:rsidP="00DC2FED">
      <w:pPr>
        <w:tabs>
          <w:tab w:val="left" w:pos="709"/>
        </w:tabs>
        <w:ind w:firstLine="567"/>
        <w:contextualSpacing/>
        <w:jc w:val="both"/>
      </w:pPr>
    </w:p>
    <w:p w14:paraId="791136EB" w14:textId="77777777" w:rsidR="00C00769" w:rsidRPr="005A1F62" w:rsidRDefault="00C00769" w:rsidP="00DC2FED">
      <w:pPr>
        <w:tabs>
          <w:tab w:val="left" w:pos="709"/>
        </w:tabs>
        <w:ind w:firstLine="567"/>
      </w:pPr>
      <w:r w:rsidRPr="005A1F62">
        <w:rPr>
          <w:u w:val="single"/>
        </w:rPr>
        <w:t>Алгоритм выставления оценки</w:t>
      </w:r>
    </w:p>
    <w:p w14:paraId="2474CF35" w14:textId="2815F09D" w:rsidR="00C00769" w:rsidRPr="005A1F62" w:rsidRDefault="00C00769" w:rsidP="00DC2FED">
      <w:pPr>
        <w:tabs>
          <w:tab w:val="left" w:pos="709"/>
        </w:tabs>
        <w:ind w:firstLine="567"/>
        <w:contextualSpacing/>
        <w:jc w:val="both"/>
      </w:pPr>
      <w:r w:rsidRPr="005A1F62">
        <w:t xml:space="preserve">Балл за устойчивость капитала к реализации кредитных и рыночных рисков определяется как минимум из двух оценок: за устойчивость капитала к обесценению активов </w:t>
      </w:r>
      <w:r w:rsidR="004A756E" w:rsidRPr="005A1F62">
        <w:t xml:space="preserve">и условных обязательств кредитного характера </w:t>
      </w:r>
      <w:r w:rsidRPr="005A1F62">
        <w:t>под риском и за устойчивость капитала к реализации крупных кредитных рисков. Данные показатели относятся к показателям с «непрерывным коротким хвостом»: оценка базируется на непрерывном анализе динамики за пять последних месячных дат. Оценка за последнюю месячную дату учитывается с весом 0,4; оценки на две даты, предшествующие последней месячной, – с весом 0,2 каждая; на четвертую и пятую месячную дату до последней – с весом 0,1 за каждую оценку. Вес фактора «устойчивость капитала к реализации кредитных и рыночных рисков» составляет 5%.</w:t>
      </w:r>
    </w:p>
    <w:p w14:paraId="518F5B53" w14:textId="5F4B1E4F" w:rsidR="00C00769" w:rsidRPr="005A1F62" w:rsidRDefault="00C00769" w:rsidP="00DC2FED">
      <w:pPr>
        <w:tabs>
          <w:tab w:val="left" w:pos="709"/>
        </w:tabs>
        <w:ind w:firstLine="567"/>
        <w:jc w:val="both"/>
      </w:pPr>
      <w:r w:rsidRPr="005A1F62">
        <w:t>Балл за устойчивость</w:t>
      </w:r>
      <w:r w:rsidR="004A756E" w:rsidRPr="005A1F62">
        <w:t xml:space="preserve"> капитала к обесценению активов и условных обязательств кредитного характера </w:t>
      </w:r>
      <w:r w:rsidRPr="005A1F62">
        <w:t xml:space="preserve">под риском представляет собой непрерывную линейную оценку доли активов под риском, обесценение которой приведет к снижению до регулятивного минимума любого из нормативов достаточности </w:t>
      </w:r>
      <w:r w:rsidR="007E78FF" w:rsidRPr="005A1F62">
        <w:t xml:space="preserve">капитала </w:t>
      </w:r>
      <w:r w:rsidRPr="005A1F62">
        <w:t>или снижению абсолютной величины капитала до минимально допустимого уровня.</w:t>
      </w:r>
    </w:p>
    <w:p w14:paraId="03AF7205" w14:textId="79EF69B6" w:rsidR="00C00769" w:rsidRPr="005A1F62" w:rsidRDefault="00C00769" w:rsidP="00DC2FED">
      <w:pPr>
        <w:tabs>
          <w:tab w:val="left" w:pos="709"/>
        </w:tabs>
        <w:ind w:firstLine="567"/>
        <w:jc w:val="both"/>
      </w:pPr>
      <w:r w:rsidRPr="005A1F62">
        <w:t xml:space="preserve">В числителе показателя </w:t>
      </w:r>
      <w:r w:rsidR="009B3565" w:rsidRPr="005A1F62">
        <w:t xml:space="preserve">– </w:t>
      </w:r>
      <w:r w:rsidRPr="005A1F62">
        <w:t>минимальный из запасов прочности по нормативам достаточности капитал</w:t>
      </w:r>
      <w:r w:rsidR="007E78FF" w:rsidRPr="005A1F62">
        <w:t xml:space="preserve">а </w:t>
      </w:r>
      <w:r w:rsidRPr="005A1F62">
        <w:t>и абсолютной величине капитала, которые рассчитываются по следующим формулам.</w:t>
      </w:r>
    </w:p>
    <w:p w14:paraId="1216DDEB" w14:textId="77777777" w:rsidR="00887895" w:rsidRPr="005A1F62" w:rsidRDefault="00887895" w:rsidP="00DC2FED">
      <w:pPr>
        <w:tabs>
          <w:tab w:val="left" w:pos="709"/>
        </w:tabs>
        <w:ind w:firstLine="567"/>
        <w:jc w:val="both"/>
      </w:pPr>
    </w:p>
    <w:tbl>
      <w:tblPr>
        <w:tblStyle w:val="af0"/>
        <w:tblW w:w="5000" w:type="pct"/>
        <w:tblLook w:val="04A0" w:firstRow="1" w:lastRow="0" w:firstColumn="1" w:lastColumn="0" w:noHBand="0" w:noVBand="1"/>
      </w:tblPr>
      <w:tblGrid>
        <w:gridCol w:w="2183"/>
        <w:gridCol w:w="7162"/>
      </w:tblGrid>
      <w:tr w:rsidR="00C00769" w:rsidRPr="005A1F62" w14:paraId="750B0C5B" w14:textId="77777777" w:rsidTr="00780090">
        <w:tc>
          <w:tcPr>
            <w:tcW w:w="1168" w:type="pct"/>
          </w:tcPr>
          <w:p w14:paraId="7CB5EEBF" w14:textId="77777777" w:rsidR="00C00769" w:rsidRPr="005A1F62" w:rsidRDefault="00C00769" w:rsidP="00DC2FED">
            <w:pPr>
              <w:tabs>
                <w:tab w:val="left" w:pos="709"/>
              </w:tabs>
              <w:jc w:val="both"/>
            </w:pPr>
            <w:r w:rsidRPr="005A1F62">
              <w:t>Показатель</w:t>
            </w:r>
          </w:p>
        </w:tc>
        <w:tc>
          <w:tcPr>
            <w:tcW w:w="3832" w:type="pct"/>
          </w:tcPr>
          <w:p w14:paraId="6A9519C8" w14:textId="77777777" w:rsidR="00C00769" w:rsidRPr="005A1F62" w:rsidRDefault="00C00769" w:rsidP="00DC2FED">
            <w:pPr>
              <w:tabs>
                <w:tab w:val="left" w:pos="709"/>
              </w:tabs>
              <w:jc w:val="both"/>
            </w:pPr>
            <w:r w:rsidRPr="005A1F62">
              <w:t>Буфер капитала (убыток от обесценения активов, который приведет к снижению показателя до регулятивного минимума)</w:t>
            </w:r>
          </w:p>
        </w:tc>
      </w:tr>
      <w:tr w:rsidR="00C00769" w:rsidRPr="005A1F62" w14:paraId="3C9BDC95" w14:textId="77777777" w:rsidTr="00780090">
        <w:tc>
          <w:tcPr>
            <w:tcW w:w="1168" w:type="pct"/>
          </w:tcPr>
          <w:p w14:paraId="43E6052E" w14:textId="77777777" w:rsidR="00C00769" w:rsidRPr="005A1F62" w:rsidRDefault="00C00769" w:rsidP="00DC2FED">
            <w:pPr>
              <w:tabs>
                <w:tab w:val="left" w:pos="709"/>
              </w:tabs>
              <w:jc w:val="both"/>
            </w:pPr>
            <w:r w:rsidRPr="005A1F62">
              <w:t>Н1.1</w:t>
            </w:r>
          </w:p>
        </w:tc>
        <w:tc>
          <w:tcPr>
            <w:tcW w:w="3832" w:type="pct"/>
          </w:tcPr>
          <w:p w14:paraId="6A6194F1" w14:textId="70E8B689" w:rsidR="00C00769" w:rsidRPr="005A1F62" w:rsidRDefault="00C00769" w:rsidP="00DC2FED">
            <w:pPr>
              <w:tabs>
                <w:tab w:val="left" w:pos="709"/>
              </w:tabs>
              <w:jc w:val="both"/>
            </w:pPr>
            <w:r w:rsidRPr="005A1F62">
              <w:t xml:space="preserve">(Базовый капитал + </w:t>
            </w:r>
            <w:r w:rsidR="00887895" w:rsidRPr="005A1F62">
              <w:t xml:space="preserve">прибыль </w:t>
            </w:r>
            <w:r w:rsidRPr="005A1F62">
              <w:t xml:space="preserve">текущего года, не подтвержденная аудитором </w:t>
            </w:r>
            <w:r w:rsidR="00E4631E" w:rsidRPr="005A1F62">
              <w:t xml:space="preserve">+ прибыль прошлых лет, не подтвержденная аудитором </w:t>
            </w:r>
            <w:r w:rsidRPr="005A1F62">
              <w:t xml:space="preserve">– 0,045 * </w:t>
            </w:r>
            <w:r w:rsidR="00887895" w:rsidRPr="005A1F62">
              <w:t xml:space="preserve">знаменатель </w:t>
            </w:r>
            <w:r w:rsidRPr="005A1F62">
              <w:t>норматива Н1.1) / 0,955</w:t>
            </w:r>
          </w:p>
        </w:tc>
      </w:tr>
      <w:tr w:rsidR="00C00769" w:rsidRPr="005A1F62" w14:paraId="0818CE62" w14:textId="77777777" w:rsidTr="00780090">
        <w:tc>
          <w:tcPr>
            <w:tcW w:w="1168" w:type="pct"/>
          </w:tcPr>
          <w:p w14:paraId="426A23B5" w14:textId="77777777" w:rsidR="00C00769" w:rsidRPr="005A1F62" w:rsidRDefault="00C00769" w:rsidP="00DC2FED">
            <w:pPr>
              <w:tabs>
                <w:tab w:val="left" w:pos="709"/>
              </w:tabs>
              <w:jc w:val="both"/>
            </w:pPr>
            <w:r w:rsidRPr="005A1F62">
              <w:t>Н1.2</w:t>
            </w:r>
          </w:p>
        </w:tc>
        <w:tc>
          <w:tcPr>
            <w:tcW w:w="3832" w:type="pct"/>
          </w:tcPr>
          <w:p w14:paraId="7CE8BFF3" w14:textId="5E8FAE68" w:rsidR="00C00769" w:rsidRPr="005A1F62" w:rsidRDefault="00C00769" w:rsidP="00DC2FED">
            <w:pPr>
              <w:tabs>
                <w:tab w:val="left" w:pos="709"/>
              </w:tabs>
              <w:jc w:val="both"/>
            </w:pPr>
            <w:r w:rsidRPr="005A1F62">
              <w:t xml:space="preserve">(Основной капитал + </w:t>
            </w:r>
            <w:r w:rsidR="00887895" w:rsidRPr="005A1F62">
              <w:t xml:space="preserve">прибыль </w:t>
            </w:r>
            <w:r w:rsidRPr="005A1F62">
              <w:t xml:space="preserve">текущего года, не подтвержденная аудитором </w:t>
            </w:r>
            <w:r w:rsidR="00E4631E" w:rsidRPr="005A1F62">
              <w:t xml:space="preserve">+ прибыль прошлых лет, не подтвержденная аудитором </w:t>
            </w:r>
            <w:r w:rsidRPr="005A1F62">
              <w:t xml:space="preserve">– 0,06 * </w:t>
            </w:r>
            <w:r w:rsidR="00887895" w:rsidRPr="005A1F62">
              <w:t xml:space="preserve">знаменатель </w:t>
            </w:r>
            <w:r w:rsidRPr="005A1F62">
              <w:t>норматива Н1.2) / 0,94</w:t>
            </w:r>
          </w:p>
        </w:tc>
      </w:tr>
      <w:tr w:rsidR="00C00769" w:rsidRPr="005A1F62" w14:paraId="156C8354" w14:textId="77777777" w:rsidTr="00780090">
        <w:tc>
          <w:tcPr>
            <w:tcW w:w="1168" w:type="pct"/>
          </w:tcPr>
          <w:p w14:paraId="3AB237E1" w14:textId="77777777" w:rsidR="00C00769" w:rsidRPr="005A1F62" w:rsidRDefault="00C00769" w:rsidP="00DC2FED">
            <w:pPr>
              <w:tabs>
                <w:tab w:val="left" w:pos="709"/>
              </w:tabs>
              <w:jc w:val="both"/>
            </w:pPr>
            <w:r w:rsidRPr="005A1F62">
              <w:t>Н1.0</w:t>
            </w:r>
          </w:p>
        </w:tc>
        <w:tc>
          <w:tcPr>
            <w:tcW w:w="3832" w:type="pct"/>
          </w:tcPr>
          <w:p w14:paraId="62168801" w14:textId="542B1961" w:rsidR="00C00769" w:rsidRPr="005A1F62" w:rsidRDefault="00C00769" w:rsidP="00DC2FED">
            <w:pPr>
              <w:tabs>
                <w:tab w:val="left" w:pos="709"/>
              </w:tabs>
              <w:jc w:val="both"/>
            </w:pPr>
            <w:r w:rsidRPr="005A1F62">
              <w:t xml:space="preserve">(Капитал – 0,08 * </w:t>
            </w:r>
            <w:r w:rsidR="00887895" w:rsidRPr="005A1F62">
              <w:t xml:space="preserve">знаменатель </w:t>
            </w:r>
            <w:r w:rsidRPr="005A1F62">
              <w:t>норматива Н1.0) / 0,92</w:t>
            </w:r>
          </w:p>
        </w:tc>
      </w:tr>
      <w:tr w:rsidR="00C00769" w:rsidRPr="005A1F62" w14:paraId="79C13D2E" w14:textId="77777777" w:rsidTr="00780090">
        <w:tc>
          <w:tcPr>
            <w:tcW w:w="1168" w:type="pct"/>
          </w:tcPr>
          <w:p w14:paraId="1BB5B89A" w14:textId="77777777" w:rsidR="00C00769" w:rsidRPr="005A1F62" w:rsidRDefault="00C00769" w:rsidP="00DC2FED">
            <w:pPr>
              <w:tabs>
                <w:tab w:val="left" w:pos="709"/>
              </w:tabs>
              <w:jc w:val="both"/>
            </w:pPr>
            <w:r w:rsidRPr="005A1F62">
              <w:t>Абсолютная величина капитала</w:t>
            </w:r>
          </w:p>
        </w:tc>
        <w:tc>
          <w:tcPr>
            <w:tcW w:w="3832" w:type="pct"/>
          </w:tcPr>
          <w:p w14:paraId="2577A352" w14:textId="73FBC868" w:rsidR="00C00769" w:rsidRPr="005A1F62" w:rsidRDefault="00C00769" w:rsidP="00DC2FED">
            <w:pPr>
              <w:tabs>
                <w:tab w:val="left" w:pos="709"/>
              </w:tabs>
              <w:jc w:val="both"/>
            </w:pPr>
            <w:r w:rsidRPr="005A1F62">
              <w:t>Капитал – 300 млн руб</w:t>
            </w:r>
            <w:r w:rsidR="00887895" w:rsidRPr="005A1F62">
              <w:t>лей</w:t>
            </w:r>
          </w:p>
        </w:tc>
      </w:tr>
    </w:tbl>
    <w:p w14:paraId="63013E7F" w14:textId="77777777" w:rsidR="00887895" w:rsidRPr="005A1F62" w:rsidRDefault="00887895" w:rsidP="00DC2FED">
      <w:pPr>
        <w:pStyle w:val="aff0"/>
        <w:ind w:firstLine="851"/>
        <w:jc w:val="both"/>
      </w:pPr>
    </w:p>
    <w:p w14:paraId="0554F6FD" w14:textId="6B9D4336" w:rsidR="00C00769" w:rsidRPr="005A1F62" w:rsidRDefault="00C00769" w:rsidP="006A777B">
      <w:pPr>
        <w:pStyle w:val="aff0"/>
        <w:ind w:firstLine="567"/>
        <w:jc w:val="both"/>
      </w:pPr>
      <w:r w:rsidRPr="005A1F62">
        <w:t>Расчет запаса прочности по нор</w:t>
      </w:r>
      <w:r w:rsidR="00E4631E" w:rsidRPr="005A1F62">
        <w:t xml:space="preserve">мативам Н1.1, Н1.2, и Н1.0 </w:t>
      </w:r>
      <w:r w:rsidRPr="005A1F62">
        <w:t xml:space="preserve">осуществляется исходя из уменьшения капитала на величину убытка от обесценения активов и соответствующего сокращения величины активов под риском. При этом учитывается, что убыток от обесценения активов окажет влияние на базовый и основной капитал только после полной потери прибыли текущего года, не подтвержденной аудитором, </w:t>
      </w:r>
      <w:r w:rsidR="00AD25CE" w:rsidRPr="005A1F62">
        <w:t>и прибыли пр</w:t>
      </w:r>
      <w:r w:rsidR="00B9627F" w:rsidRPr="005A1F62">
        <w:t>ошлых</w:t>
      </w:r>
      <w:r w:rsidR="00AD25CE" w:rsidRPr="005A1F62">
        <w:t xml:space="preserve"> лет, не подтвержденной аудитором, которые учитываются</w:t>
      </w:r>
      <w:r w:rsidRPr="005A1F62">
        <w:t xml:space="preserve"> в дополнительном капитале.</w:t>
      </w:r>
    </w:p>
    <w:p w14:paraId="27940355" w14:textId="594B3EF8" w:rsidR="00C00769" w:rsidRPr="005A1F62" w:rsidRDefault="00C00769" w:rsidP="006A777B">
      <w:pPr>
        <w:pStyle w:val="aff0"/>
        <w:ind w:firstLine="567"/>
        <w:jc w:val="both"/>
      </w:pPr>
      <w:r w:rsidRPr="005A1F62">
        <w:t xml:space="preserve">В знаменателе показателя </w:t>
      </w:r>
      <w:r w:rsidR="009B3565" w:rsidRPr="005A1F62">
        <w:t xml:space="preserve">– </w:t>
      </w:r>
      <w:r w:rsidRPr="005A1F62">
        <w:t>активы, подверженные кредитному и рыночному риску, за вычетом сформированных резервов на возможные потери, отрицательной переоценки рыночных активов и безрисковых активов / активов с минимальным кредитным риском</w:t>
      </w:r>
      <w:r w:rsidR="005965D8" w:rsidRPr="005A1F62">
        <w:t>, а также условные обязательства кредитного характера</w:t>
      </w:r>
      <w:r w:rsidRPr="005A1F62">
        <w:t>.</w:t>
      </w:r>
    </w:p>
    <w:p w14:paraId="745088ED" w14:textId="6DD09AAB" w:rsidR="00C00769" w:rsidRPr="005A1F62" w:rsidRDefault="004A756E" w:rsidP="006A777B">
      <w:pPr>
        <w:pStyle w:val="aff0"/>
        <w:ind w:firstLine="567"/>
        <w:jc w:val="both"/>
      </w:pPr>
      <w:r w:rsidRPr="005A1F62">
        <w:t xml:space="preserve">База активов и условных обязательств кредитного характера </w:t>
      </w:r>
      <w:r w:rsidR="00C00769" w:rsidRPr="005A1F62">
        <w:t>под риском рассчитывается как сумма следующих компонентов:</w:t>
      </w:r>
    </w:p>
    <w:p w14:paraId="50A1DD04" w14:textId="3BE28DBE" w:rsidR="00C00769" w:rsidRPr="005A1F62" w:rsidRDefault="009B3565" w:rsidP="005F2DA7">
      <w:pPr>
        <w:numPr>
          <w:ilvl w:val="0"/>
          <w:numId w:val="43"/>
        </w:numPr>
        <w:jc w:val="both"/>
      </w:pPr>
      <w:r w:rsidRPr="005A1F62">
        <w:t xml:space="preserve">ссудная </w:t>
      </w:r>
      <w:r w:rsidR="00C00769" w:rsidRPr="005A1F62">
        <w:t xml:space="preserve">задолженность (рассчитанная в соответствии с разработочной таблицей для построения бухгалтерского баланса по форме 0409806) за вычетом резервов на </w:t>
      </w:r>
      <w:r w:rsidR="00C00769" w:rsidRPr="005A1F62">
        <w:lastRenderedPageBreak/>
        <w:t>возможные потери по ссудам и за вычетом следующих безрисковых активов / активов с минимальным кредитным риском:</w:t>
      </w:r>
    </w:p>
    <w:p w14:paraId="6CA8B219" w14:textId="3C2290C5" w:rsidR="00C00769" w:rsidRPr="005A1F62" w:rsidRDefault="009B3565" w:rsidP="00B77A2B">
      <w:pPr>
        <w:numPr>
          <w:ilvl w:val="1"/>
          <w:numId w:val="43"/>
        </w:numPr>
        <w:jc w:val="both"/>
      </w:pPr>
      <w:r w:rsidRPr="005A1F62">
        <w:t xml:space="preserve">депозитов </w:t>
      </w:r>
      <w:r w:rsidR="00C00769" w:rsidRPr="005A1F62">
        <w:t>и прочих размещенных средств в Банке России</w:t>
      </w:r>
      <w:r w:rsidRPr="005A1F62">
        <w:t>,</w:t>
      </w:r>
    </w:p>
    <w:p w14:paraId="1EC56C82" w14:textId="2DD0D98E" w:rsidR="00C00769" w:rsidRPr="005A1F62" w:rsidRDefault="009B3565" w:rsidP="00B77A2B">
      <w:pPr>
        <w:numPr>
          <w:ilvl w:val="1"/>
          <w:numId w:val="43"/>
        </w:numPr>
        <w:jc w:val="both"/>
      </w:pPr>
      <w:r w:rsidRPr="005A1F62">
        <w:t>кредитов</w:t>
      </w:r>
      <w:r w:rsidR="00C00769" w:rsidRPr="005A1F62">
        <w:t>, предоставленных Минфину России</w:t>
      </w:r>
      <w:r w:rsidRPr="005A1F62">
        <w:t>,</w:t>
      </w:r>
    </w:p>
    <w:p w14:paraId="16E081C8" w14:textId="00102D34" w:rsidR="00C00769" w:rsidRPr="005A1F62" w:rsidRDefault="009B3565" w:rsidP="00B77A2B">
      <w:pPr>
        <w:numPr>
          <w:ilvl w:val="1"/>
          <w:numId w:val="43"/>
        </w:numPr>
        <w:jc w:val="both"/>
      </w:pPr>
      <w:r w:rsidRPr="005A1F62">
        <w:t>средств</w:t>
      </w:r>
      <w:r w:rsidR="00C00769" w:rsidRPr="005A1F62">
        <w:t>, предоставленных Федеральному казначейству</w:t>
      </w:r>
      <w:r w:rsidRPr="005A1F62">
        <w:t>,</w:t>
      </w:r>
    </w:p>
    <w:p w14:paraId="3DDFA53B" w14:textId="035F1A5C" w:rsidR="00C00769" w:rsidRPr="005A1F62" w:rsidRDefault="009B3565" w:rsidP="00B77A2B">
      <w:pPr>
        <w:numPr>
          <w:ilvl w:val="1"/>
          <w:numId w:val="43"/>
        </w:numPr>
        <w:jc w:val="both"/>
      </w:pPr>
      <w:r w:rsidRPr="005A1F62">
        <w:t xml:space="preserve">учтенных </w:t>
      </w:r>
      <w:r w:rsidR="00C00769" w:rsidRPr="005A1F62">
        <w:t xml:space="preserve">векселей федеральных органов исполнительной власти и </w:t>
      </w:r>
      <w:proofErr w:type="spellStart"/>
      <w:r w:rsidR="00C00769" w:rsidRPr="005A1F62">
        <w:t>авалированных</w:t>
      </w:r>
      <w:proofErr w:type="spellEnd"/>
      <w:r w:rsidR="00C00769" w:rsidRPr="005A1F62">
        <w:t xml:space="preserve"> ими</w:t>
      </w:r>
      <w:r w:rsidR="001760E9" w:rsidRPr="005A1F62">
        <w:t>;</w:t>
      </w:r>
    </w:p>
    <w:p w14:paraId="47D29E87" w14:textId="6DAE48CC" w:rsidR="00C00769" w:rsidRPr="005A1F62" w:rsidRDefault="001760E9" w:rsidP="00B77A2B">
      <w:pPr>
        <w:numPr>
          <w:ilvl w:val="0"/>
          <w:numId w:val="43"/>
        </w:numPr>
        <w:jc w:val="both"/>
      </w:pPr>
      <w:r w:rsidRPr="005A1F62">
        <w:t xml:space="preserve">корреспондентские </w:t>
      </w:r>
      <w:r w:rsidR="00C00769" w:rsidRPr="005A1F62">
        <w:t>счета, кроме корреспондентских счетов в Банке России, за вычетом сформированных резервов на возможные потери</w:t>
      </w:r>
      <w:r w:rsidRPr="005A1F62">
        <w:t>;</w:t>
      </w:r>
    </w:p>
    <w:p w14:paraId="76186F91" w14:textId="6C9AC570" w:rsidR="00C00769" w:rsidRPr="005A1F62" w:rsidRDefault="001760E9" w:rsidP="00B77A2B">
      <w:pPr>
        <w:numPr>
          <w:ilvl w:val="0"/>
          <w:numId w:val="43"/>
        </w:numPr>
        <w:jc w:val="both"/>
      </w:pPr>
      <w:r w:rsidRPr="005A1F62">
        <w:t xml:space="preserve">долговые </w:t>
      </w:r>
      <w:r w:rsidR="00C00769" w:rsidRPr="005A1F62">
        <w:t>обязательства, кроме долговых обязательств Российской Федерации и Банка России, за вычетом сформированных резервов на возможные потери и отрицательной переоценки с поправочным коэффициентом 0,3</w:t>
      </w:r>
      <w:r w:rsidR="002A55DF" w:rsidRPr="005A1F62">
        <w:rPr>
          <w:rStyle w:val="a9"/>
        </w:rPr>
        <w:footnoteReference w:id="14"/>
      </w:r>
      <w:r w:rsidRPr="005A1F62">
        <w:t>;</w:t>
      </w:r>
    </w:p>
    <w:p w14:paraId="227CF54E" w14:textId="14838BC4" w:rsidR="00C00769" w:rsidRPr="005A1F62" w:rsidRDefault="001760E9" w:rsidP="00B77A2B">
      <w:pPr>
        <w:numPr>
          <w:ilvl w:val="0"/>
          <w:numId w:val="43"/>
        </w:numPr>
        <w:jc w:val="both"/>
      </w:pPr>
      <w:r w:rsidRPr="005A1F62">
        <w:t xml:space="preserve">долевые </w:t>
      </w:r>
      <w:r w:rsidR="00C00769" w:rsidRPr="005A1F62">
        <w:t>ценные бумаги за вычетом сформированных резервов на возможные потери и отрицательной переоценки с поправочным коэффициентом 0,3</w:t>
      </w:r>
      <w:r w:rsidRPr="005A1F62">
        <w:t>;</w:t>
      </w:r>
    </w:p>
    <w:p w14:paraId="2EDB6CE8" w14:textId="538464BC" w:rsidR="00C00769" w:rsidRPr="005A1F62" w:rsidRDefault="001760E9" w:rsidP="00B77A2B">
      <w:pPr>
        <w:numPr>
          <w:ilvl w:val="0"/>
          <w:numId w:val="43"/>
        </w:numPr>
        <w:jc w:val="both"/>
      </w:pPr>
      <w:r w:rsidRPr="005A1F62">
        <w:t xml:space="preserve">участие </w:t>
      </w:r>
      <w:r w:rsidR="00C00769" w:rsidRPr="005A1F62">
        <w:t>в дочерних и зависимых акционерных обществах, паевых инвестиционных фондах и прочее участие за вычетом резервов на возможные потери</w:t>
      </w:r>
      <w:r w:rsidRPr="005A1F62">
        <w:t>;</w:t>
      </w:r>
    </w:p>
    <w:p w14:paraId="32EDC345" w14:textId="7A33F91D" w:rsidR="00C00769" w:rsidRPr="005A1F62" w:rsidRDefault="001760E9" w:rsidP="00B77A2B">
      <w:pPr>
        <w:numPr>
          <w:ilvl w:val="0"/>
          <w:numId w:val="43"/>
        </w:numPr>
        <w:jc w:val="both"/>
      </w:pPr>
      <w:r w:rsidRPr="005A1F62">
        <w:t xml:space="preserve">предварительные </w:t>
      </w:r>
      <w:r w:rsidR="00C00769" w:rsidRPr="005A1F62">
        <w:t>затраты на приобретение ценных бумаг с поправочным коэффициентом 0,3</w:t>
      </w:r>
      <w:r w:rsidRPr="005A1F62">
        <w:t>;</w:t>
      </w:r>
    </w:p>
    <w:p w14:paraId="6668F060" w14:textId="29D75ED3" w:rsidR="00C00769" w:rsidRPr="005A1F62" w:rsidRDefault="001760E9" w:rsidP="00B77A2B">
      <w:pPr>
        <w:numPr>
          <w:ilvl w:val="0"/>
          <w:numId w:val="43"/>
        </w:numPr>
        <w:jc w:val="both"/>
      </w:pPr>
      <w:r w:rsidRPr="005A1F62">
        <w:t xml:space="preserve">производные </w:t>
      </w:r>
      <w:r w:rsidR="00C00769" w:rsidRPr="005A1F62">
        <w:t>финансовые инструменты, от которых ожидается получение экономических выгод, за вычетом производных финансовых инструментов, от которых ожидается уменьшение экономических выгод с поправочным коэффициентом 0,3</w:t>
      </w:r>
      <w:r w:rsidRPr="005A1F62">
        <w:t>;</w:t>
      </w:r>
    </w:p>
    <w:p w14:paraId="62DA898F" w14:textId="75150F93" w:rsidR="00C00769" w:rsidRPr="005A1F62" w:rsidRDefault="001760E9" w:rsidP="00B77A2B">
      <w:pPr>
        <w:numPr>
          <w:ilvl w:val="0"/>
          <w:numId w:val="43"/>
        </w:numPr>
        <w:jc w:val="both"/>
      </w:pPr>
      <w:r w:rsidRPr="005A1F62">
        <w:t xml:space="preserve">расчеты </w:t>
      </w:r>
      <w:r w:rsidR="00C00769" w:rsidRPr="005A1F62">
        <w:t>по отдельным операциям за вычетом сформированных резервов на возможные потери</w:t>
      </w:r>
      <w:r w:rsidRPr="005A1F62">
        <w:t>;</w:t>
      </w:r>
    </w:p>
    <w:p w14:paraId="74DC285C" w14:textId="5E96AD7A" w:rsidR="00C00769" w:rsidRPr="005A1F62" w:rsidRDefault="001760E9" w:rsidP="00B77A2B">
      <w:pPr>
        <w:numPr>
          <w:ilvl w:val="0"/>
          <w:numId w:val="43"/>
        </w:numPr>
        <w:jc w:val="both"/>
      </w:pPr>
      <w:r w:rsidRPr="005A1F62">
        <w:t>активы</w:t>
      </w:r>
      <w:r w:rsidR="00C00769" w:rsidRPr="005A1F62">
        <w:t>, переданные в доверительное управление, за вычетом сформированных резервов на возможные потери</w:t>
      </w:r>
      <w:r w:rsidRPr="005A1F62">
        <w:t>;</w:t>
      </w:r>
    </w:p>
    <w:p w14:paraId="3D054377" w14:textId="6A823787" w:rsidR="00C00769" w:rsidRPr="005A1F62" w:rsidRDefault="001760E9" w:rsidP="00B77A2B">
      <w:pPr>
        <w:numPr>
          <w:ilvl w:val="0"/>
          <w:numId w:val="43"/>
        </w:numPr>
        <w:jc w:val="both"/>
      </w:pPr>
      <w:r w:rsidRPr="005A1F62">
        <w:t xml:space="preserve">прочие </w:t>
      </w:r>
      <w:r w:rsidR="00C00769" w:rsidRPr="005A1F62">
        <w:t>активы за вычетом сформированных резервов на возможные потери, в том числе:</w:t>
      </w:r>
    </w:p>
    <w:p w14:paraId="0DF9F165" w14:textId="1209779C" w:rsidR="00C00769" w:rsidRPr="005A1F62" w:rsidRDefault="001760E9" w:rsidP="00B77A2B">
      <w:pPr>
        <w:numPr>
          <w:ilvl w:val="1"/>
          <w:numId w:val="43"/>
        </w:numPr>
        <w:jc w:val="both"/>
      </w:pPr>
      <w:r w:rsidRPr="005A1F62">
        <w:t xml:space="preserve">расчеты </w:t>
      </w:r>
      <w:r w:rsidR="00C00769" w:rsidRPr="005A1F62">
        <w:t>с поставщиками, подрядчиками и покупателями</w:t>
      </w:r>
      <w:r w:rsidRPr="005A1F62">
        <w:t>,</w:t>
      </w:r>
    </w:p>
    <w:p w14:paraId="48AE55E8" w14:textId="19CA76D7" w:rsidR="00C00769" w:rsidRPr="005A1F62" w:rsidRDefault="001760E9" w:rsidP="00B77A2B">
      <w:pPr>
        <w:numPr>
          <w:ilvl w:val="1"/>
          <w:numId w:val="43"/>
        </w:numPr>
        <w:jc w:val="both"/>
      </w:pPr>
      <w:r w:rsidRPr="005A1F62">
        <w:t xml:space="preserve">расчеты </w:t>
      </w:r>
      <w:r w:rsidR="00C00769" w:rsidRPr="005A1F62">
        <w:t>с организациями-нерезидентами по хозяйственным операциям</w:t>
      </w:r>
      <w:r w:rsidRPr="005A1F62">
        <w:t>,</w:t>
      </w:r>
    </w:p>
    <w:p w14:paraId="6322712F" w14:textId="26397169" w:rsidR="00C00769" w:rsidRPr="005A1F62" w:rsidRDefault="001760E9" w:rsidP="00B77A2B">
      <w:pPr>
        <w:numPr>
          <w:ilvl w:val="1"/>
          <w:numId w:val="43"/>
        </w:numPr>
        <w:jc w:val="both"/>
      </w:pPr>
      <w:r w:rsidRPr="005A1F62">
        <w:t>суммы</w:t>
      </w:r>
      <w:r w:rsidR="00C00769" w:rsidRPr="005A1F62">
        <w:t>, выплаченные по предоставленным гарантиям и поручительствам (регрессионные требования</w:t>
      </w:r>
      <w:r w:rsidRPr="005A1F62">
        <w:t>),</w:t>
      </w:r>
    </w:p>
    <w:p w14:paraId="3B5CF1FD" w14:textId="7D7B75E9" w:rsidR="00C00769" w:rsidRPr="005A1F62" w:rsidRDefault="001760E9" w:rsidP="00B77A2B">
      <w:pPr>
        <w:numPr>
          <w:ilvl w:val="1"/>
          <w:numId w:val="43"/>
        </w:numPr>
        <w:jc w:val="both"/>
      </w:pPr>
      <w:r w:rsidRPr="005A1F62">
        <w:t xml:space="preserve">расчеты </w:t>
      </w:r>
      <w:r w:rsidR="00C00769" w:rsidRPr="005A1F62">
        <w:t>с прочими дебиторами</w:t>
      </w:r>
      <w:r w:rsidRPr="005A1F62">
        <w:t>,</w:t>
      </w:r>
    </w:p>
    <w:p w14:paraId="77BC4F8C" w14:textId="038B5B70" w:rsidR="00C00769" w:rsidRPr="005A1F62" w:rsidRDefault="001760E9" w:rsidP="00B77A2B">
      <w:pPr>
        <w:numPr>
          <w:ilvl w:val="1"/>
          <w:numId w:val="43"/>
        </w:numPr>
        <w:jc w:val="both"/>
      </w:pPr>
      <w:r w:rsidRPr="005A1F62">
        <w:t xml:space="preserve">долгосрочные </w:t>
      </w:r>
      <w:r w:rsidR="00C00769" w:rsidRPr="005A1F62">
        <w:t>активы, предназначенные для продажи</w:t>
      </w:r>
      <w:r w:rsidRPr="005A1F62">
        <w:t>,</w:t>
      </w:r>
    </w:p>
    <w:p w14:paraId="0E44A97F" w14:textId="6A0C677E" w:rsidR="00C00769" w:rsidRPr="005A1F62" w:rsidRDefault="001760E9" w:rsidP="00B77A2B">
      <w:pPr>
        <w:numPr>
          <w:ilvl w:val="1"/>
          <w:numId w:val="43"/>
        </w:numPr>
        <w:jc w:val="both"/>
      </w:pPr>
      <w:r w:rsidRPr="005A1F62">
        <w:t xml:space="preserve">средства </w:t>
      </w:r>
      <w:r w:rsidR="00C00769" w:rsidRPr="005A1F62">
        <w:t>труда и предметы труда, полученные по договорам отступного, залога, назначение которых не определено</w:t>
      </w:r>
      <w:r w:rsidRPr="005A1F62">
        <w:t>;</w:t>
      </w:r>
    </w:p>
    <w:p w14:paraId="7B271585" w14:textId="6B603F3D" w:rsidR="00C00769" w:rsidRPr="005A1F62" w:rsidRDefault="001760E9" w:rsidP="00B36D0E">
      <w:pPr>
        <w:numPr>
          <w:ilvl w:val="0"/>
          <w:numId w:val="43"/>
        </w:numPr>
        <w:jc w:val="both"/>
      </w:pPr>
      <w:r w:rsidRPr="005A1F62">
        <w:t xml:space="preserve">выданные </w:t>
      </w:r>
      <w:r w:rsidR="00C00769" w:rsidRPr="005A1F62">
        <w:t>гарантии и поручительства за вычетом сформированных резервов на возможные потери с поправочным коэффициентом 0,15</w:t>
      </w:r>
      <w:r w:rsidR="00A20628" w:rsidRPr="005A1F62">
        <w:rPr>
          <w:rStyle w:val="a9"/>
        </w:rPr>
        <w:footnoteReference w:id="15"/>
      </w:r>
      <w:r w:rsidR="00C00769" w:rsidRPr="005A1F62">
        <w:t>.</w:t>
      </w:r>
    </w:p>
    <w:p w14:paraId="25718BD9" w14:textId="683E78A0" w:rsidR="00C00769" w:rsidRPr="005A1F62" w:rsidRDefault="004A756E" w:rsidP="006A777B">
      <w:pPr>
        <w:pStyle w:val="aff0"/>
        <w:ind w:firstLine="567"/>
        <w:jc w:val="both"/>
      </w:pPr>
      <w:r w:rsidRPr="005A1F62">
        <w:t xml:space="preserve">База активов и условных обязательств кредитного характера </w:t>
      </w:r>
      <w:r w:rsidR="00C00769" w:rsidRPr="005A1F62">
        <w:t>под риском дополнительно очищается от требований по инструментам</w:t>
      </w:r>
      <w:r w:rsidR="001760E9" w:rsidRPr="005A1F62">
        <w:t xml:space="preserve"> </w:t>
      </w:r>
      <w:r w:rsidR="00C00769" w:rsidRPr="005A1F62">
        <w:t>/</w:t>
      </w:r>
      <w:r w:rsidR="001760E9" w:rsidRPr="005A1F62">
        <w:t xml:space="preserve"> </w:t>
      </w:r>
      <w:r w:rsidR="00C00769" w:rsidRPr="005A1F62">
        <w:t xml:space="preserve">к эмитентам (заемщикам, дебиторам, контрагентам), имеющим условный рейтинговый класс на уровне не ниже </w:t>
      </w:r>
      <w:r w:rsidR="00C00769" w:rsidRPr="005A1F62">
        <w:rPr>
          <w:lang w:val="en-US"/>
        </w:rPr>
        <w:t>ruAA</w:t>
      </w:r>
      <w:r w:rsidR="00C00769" w:rsidRPr="005A1F62">
        <w:t>-.</w:t>
      </w:r>
    </w:p>
    <w:p w14:paraId="2081B381" w14:textId="479E9B45" w:rsidR="002A0C8A" w:rsidRPr="005A1F62" w:rsidRDefault="00C00769" w:rsidP="006A777B">
      <w:pPr>
        <w:pStyle w:val="aff0"/>
        <w:ind w:firstLine="567"/>
        <w:jc w:val="both"/>
      </w:pPr>
      <w:r w:rsidRPr="005A1F62">
        <w:t>Балл за устойчивость капитала к реализации крупных кредитных рисков представляет собой непрерывную линейную оценку количества крупных кредитных рисков</w:t>
      </w:r>
      <w:r w:rsidRPr="005A1F62">
        <w:rPr>
          <w:rStyle w:val="a9"/>
        </w:rPr>
        <w:footnoteReference w:id="16"/>
      </w:r>
      <w:r w:rsidRPr="005A1F62">
        <w:t xml:space="preserve"> (кроме кредитных рисков, приходящихся на инструменты</w:t>
      </w:r>
      <w:r w:rsidR="001760E9" w:rsidRPr="005A1F62">
        <w:t xml:space="preserve"> </w:t>
      </w:r>
      <w:r w:rsidRPr="005A1F62">
        <w:t>/</w:t>
      </w:r>
      <w:r w:rsidR="001760E9" w:rsidRPr="005A1F62">
        <w:t xml:space="preserve"> </w:t>
      </w:r>
      <w:r w:rsidRPr="005A1F62">
        <w:t xml:space="preserve">эмитентов, условный рейтинговый </w:t>
      </w:r>
      <w:r w:rsidRPr="005A1F62">
        <w:lastRenderedPageBreak/>
        <w:t xml:space="preserve">класс которых оценен на уровне не ниже </w:t>
      </w:r>
      <w:r w:rsidRPr="005A1F62">
        <w:rPr>
          <w:lang w:val="en-US"/>
        </w:rPr>
        <w:t>ruBBB</w:t>
      </w:r>
      <w:r w:rsidR="003F1D7C" w:rsidRPr="005A1F62">
        <w:t>+</w:t>
      </w:r>
      <w:r w:rsidRPr="005A1F62">
        <w:t xml:space="preserve">, и (или) </w:t>
      </w:r>
      <w:r w:rsidR="001760E9" w:rsidRPr="005A1F62">
        <w:t xml:space="preserve">имеющих </w:t>
      </w:r>
      <w:r w:rsidRPr="005A1F62">
        <w:t xml:space="preserve">высоколиквидное обеспечение аналогичного кредитного качества), реализация любого из которых приведет к нарушению любого из нормативов достаточности капитала </w:t>
      </w:r>
      <w:r w:rsidR="007C1E05" w:rsidRPr="005A1F62">
        <w:t xml:space="preserve">или </w:t>
      </w:r>
      <w:r w:rsidRPr="005A1F62">
        <w:t>к снижению абсолютной величины капитала до уровня ниже регулятивного минимума.</w:t>
      </w:r>
    </w:p>
    <w:p w14:paraId="624EF2A2" w14:textId="77777777" w:rsidR="006A777B" w:rsidRPr="005A1F62" w:rsidRDefault="006A777B" w:rsidP="006A777B">
      <w:pPr>
        <w:pStyle w:val="aff0"/>
        <w:ind w:firstLine="567"/>
        <w:jc w:val="both"/>
      </w:pPr>
    </w:p>
    <w:p w14:paraId="72393619" w14:textId="0E439E23" w:rsidR="009B681E" w:rsidRPr="005A1F62" w:rsidRDefault="009B681E" w:rsidP="00B36D0E">
      <w:pPr>
        <w:pStyle w:val="3"/>
        <w:numPr>
          <w:ilvl w:val="1"/>
          <w:numId w:val="13"/>
        </w:numPr>
        <w:tabs>
          <w:tab w:val="left" w:pos="709"/>
        </w:tabs>
        <w:spacing w:before="0" w:after="0"/>
        <w:ind w:left="0" w:firstLine="567"/>
        <w:rPr>
          <w:rFonts w:ascii="Times New Roman" w:hAnsi="Times New Roman" w:cs="Times New Roman"/>
        </w:rPr>
      </w:pPr>
      <w:bookmarkStart w:id="114" w:name="_Toc459363752"/>
      <w:bookmarkStart w:id="115" w:name="_Toc44433456"/>
      <w:r w:rsidRPr="005A1F62">
        <w:rPr>
          <w:rFonts w:ascii="Times New Roman" w:hAnsi="Times New Roman" w:cs="Times New Roman"/>
        </w:rPr>
        <w:t xml:space="preserve">Концентрация </w:t>
      </w:r>
      <w:r w:rsidR="004364D7" w:rsidRPr="005A1F62">
        <w:rPr>
          <w:rFonts w:ascii="Times New Roman" w:hAnsi="Times New Roman" w:cs="Times New Roman"/>
        </w:rPr>
        <w:t>кредитных рисков на клиентах</w:t>
      </w:r>
      <w:bookmarkEnd w:id="112"/>
      <w:bookmarkEnd w:id="113"/>
      <w:bookmarkEnd w:id="114"/>
      <w:bookmarkEnd w:id="115"/>
    </w:p>
    <w:p w14:paraId="53166454" w14:textId="77777777" w:rsidR="0062539F" w:rsidRPr="005A1F62" w:rsidRDefault="0062539F" w:rsidP="0062539F"/>
    <w:p w14:paraId="1DF81D3E" w14:textId="601ED213" w:rsidR="005244DC" w:rsidRPr="005A1F62" w:rsidRDefault="009B681E" w:rsidP="00577687">
      <w:pPr>
        <w:tabs>
          <w:tab w:val="left" w:pos="709"/>
        </w:tabs>
        <w:ind w:firstLine="567"/>
        <w:jc w:val="both"/>
      </w:pPr>
      <w:r w:rsidRPr="005A1F62">
        <w:rPr>
          <w:u w:val="single"/>
        </w:rPr>
        <w:t>Цель оценки</w:t>
      </w:r>
      <w:r w:rsidR="001760E9" w:rsidRPr="005A1F62">
        <w:rPr>
          <w:u w:val="single"/>
        </w:rPr>
        <w:t>:</w:t>
      </w:r>
      <w:r w:rsidRPr="005A1F62">
        <w:t xml:space="preserve"> </w:t>
      </w:r>
      <w:r w:rsidR="001760E9" w:rsidRPr="005A1F62">
        <w:t>о</w:t>
      </w:r>
      <w:r w:rsidRPr="005A1F62">
        <w:t>пределить, насколько велики риски существенного обесценения активов, связанные с концентрацией активных операций.</w:t>
      </w:r>
      <w:r w:rsidR="00674E42" w:rsidRPr="005A1F62">
        <w:t xml:space="preserve"> </w:t>
      </w:r>
    </w:p>
    <w:p w14:paraId="52869C81" w14:textId="3C955C56" w:rsidR="009B681E" w:rsidRPr="005A1F62" w:rsidRDefault="00674E42" w:rsidP="00DC2FED">
      <w:pPr>
        <w:tabs>
          <w:tab w:val="left" w:pos="709"/>
        </w:tabs>
        <w:ind w:firstLine="567"/>
        <w:jc w:val="both"/>
      </w:pPr>
      <w:r w:rsidRPr="005A1F62">
        <w:t xml:space="preserve">Незначительный объем выданных крупных ссуд </w:t>
      </w:r>
      <w:r w:rsidR="005244DC" w:rsidRPr="005A1F62">
        <w:t xml:space="preserve">и иных принятых кредитных рисков </w:t>
      </w:r>
      <w:r w:rsidRPr="005A1F62">
        <w:t xml:space="preserve">снижает вероятность значительного сокращения величины собственных средств в случае наступления дефолта одного из крупнейших </w:t>
      </w:r>
      <w:r w:rsidR="005244DC" w:rsidRPr="005A1F62">
        <w:t>объектов кредитного риска</w:t>
      </w:r>
      <w:r w:rsidRPr="005A1F62">
        <w:t xml:space="preserve">. Высокий уровень концентрации кредитных рисков повышает </w:t>
      </w:r>
      <w:r w:rsidR="005244DC" w:rsidRPr="005A1F62">
        <w:t xml:space="preserve">требования к </w:t>
      </w:r>
      <w:r w:rsidRPr="005A1F62">
        <w:t>капитал</w:t>
      </w:r>
      <w:r w:rsidR="005244DC" w:rsidRPr="005A1F62">
        <w:t>у</w:t>
      </w:r>
      <w:r w:rsidRPr="005A1F62">
        <w:t xml:space="preserve"> банка, так как в случае ухудшения финансового состояния одного из крупнейших заемщиков и</w:t>
      </w:r>
      <w:r w:rsidR="00960AB7" w:rsidRPr="005A1F62">
        <w:t xml:space="preserve"> (</w:t>
      </w:r>
      <w:r w:rsidRPr="005A1F62">
        <w:t>или</w:t>
      </w:r>
      <w:r w:rsidR="00960AB7" w:rsidRPr="005A1F62">
        <w:t>)</w:t>
      </w:r>
      <w:r w:rsidRPr="005A1F62">
        <w:t xml:space="preserve"> эмитента нагрузка на собственные средства будет существенной для деятельности кредитной организации.</w:t>
      </w:r>
    </w:p>
    <w:p w14:paraId="01553E05" w14:textId="77777777" w:rsidR="006A777B" w:rsidRPr="005A1F62" w:rsidRDefault="006A777B" w:rsidP="00DC2FED">
      <w:pPr>
        <w:tabs>
          <w:tab w:val="left" w:pos="709"/>
        </w:tabs>
        <w:ind w:firstLine="567"/>
        <w:jc w:val="both"/>
      </w:pPr>
    </w:p>
    <w:p w14:paraId="112ED78F" w14:textId="77777777" w:rsidR="009B681E" w:rsidRPr="005A1F62" w:rsidRDefault="009B681E" w:rsidP="00DC2FED">
      <w:pPr>
        <w:tabs>
          <w:tab w:val="left" w:pos="709"/>
        </w:tabs>
        <w:ind w:firstLine="567"/>
        <w:rPr>
          <w:u w:val="single"/>
        </w:rPr>
      </w:pPr>
      <w:r w:rsidRPr="005A1F62">
        <w:rPr>
          <w:u w:val="single"/>
        </w:rPr>
        <w:t>Алгоритм выставления оценки</w:t>
      </w:r>
    </w:p>
    <w:p w14:paraId="4D10427E" w14:textId="368C0F6B" w:rsidR="0061392B" w:rsidRPr="005A1F62" w:rsidRDefault="0061392B" w:rsidP="00DC2FED">
      <w:pPr>
        <w:tabs>
          <w:tab w:val="left" w:pos="709"/>
        </w:tabs>
        <w:ind w:firstLine="567"/>
        <w:jc w:val="both"/>
      </w:pPr>
      <w:r w:rsidRPr="005A1F62">
        <w:t>Внутри группы показателей «</w:t>
      </w:r>
      <w:r w:rsidR="00960AB7" w:rsidRPr="005A1F62">
        <w:t xml:space="preserve">концентрация </w:t>
      </w:r>
      <w:r w:rsidR="004364D7" w:rsidRPr="005A1F62">
        <w:t>кредитных рисков на клиентах</w:t>
      </w:r>
      <w:r w:rsidRPr="005A1F62">
        <w:t xml:space="preserve">» оценка за долю кредитного риска, приходящегося на крупнейших клиентов (по данным отчетности по РСБУ), в активах учитывается с весом 50%. Также с весом 50% учитывается минимальная из </w:t>
      </w:r>
      <w:r w:rsidR="00960AB7" w:rsidRPr="005A1F62">
        <w:t>двух</w:t>
      </w:r>
      <w:r w:rsidRPr="005A1F62">
        <w:t xml:space="preserve"> оценок: за долю максимального кредитного риска на одного клиента в активах (по данным отчетности по РСБУ) и за отношение максимального кредитного риска на одного клиента к капиталу по РСБУ. Данные показатели относятся к показателям с «длинным хвостом».</w:t>
      </w:r>
    </w:p>
    <w:p w14:paraId="03D3C8CC" w14:textId="740E1204" w:rsidR="00A909F9" w:rsidRPr="005A1F62" w:rsidRDefault="00A909F9" w:rsidP="00DC2FED">
      <w:pPr>
        <w:tabs>
          <w:tab w:val="left" w:pos="709"/>
        </w:tabs>
        <w:ind w:firstLine="567"/>
        <w:jc w:val="both"/>
      </w:pPr>
      <w:r w:rsidRPr="005A1F62">
        <w:t xml:space="preserve">В случае если максимальное значение норматива Н6 приходится на контрагента с </w:t>
      </w:r>
      <w:r w:rsidR="00953CF3" w:rsidRPr="005A1F62">
        <w:t xml:space="preserve">условным рейтинговым классом </w:t>
      </w:r>
      <w:r w:rsidRPr="005A1F62">
        <w:t xml:space="preserve">не ниже </w:t>
      </w:r>
      <w:proofErr w:type="gramStart"/>
      <w:r w:rsidR="00CF012A" w:rsidRPr="005A1F62">
        <w:t>ruAA-</w:t>
      </w:r>
      <w:r w:rsidRPr="005A1F62">
        <w:t>,</w:t>
      </w:r>
      <w:proofErr w:type="gramEnd"/>
      <w:r w:rsidRPr="005A1F62">
        <w:t xml:space="preserve"> </w:t>
      </w:r>
      <w:r w:rsidR="001760E9" w:rsidRPr="005A1F62">
        <w:t xml:space="preserve">то </w:t>
      </w:r>
      <w:r w:rsidRPr="005A1F62">
        <w:t xml:space="preserve">компонент «отношение максимального кредитного риска на одного клиента к капиталу по РСБУ» может быть оценен по </w:t>
      </w:r>
      <w:r w:rsidR="005B6361" w:rsidRPr="005A1F62">
        <w:t xml:space="preserve">следующему по величине </w:t>
      </w:r>
      <w:r w:rsidRPr="005A1F62">
        <w:t>кредитному риск</w:t>
      </w:r>
      <w:r w:rsidR="00766ECF" w:rsidRPr="005A1F62">
        <w:t>у.</w:t>
      </w:r>
    </w:p>
    <w:p w14:paraId="6ECAF899" w14:textId="703B9887" w:rsidR="00CF012A" w:rsidRPr="005A1F62" w:rsidRDefault="00CF012A" w:rsidP="00DC2FED">
      <w:pPr>
        <w:tabs>
          <w:tab w:val="left" w:pos="709"/>
        </w:tabs>
        <w:ind w:firstLine="567"/>
        <w:jc w:val="both"/>
      </w:pPr>
      <w:r w:rsidRPr="005A1F62">
        <w:t xml:space="preserve">Аналогичным образом из общей величины крупных кредитных рисков вычитается объем кредитных рисков, приходящихся на контрагентов, с </w:t>
      </w:r>
      <w:r w:rsidR="00953CF3" w:rsidRPr="005A1F62">
        <w:t xml:space="preserve">условными рейтинговыми классами </w:t>
      </w:r>
      <w:r w:rsidRPr="005A1F62">
        <w:t>не ниже ruAA-.</w:t>
      </w:r>
    </w:p>
    <w:p w14:paraId="7BAFF226" w14:textId="7874DE34" w:rsidR="009B681E" w:rsidRPr="005A1F62" w:rsidRDefault="00BF2DA9" w:rsidP="00DC2FED">
      <w:pPr>
        <w:tabs>
          <w:tab w:val="left" w:pos="709"/>
        </w:tabs>
        <w:ind w:firstLine="567"/>
        <w:jc w:val="both"/>
      </w:pPr>
      <w:bookmarkStart w:id="116" w:name="_Hlk43308433"/>
      <w:r w:rsidRPr="005A1F62">
        <w:t>Е</w:t>
      </w:r>
      <w:r w:rsidR="00D57002" w:rsidRPr="005A1F62">
        <w:t xml:space="preserve">сли </w:t>
      </w:r>
      <w:r w:rsidR="009B681E" w:rsidRPr="005A1F62">
        <w:t xml:space="preserve">заемщики, </w:t>
      </w:r>
      <w:r w:rsidR="00B17F4F" w:rsidRPr="005A1F62">
        <w:t xml:space="preserve">экспертно определенные как связанные </w:t>
      </w:r>
      <w:r w:rsidR="009B681E" w:rsidRPr="005A1F62">
        <w:t>между собой, не отнесены к одной группе в форме</w:t>
      </w:r>
      <w:r w:rsidR="00960AB7" w:rsidRPr="005A1F62">
        <w:t xml:space="preserve"> 118</w:t>
      </w:r>
      <w:r w:rsidRPr="005A1F62">
        <w:t xml:space="preserve">, аналитик имеет право понизить балл за концентрацию кредитных рисков на клиентах на величину от 0,25 до 1 </w:t>
      </w:r>
      <w:r w:rsidR="00F51735" w:rsidRPr="005A1F62">
        <w:t>(</w:t>
      </w:r>
      <w:r w:rsidRPr="005A1F62">
        <w:t xml:space="preserve">в зависимости от </w:t>
      </w:r>
      <w:r w:rsidR="00F51735" w:rsidRPr="005A1F62">
        <w:t xml:space="preserve">значимости </w:t>
      </w:r>
      <w:r w:rsidR="00E01855" w:rsidRPr="005A1F62">
        <w:t>совокупной величины кредитного риска крупнейшей группы, сформированной экспертным суждением, относительно капитала банка</w:t>
      </w:r>
      <w:r w:rsidRPr="005A1F62">
        <w:t xml:space="preserve">, а также от частоты выявления </w:t>
      </w:r>
      <w:r w:rsidR="00F51735" w:rsidRPr="005A1F62">
        <w:t xml:space="preserve">прецедентов </w:t>
      </w:r>
      <w:r w:rsidR="00C7612B" w:rsidRPr="005A1F62">
        <w:t xml:space="preserve">отсутствия </w:t>
      </w:r>
      <w:r w:rsidR="00F51735" w:rsidRPr="005A1F62">
        <w:t>объединения в группу связанных заемщиков)</w:t>
      </w:r>
      <w:r w:rsidR="009B681E" w:rsidRPr="005A1F62">
        <w:t>.</w:t>
      </w:r>
    </w:p>
    <w:bookmarkEnd w:id="116"/>
    <w:p w14:paraId="27E9A3A7" w14:textId="77777777" w:rsidR="006B56A1" w:rsidRPr="005A1F62" w:rsidRDefault="006B56A1" w:rsidP="00DC2FED">
      <w:pPr>
        <w:tabs>
          <w:tab w:val="left" w:pos="709"/>
        </w:tabs>
        <w:ind w:firstLine="567"/>
        <w:jc w:val="both"/>
      </w:pPr>
    </w:p>
    <w:p w14:paraId="4937FD48" w14:textId="77777777" w:rsidR="009B681E" w:rsidRPr="005A1F62" w:rsidRDefault="009B681E" w:rsidP="00B36D0E">
      <w:pPr>
        <w:pStyle w:val="3"/>
        <w:numPr>
          <w:ilvl w:val="1"/>
          <w:numId w:val="13"/>
        </w:numPr>
        <w:tabs>
          <w:tab w:val="left" w:pos="709"/>
        </w:tabs>
        <w:spacing w:before="0" w:after="0"/>
        <w:ind w:left="0" w:firstLine="567"/>
        <w:rPr>
          <w:rFonts w:ascii="Times New Roman" w:hAnsi="Times New Roman" w:cs="Times New Roman"/>
        </w:rPr>
      </w:pPr>
      <w:bookmarkStart w:id="117" w:name="_Toc277183406"/>
      <w:bookmarkStart w:id="118" w:name="_Toc343776103"/>
      <w:bookmarkStart w:id="119" w:name="_Toc459363753"/>
      <w:bookmarkStart w:id="120" w:name="_Toc44433457"/>
      <w:r w:rsidRPr="005A1F62">
        <w:rPr>
          <w:rFonts w:ascii="Times New Roman" w:hAnsi="Times New Roman" w:cs="Times New Roman"/>
        </w:rPr>
        <w:t xml:space="preserve">Качество активов </w:t>
      </w:r>
      <w:bookmarkEnd w:id="117"/>
      <w:bookmarkEnd w:id="118"/>
      <w:r w:rsidRPr="005A1F62">
        <w:rPr>
          <w:rFonts w:ascii="Times New Roman" w:hAnsi="Times New Roman" w:cs="Times New Roman"/>
        </w:rPr>
        <w:t>и внебалансовых обязательств под риском</w:t>
      </w:r>
      <w:bookmarkEnd w:id="119"/>
      <w:bookmarkEnd w:id="120"/>
    </w:p>
    <w:p w14:paraId="1B99FAA3" w14:textId="77777777" w:rsidR="0062539F" w:rsidRPr="005A1F62" w:rsidRDefault="0062539F" w:rsidP="00577687">
      <w:pPr>
        <w:tabs>
          <w:tab w:val="left" w:pos="709"/>
        </w:tabs>
        <w:ind w:firstLine="567"/>
        <w:jc w:val="both"/>
        <w:rPr>
          <w:u w:val="single"/>
        </w:rPr>
      </w:pPr>
    </w:p>
    <w:p w14:paraId="0BF33637" w14:textId="1D13CC86" w:rsidR="005244DC" w:rsidRPr="005A1F62" w:rsidRDefault="009B681E" w:rsidP="00577687">
      <w:pPr>
        <w:tabs>
          <w:tab w:val="left" w:pos="709"/>
        </w:tabs>
        <w:ind w:firstLine="567"/>
        <w:jc w:val="both"/>
      </w:pPr>
      <w:r w:rsidRPr="005A1F62">
        <w:rPr>
          <w:u w:val="single"/>
        </w:rPr>
        <w:t>Цель оценки</w:t>
      </w:r>
      <w:r w:rsidR="0001381A" w:rsidRPr="005A1F62">
        <w:rPr>
          <w:u w:val="single"/>
        </w:rPr>
        <w:t>:</w:t>
      </w:r>
      <w:r w:rsidR="0001381A" w:rsidRPr="005A1F62">
        <w:t xml:space="preserve"> о</w:t>
      </w:r>
      <w:r w:rsidR="00960AB7" w:rsidRPr="005A1F62">
        <w:t xml:space="preserve">пределить </w:t>
      </w:r>
      <w:r w:rsidRPr="005A1F62">
        <w:t>качество активов под риском и качество внебалансовых обязательств</w:t>
      </w:r>
      <w:r w:rsidR="00E008B8" w:rsidRPr="005A1F62">
        <w:t>, а также</w:t>
      </w:r>
      <w:r w:rsidRPr="005A1F62">
        <w:t xml:space="preserve"> их влияние на кредитоспособность </w:t>
      </w:r>
      <w:r w:rsidR="002864B5" w:rsidRPr="005A1F62">
        <w:t>банка</w:t>
      </w:r>
      <w:r w:rsidR="00DE311D" w:rsidRPr="005A1F62">
        <w:t>.</w:t>
      </w:r>
    </w:p>
    <w:p w14:paraId="0C739A2D" w14:textId="757A6AEB" w:rsidR="009B681E" w:rsidRPr="005A1F62" w:rsidRDefault="00674E42" w:rsidP="00DC2FED">
      <w:pPr>
        <w:tabs>
          <w:tab w:val="left" w:pos="709"/>
        </w:tabs>
        <w:ind w:firstLine="567"/>
        <w:jc w:val="both"/>
      </w:pPr>
      <w:r w:rsidRPr="005A1F62">
        <w:t xml:space="preserve">Позитивно </w:t>
      </w:r>
      <w:r w:rsidR="00E008B8" w:rsidRPr="005A1F62">
        <w:t xml:space="preserve">оцениваются </w:t>
      </w:r>
      <w:r w:rsidRPr="005A1F62">
        <w:t>высокий уровень и обеспеченност</w:t>
      </w:r>
      <w:r w:rsidR="0065421B" w:rsidRPr="005A1F62">
        <w:t>ь</w:t>
      </w:r>
      <w:r w:rsidRPr="005A1F62">
        <w:t xml:space="preserve"> выданных банком ссуд и преобладание в структуре обеспечения недвижимости, качественных гарантий и над</w:t>
      </w:r>
      <w:r w:rsidR="00CD78CF" w:rsidRPr="005A1F62">
        <w:t>е</w:t>
      </w:r>
      <w:r w:rsidRPr="005A1F62">
        <w:t xml:space="preserve">жных долговых инструментов, поскольку такое обеспечение </w:t>
      </w:r>
      <w:r w:rsidR="005244DC" w:rsidRPr="005A1F62">
        <w:t>обычно</w:t>
      </w:r>
      <w:r w:rsidRPr="005A1F62">
        <w:t xml:space="preserve"> позитивно отража</w:t>
      </w:r>
      <w:r w:rsidR="005244DC" w:rsidRPr="005A1F62">
        <w:t>ется</w:t>
      </w:r>
      <w:r w:rsidRPr="005A1F62">
        <w:t xml:space="preserve"> на платежной дисциплине заемщиков и повышает вероятность покрытия возможных убытков при реализации кредитного риска. Негативно н</w:t>
      </w:r>
      <w:r w:rsidR="005244DC" w:rsidRPr="005A1F62">
        <w:t>а</w:t>
      </w:r>
      <w:r w:rsidRPr="005A1F62">
        <w:t xml:space="preserve"> рейтинг влияет </w:t>
      </w:r>
      <w:r w:rsidR="0065421B" w:rsidRPr="005A1F62">
        <w:t xml:space="preserve">низкая отраслевая </w:t>
      </w:r>
      <w:r w:rsidR="00E008B8" w:rsidRPr="005A1F62">
        <w:t xml:space="preserve">диверсификация </w:t>
      </w:r>
      <w:r w:rsidR="0065421B" w:rsidRPr="005A1F62">
        <w:t xml:space="preserve">кредитного портфеля, поскольку делает банк зависимым от состояния отдельной отрасли экономики. </w:t>
      </w:r>
      <w:r w:rsidR="00905898" w:rsidRPr="005A1F62">
        <w:t xml:space="preserve">Негативно оцениваются низкая оборачиваемость ссудного </w:t>
      </w:r>
      <w:r w:rsidR="00905898" w:rsidRPr="005A1F62">
        <w:lastRenderedPageBreak/>
        <w:t>портфеля и высокий уровень реструктурированной задолженности, свидетельствующие о потенциально высоком уровне проблемных ссуд и отложенном давлении на капитал при необходимости их резервирования.</w:t>
      </w:r>
    </w:p>
    <w:p w14:paraId="3D58AC1C" w14:textId="77777777" w:rsidR="006A777B" w:rsidRPr="005A1F62" w:rsidRDefault="006A777B" w:rsidP="00DC2FED">
      <w:pPr>
        <w:tabs>
          <w:tab w:val="left" w:pos="709"/>
        </w:tabs>
        <w:ind w:firstLine="567"/>
        <w:jc w:val="both"/>
      </w:pPr>
    </w:p>
    <w:p w14:paraId="49EE5AAF" w14:textId="77777777" w:rsidR="009B681E" w:rsidRPr="005A1F62" w:rsidRDefault="009B681E" w:rsidP="00DC2FED">
      <w:pPr>
        <w:tabs>
          <w:tab w:val="left" w:pos="709"/>
        </w:tabs>
        <w:ind w:firstLine="567"/>
        <w:rPr>
          <w:u w:val="single"/>
        </w:rPr>
      </w:pPr>
      <w:r w:rsidRPr="005A1F62">
        <w:rPr>
          <w:u w:val="single"/>
        </w:rPr>
        <w:t>Алгоритм выставления оценки</w:t>
      </w:r>
    </w:p>
    <w:p w14:paraId="5819B71A" w14:textId="77777777" w:rsidR="00527E54" w:rsidRPr="005A1F62" w:rsidRDefault="00527E54" w:rsidP="00DC2FED">
      <w:pPr>
        <w:tabs>
          <w:tab w:val="left" w:pos="709"/>
        </w:tabs>
        <w:ind w:firstLine="567"/>
        <w:jc w:val="both"/>
      </w:pPr>
      <w:r w:rsidRPr="005A1F62">
        <w:t>В рамках анализа качества активов и</w:t>
      </w:r>
      <w:r w:rsidR="00CD78CF" w:rsidRPr="005A1F62">
        <w:t xml:space="preserve"> </w:t>
      </w:r>
      <w:r w:rsidRPr="005A1F62">
        <w:t>внебалансовых обязательств используются оценки качества различных групп активов: средств на корреспондентских счетах, выданных межбанковских кредитов (МБК), ссудного портфеля без учета выданных МК</w:t>
      </w:r>
      <w:r w:rsidR="00942879" w:rsidRPr="005A1F62">
        <w:t>Б</w:t>
      </w:r>
      <w:r w:rsidRPr="005A1F62">
        <w:t>, портфеля ценных бумаг, имущества и иных активов под риском, а также внебалансовых обязательств (выданных поручительств и гарантий). Вес оценки за каждый компонент определяется как доля этого компонента в общей величине активов и внебалансовых обязательств. Оценки за качество средств, размещенных в банках, кредитного портфеля, портфеля ценных бумаг определяются на основе нескольких параметров. Параметры, характеризующие качество имущества и иных активов под риском, а также выданных поручительств и гарантий, относятся к показателям с «длинным хвостом».</w:t>
      </w:r>
    </w:p>
    <w:p w14:paraId="6D923DE1" w14:textId="4136FDAF" w:rsidR="009B681E" w:rsidRPr="005A1F62" w:rsidRDefault="009B681E" w:rsidP="00DC2FED">
      <w:pPr>
        <w:tabs>
          <w:tab w:val="left" w:pos="709"/>
        </w:tabs>
        <w:ind w:firstLine="567"/>
        <w:jc w:val="both"/>
      </w:pPr>
      <w:bookmarkStart w:id="121" w:name="_Hlk5295733"/>
      <w:r w:rsidRPr="005A1F62">
        <w:t xml:space="preserve">В расчете компонента «активы и внебалансовые обязательства под риском» внебалансовые обязательства </w:t>
      </w:r>
      <w:r w:rsidR="00D05ABE" w:rsidRPr="005A1F62">
        <w:t xml:space="preserve">учитывается с коэффициентом 0,5 </w:t>
      </w:r>
      <w:r w:rsidRPr="005A1F62">
        <w:t xml:space="preserve">для выданных гарантий и поручительств, что отражает вероятность того, что данные обязательства станут балансовыми. Оценки компонентов взвешиваются по их долям в сумме валовых (с учетом </w:t>
      </w:r>
      <w:r w:rsidR="00577687" w:rsidRPr="005A1F62">
        <w:t>резервов на возможные потери</w:t>
      </w:r>
      <w:r w:rsidRPr="005A1F62">
        <w:t>) активов под риском и внебалансовых обязательств.</w:t>
      </w:r>
    </w:p>
    <w:bookmarkEnd w:id="121"/>
    <w:p w14:paraId="4C113080" w14:textId="77777777" w:rsidR="009B681E" w:rsidRPr="005A1F62" w:rsidRDefault="009B681E" w:rsidP="00DC2FED">
      <w:pPr>
        <w:tabs>
          <w:tab w:val="left" w:pos="709"/>
        </w:tabs>
        <w:ind w:firstLine="567"/>
        <w:jc w:val="both"/>
      </w:pPr>
    </w:p>
    <w:p w14:paraId="4A7E78CA" w14:textId="6703026D" w:rsidR="009B681E" w:rsidRPr="005A1F62" w:rsidRDefault="009B681E" w:rsidP="00DC2FED">
      <w:pPr>
        <w:pStyle w:val="afb"/>
        <w:keepNext/>
        <w:ind w:left="567"/>
        <w:contextualSpacing w:val="0"/>
        <w:outlineLvl w:val="2"/>
        <w:rPr>
          <w:b/>
          <w:bCs/>
          <w:vanish/>
          <w:sz w:val="26"/>
          <w:szCs w:val="26"/>
        </w:rPr>
      </w:pPr>
      <w:bookmarkStart w:id="122" w:name="_Toc414292718"/>
      <w:bookmarkStart w:id="123" w:name="_Toc414292889"/>
      <w:bookmarkStart w:id="124" w:name="_Toc414294001"/>
      <w:bookmarkStart w:id="125" w:name="_Toc416088550"/>
      <w:bookmarkStart w:id="126" w:name="_Toc438123819"/>
      <w:bookmarkStart w:id="127" w:name="_Toc440465888"/>
      <w:bookmarkStart w:id="128" w:name="_Toc440468593"/>
      <w:bookmarkStart w:id="129" w:name="_Toc441230216"/>
      <w:bookmarkStart w:id="130" w:name="_Toc441233722"/>
      <w:bookmarkStart w:id="131" w:name="_Toc441233911"/>
      <w:bookmarkStart w:id="132" w:name="_Toc441497634"/>
      <w:bookmarkStart w:id="133" w:name="_Toc447121553"/>
      <w:bookmarkStart w:id="134" w:name="_Toc459363754"/>
      <w:bookmarkStart w:id="135" w:name="_Toc343776104"/>
      <w:bookmarkEnd w:id="122"/>
      <w:bookmarkEnd w:id="123"/>
      <w:bookmarkEnd w:id="124"/>
      <w:bookmarkEnd w:id="125"/>
      <w:bookmarkEnd w:id="126"/>
      <w:bookmarkEnd w:id="127"/>
      <w:bookmarkEnd w:id="128"/>
      <w:bookmarkEnd w:id="129"/>
      <w:bookmarkEnd w:id="130"/>
      <w:bookmarkEnd w:id="131"/>
      <w:bookmarkEnd w:id="132"/>
      <w:bookmarkEnd w:id="133"/>
      <w:bookmarkEnd w:id="134"/>
    </w:p>
    <w:p w14:paraId="70ECB280" w14:textId="0E39CB71" w:rsidR="009B681E" w:rsidRPr="005A1F62" w:rsidRDefault="009B681E" w:rsidP="00B36D0E">
      <w:pPr>
        <w:pStyle w:val="3"/>
        <w:numPr>
          <w:ilvl w:val="2"/>
          <w:numId w:val="58"/>
        </w:numPr>
        <w:tabs>
          <w:tab w:val="left" w:pos="709"/>
        </w:tabs>
        <w:spacing w:before="0" w:after="0"/>
        <w:rPr>
          <w:rFonts w:ascii="Times New Roman" w:hAnsi="Times New Roman" w:cs="Times New Roman"/>
          <w:sz w:val="24"/>
          <w:szCs w:val="24"/>
        </w:rPr>
      </w:pPr>
      <w:bookmarkStart w:id="136" w:name="_Toc459363755"/>
      <w:bookmarkStart w:id="137" w:name="_Toc44433458"/>
      <w:r w:rsidRPr="005A1F62">
        <w:rPr>
          <w:rFonts w:ascii="Times New Roman" w:hAnsi="Times New Roman" w:cs="Times New Roman"/>
          <w:sz w:val="24"/>
          <w:szCs w:val="24"/>
        </w:rPr>
        <w:t>Качество ссудного портфеля</w:t>
      </w:r>
      <w:bookmarkEnd w:id="135"/>
      <w:bookmarkEnd w:id="136"/>
      <w:bookmarkEnd w:id="137"/>
    </w:p>
    <w:p w14:paraId="18AEA264" w14:textId="77777777" w:rsidR="006A777B" w:rsidRPr="005A1F62" w:rsidRDefault="006A777B" w:rsidP="006A777B"/>
    <w:p w14:paraId="27C1CE18" w14:textId="77777777" w:rsidR="00932C34" w:rsidRPr="005A1F62" w:rsidRDefault="00527E54" w:rsidP="00B36D0E">
      <w:pPr>
        <w:numPr>
          <w:ilvl w:val="3"/>
          <w:numId w:val="58"/>
        </w:numPr>
        <w:tabs>
          <w:tab w:val="left" w:pos="709"/>
        </w:tabs>
        <w:ind w:left="0" w:firstLine="567"/>
        <w:jc w:val="both"/>
      </w:pPr>
      <w:r w:rsidRPr="005A1F62">
        <w:t xml:space="preserve">Качество ссудного портфеля </w:t>
      </w:r>
    </w:p>
    <w:p w14:paraId="32830425" w14:textId="77777777" w:rsidR="00932C34" w:rsidRPr="005A1F62" w:rsidRDefault="00932C34" w:rsidP="00932C34">
      <w:pPr>
        <w:tabs>
          <w:tab w:val="left" w:pos="709"/>
        </w:tabs>
        <w:ind w:firstLine="567"/>
        <w:contextualSpacing/>
        <w:jc w:val="both"/>
      </w:pPr>
    </w:p>
    <w:p w14:paraId="4388BF87" w14:textId="610FB441" w:rsidR="009B681E" w:rsidRPr="005A1F62" w:rsidRDefault="00932C34" w:rsidP="00932C34">
      <w:pPr>
        <w:tabs>
          <w:tab w:val="left" w:pos="709"/>
        </w:tabs>
        <w:ind w:firstLine="567"/>
        <w:contextualSpacing/>
        <w:jc w:val="both"/>
        <w:rPr>
          <w:b/>
        </w:rPr>
      </w:pPr>
      <w:r w:rsidRPr="005A1F62">
        <w:t xml:space="preserve">Качество ссудного портфеля </w:t>
      </w:r>
      <w:r w:rsidR="00527E54" w:rsidRPr="005A1F62">
        <w:t>определяется на основе оценок за обеспеченность портфеля кредитов без учета МБК (вес – 40%), концентрацию на отраслях и продуктах (20%), уровень проблемных ссуд (40%).</w:t>
      </w:r>
    </w:p>
    <w:p w14:paraId="70286E97" w14:textId="79896E1C" w:rsidR="00527E54" w:rsidRPr="005A1F62" w:rsidRDefault="00527E54" w:rsidP="00DC2FED">
      <w:pPr>
        <w:tabs>
          <w:tab w:val="left" w:pos="709"/>
        </w:tabs>
        <w:ind w:firstLine="567"/>
        <w:contextualSpacing/>
        <w:jc w:val="both"/>
      </w:pPr>
      <w:r w:rsidRPr="005A1F62">
        <w:t xml:space="preserve">Вес за оценку обеспеченности складывается из весов оценок ряда показателей: </w:t>
      </w:r>
      <w:bookmarkStart w:id="138" w:name="_Hlk43308499"/>
      <w:r w:rsidRPr="005A1F62">
        <w:t>обеспеченность с учетом залога ценных бумаг</w:t>
      </w:r>
      <w:r w:rsidR="00A432E0">
        <w:t xml:space="preserve"> </w:t>
      </w:r>
      <w:r w:rsidRPr="005A1F62">
        <w:t>(</w:t>
      </w:r>
      <w:bookmarkEnd w:id="138"/>
      <w:r w:rsidRPr="005A1F62">
        <w:t xml:space="preserve">вес – </w:t>
      </w:r>
      <w:r w:rsidR="006C6519" w:rsidRPr="005A1F62">
        <w:t>70</w:t>
      </w:r>
      <w:r w:rsidRPr="005A1F62">
        <w:t>%)</w:t>
      </w:r>
      <w:r w:rsidR="006C6519" w:rsidRPr="005A1F62">
        <w:t>,</w:t>
      </w:r>
      <w:r w:rsidRPr="005A1F62">
        <w:t xml:space="preserve"> </w:t>
      </w:r>
      <w:r w:rsidR="006F5D57" w:rsidRPr="005A1F62">
        <w:t>т</w:t>
      </w:r>
      <w:r w:rsidRPr="005A1F62">
        <w:t xml:space="preserve">акже с весом 30% учитывается минимальная из оценок доли обеспеченных ссуд в кредитном портфеле без учета МБК и доли ссуд, имеющих хорошее обеспечение в кредитном портфеле без учета МБК. </w:t>
      </w:r>
    </w:p>
    <w:p w14:paraId="5A277ACF" w14:textId="74EC4FA3" w:rsidR="00527E54" w:rsidRPr="005A1F62" w:rsidRDefault="00527E54" w:rsidP="00DC2FED">
      <w:pPr>
        <w:tabs>
          <w:tab w:val="left" w:pos="709"/>
        </w:tabs>
        <w:ind w:firstLine="567"/>
        <w:jc w:val="both"/>
      </w:pPr>
      <w:r w:rsidRPr="005A1F62">
        <w:t>Данные показатели относятся к показателям с «коротким хвостом», т</w:t>
      </w:r>
      <w:r w:rsidR="00942879" w:rsidRPr="005A1F62">
        <w:t>о есть</w:t>
      </w:r>
      <w:r w:rsidRPr="005A1F62">
        <w:t xml:space="preserve"> итоговый балл за каждый </w:t>
      </w:r>
      <w:r w:rsidR="009E1D5C" w:rsidRPr="005A1F62">
        <w:t xml:space="preserve">из них </w:t>
      </w:r>
      <w:r w:rsidRPr="005A1F62">
        <w:t>базируется на оценках значений этих показателей на две последние квартальные даты, из которых оценка за последнюю квартальную дату учитывается с весом 0,7, а за предыдущую квартальную дату – с весом 0,3.</w:t>
      </w:r>
    </w:p>
    <w:p w14:paraId="5672168D" w14:textId="4EB652CB" w:rsidR="00B15568" w:rsidRPr="005A1F62" w:rsidRDefault="00D72E5D" w:rsidP="008E23F4">
      <w:pPr>
        <w:tabs>
          <w:tab w:val="left" w:pos="709"/>
        </w:tabs>
        <w:ind w:firstLine="567"/>
        <w:jc w:val="both"/>
      </w:pPr>
      <w:bookmarkStart w:id="139" w:name="_Hlk43219893"/>
      <w:bookmarkStart w:id="140" w:name="_Hlk43218432"/>
      <w:r w:rsidRPr="005A1F62">
        <w:t>Расчет у</w:t>
      </w:r>
      <w:r w:rsidR="008E23F4" w:rsidRPr="005A1F62">
        <w:t>ров</w:t>
      </w:r>
      <w:r w:rsidRPr="005A1F62">
        <w:t>ня</w:t>
      </w:r>
      <w:r w:rsidR="008E23F4" w:rsidRPr="005A1F62">
        <w:t xml:space="preserve"> обеспеченности с учетом залога ценных бумаг </w:t>
      </w:r>
      <w:r w:rsidR="00B15568" w:rsidRPr="005A1F62">
        <w:t xml:space="preserve">может </w:t>
      </w:r>
      <w:r w:rsidRPr="005A1F62">
        <w:t xml:space="preserve">осуществляться без учета </w:t>
      </w:r>
      <w:r w:rsidR="00B15568" w:rsidRPr="005A1F62">
        <w:t>обеспечени</w:t>
      </w:r>
      <w:r w:rsidRPr="005A1F62">
        <w:t>я</w:t>
      </w:r>
      <w:r w:rsidR="00B15568" w:rsidRPr="005A1F62">
        <w:t xml:space="preserve"> в виде отдельных ценных бумаг или их эмитентов (например, если условный рейтинговый класс эмитента или конкретного выпуска ценных бумаг </w:t>
      </w:r>
      <w:r w:rsidR="00B15568" w:rsidRPr="005A1F62">
        <w:rPr>
          <w:lang w:val="en-US"/>
        </w:rPr>
        <w:t>ruBB</w:t>
      </w:r>
      <w:r w:rsidR="00B15568" w:rsidRPr="005A1F62">
        <w:t xml:space="preserve">- и ниже или определить условный рейтинговый класс невозможно). Обеспеченность с учетом залога ценных бумаг также может включать обеспечение в виде гарантий лиц с условным рейтинговым классом на уровне </w:t>
      </w:r>
      <w:r w:rsidR="00B15568" w:rsidRPr="005A1F62">
        <w:rPr>
          <w:lang w:val="en-US"/>
        </w:rPr>
        <w:t>ruBBB</w:t>
      </w:r>
      <w:r w:rsidR="00B15568" w:rsidRPr="005A1F62">
        <w:t>+ и выше.</w:t>
      </w:r>
    </w:p>
    <w:bookmarkEnd w:id="139"/>
    <w:bookmarkEnd w:id="140"/>
    <w:p w14:paraId="379F3D07" w14:textId="7D30FD67" w:rsidR="009B681E" w:rsidRPr="005A1F62" w:rsidRDefault="009B681E" w:rsidP="00DC2FED">
      <w:pPr>
        <w:tabs>
          <w:tab w:val="left" w:pos="709"/>
        </w:tabs>
        <w:ind w:firstLine="567"/>
        <w:jc w:val="both"/>
      </w:pPr>
      <w:r w:rsidRPr="005A1F62">
        <w:t>К ссудам, имеющим хорошее обеспечение, относятся:</w:t>
      </w:r>
    </w:p>
    <w:p w14:paraId="5B764F7A" w14:textId="13F7B924" w:rsidR="0062539F" w:rsidRPr="005A1F62" w:rsidRDefault="0062539F" w:rsidP="00B36D0E">
      <w:pPr>
        <w:numPr>
          <w:ilvl w:val="0"/>
          <w:numId w:val="43"/>
        </w:numPr>
        <w:jc w:val="both"/>
      </w:pPr>
      <w:r w:rsidRPr="005A1F62">
        <w:t>Ссуды, обеспеченные залогом денежных средств (в том числе депозитами в банке) и долговых ценных бумаг банка.</w:t>
      </w:r>
    </w:p>
    <w:p w14:paraId="735CDA2C" w14:textId="77777777" w:rsidR="0062539F" w:rsidRPr="005A1F62" w:rsidRDefault="0062539F" w:rsidP="00B36D0E">
      <w:pPr>
        <w:numPr>
          <w:ilvl w:val="0"/>
          <w:numId w:val="43"/>
        </w:numPr>
        <w:jc w:val="both"/>
      </w:pPr>
      <w:r w:rsidRPr="005A1F62">
        <w:t>Ссуды, обеспеченные залогом недвижимости и прав на нее.</w:t>
      </w:r>
    </w:p>
    <w:p w14:paraId="284F368F" w14:textId="2A123CAD" w:rsidR="0062539F" w:rsidRPr="005A1F62" w:rsidRDefault="0062539F" w:rsidP="00B36D0E">
      <w:pPr>
        <w:numPr>
          <w:ilvl w:val="0"/>
          <w:numId w:val="43"/>
        </w:numPr>
        <w:jc w:val="both"/>
      </w:pPr>
      <w:r w:rsidRPr="005A1F62">
        <w:t xml:space="preserve">Ссуды, обеспеченные гарантиями или долговыми ценными бумагами компаний, банков или органов власти с </w:t>
      </w:r>
      <w:r w:rsidR="009C6CEF" w:rsidRPr="005A1F62">
        <w:t>условным рейтинговым классом</w:t>
      </w:r>
      <w:r w:rsidRPr="005A1F62">
        <w:t xml:space="preserve"> ru</w:t>
      </w:r>
      <w:r w:rsidRPr="005A1F62">
        <w:rPr>
          <w:lang w:val="en-US"/>
        </w:rPr>
        <w:t>BBB</w:t>
      </w:r>
      <w:r w:rsidRPr="005A1F62">
        <w:t>+ или выше</w:t>
      </w:r>
      <w:r w:rsidRPr="005A1F62">
        <w:rPr>
          <w:rFonts w:eastAsia="Arial Unicode MS"/>
          <w:i/>
        </w:rPr>
        <w:t>.</w:t>
      </w:r>
    </w:p>
    <w:p w14:paraId="3142EDED" w14:textId="77777777" w:rsidR="0062539F" w:rsidRPr="005A1F62" w:rsidRDefault="0062539F" w:rsidP="00DC2FED">
      <w:pPr>
        <w:tabs>
          <w:tab w:val="left" w:pos="709"/>
        </w:tabs>
        <w:ind w:firstLine="567"/>
        <w:jc w:val="both"/>
      </w:pPr>
    </w:p>
    <w:p w14:paraId="198E344B" w14:textId="5D6FC9EA" w:rsidR="009B681E" w:rsidRPr="005A1F62" w:rsidRDefault="009B681E" w:rsidP="00DC2FED">
      <w:pPr>
        <w:tabs>
          <w:tab w:val="left" w:pos="709"/>
        </w:tabs>
        <w:ind w:firstLine="567"/>
        <w:jc w:val="both"/>
      </w:pPr>
      <w:r w:rsidRPr="005A1F62">
        <w:lastRenderedPageBreak/>
        <w:t xml:space="preserve">Правила экспертной корректировки. </w:t>
      </w:r>
      <w:bookmarkStart w:id="141" w:name="_Hlk541054"/>
      <w:r w:rsidR="009E6D29" w:rsidRPr="005A1F62">
        <w:t>Аналитик</w:t>
      </w:r>
      <w:r w:rsidRPr="005A1F62">
        <w:t xml:space="preserve"> может</w:t>
      </w:r>
      <w:r w:rsidR="00CD78CF" w:rsidRPr="005A1F62">
        <w:t xml:space="preserve"> </w:t>
      </w:r>
      <w:r w:rsidRPr="005A1F62">
        <w:t xml:space="preserve">изменить оценку за обеспечение (но не более чем на </w:t>
      </w:r>
      <w:r w:rsidR="00EF653F" w:rsidRPr="005A1F62">
        <w:t>0,5</w:t>
      </w:r>
      <w:r w:rsidR="00556A40" w:rsidRPr="005A1F62">
        <w:t xml:space="preserve"> до уровня не ниже -1 и не выше 1</w:t>
      </w:r>
      <w:r w:rsidRPr="005A1F62">
        <w:t>) с учетом следующих факторов:</w:t>
      </w:r>
    </w:p>
    <w:bookmarkEnd w:id="141"/>
    <w:p w14:paraId="7F78EE45" w14:textId="385244A5" w:rsidR="009B681E" w:rsidRPr="005A1F62" w:rsidRDefault="00942879" w:rsidP="00B36D0E">
      <w:pPr>
        <w:pStyle w:val="afb"/>
        <w:numPr>
          <w:ilvl w:val="0"/>
          <w:numId w:val="76"/>
        </w:numPr>
        <w:jc w:val="both"/>
      </w:pPr>
      <w:r w:rsidRPr="005A1F62">
        <w:t xml:space="preserve">Вверх </w:t>
      </w:r>
      <w:r w:rsidR="009B681E" w:rsidRPr="005A1F62">
        <w:t>(вниз</w:t>
      </w:r>
      <w:r w:rsidR="00FB6A6A" w:rsidRPr="005A1F62">
        <w:t xml:space="preserve">) – </w:t>
      </w:r>
      <w:r w:rsidR="009B681E" w:rsidRPr="005A1F62">
        <w:t>средний дисконт, с которым принимались активы в обеспечение, выше (ниже) средних по рынку</w:t>
      </w:r>
      <w:r w:rsidRPr="005A1F62">
        <w:t>.</w:t>
      </w:r>
      <w:r w:rsidR="009B681E" w:rsidRPr="005A1F62">
        <w:t xml:space="preserve"> </w:t>
      </w:r>
    </w:p>
    <w:p w14:paraId="5D59C2C7" w14:textId="54542F5E" w:rsidR="009B681E" w:rsidRPr="005A1F62" w:rsidRDefault="00942879" w:rsidP="00B36D0E">
      <w:pPr>
        <w:pStyle w:val="afb"/>
        <w:numPr>
          <w:ilvl w:val="0"/>
          <w:numId w:val="76"/>
        </w:numPr>
        <w:jc w:val="both"/>
      </w:pPr>
      <w:r w:rsidRPr="005A1F62">
        <w:t>Вниз</w:t>
      </w:r>
      <w:r w:rsidR="00FB6A6A" w:rsidRPr="005A1F62">
        <w:t xml:space="preserve"> – </w:t>
      </w:r>
      <w:r w:rsidR="009B681E" w:rsidRPr="005A1F62">
        <w:t>высока доля</w:t>
      </w:r>
      <w:r w:rsidR="00A9686F" w:rsidRPr="005A1F62">
        <w:t xml:space="preserve"> обеспечения в виде</w:t>
      </w:r>
      <w:r w:rsidR="009B681E" w:rsidRPr="005A1F62">
        <w:t xml:space="preserve"> долевых ценных бумаг (акций, паев) и других активов, рыночная стоимость которых может сильно колебаться либо ликвидность которых под вопросом. </w:t>
      </w:r>
    </w:p>
    <w:p w14:paraId="579233EB" w14:textId="6B9695CB" w:rsidR="009B681E" w:rsidRPr="005A1F62" w:rsidRDefault="00942879" w:rsidP="00B36D0E">
      <w:pPr>
        <w:pStyle w:val="afb"/>
        <w:numPr>
          <w:ilvl w:val="0"/>
          <w:numId w:val="76"/>
        </w:numPr>
        <w:jc w:val="both"/>
      </w:pPr>
      <w:r w:rsidRPr="005A1F62">
        <w:t>Вниз</w:t>
      </w:r>
      <w:r w:rsidR="00FB6A6A" w:rsidRPr="005A1F62">
        <w:t xml:space="preserve"> – </w:t>
      </w:r>
      <w:r w:rsidR="009B681E" w:rsidRPr="005A1F62">
        <w:t xml:space="preserve">значительный вес поручительств в совокупном обеспечении, при этом есть основания полагать большой объем перекрестного поручительства и дублирующих поручительств (несколько акционеров одной компании, у которых нет другого бизнеса, </w:t>
      </w:r>
      <w:r w:rsidR="00A9686F" w:rsidRPr="005A1F62">
        <w:t xml:space="preserve">дают </w:t>
      </w:r>
      <w:r w:rsidR="009B681E" w:rsidRPr="005A1F62">
        <w:t>несколько поручительств по кредитам компании на общую сумму, равную кредиту компании</w:t>
      </w:r>
      <w:r w:rsidRPr="005A1F62">
        <w:t>).</w:t>
      </w:r>
    </w:p>
    <w:p w14:paraId="1EDEA03B" w14:textId="135F8421" w:rsidR="009B681E" w:rsidRPr="005A1F62" w:rsidRDefault="00942879" w:rsidP="00B36D0E">
      <w:pPr>
        <w:pStyle w:val="afb"/>
        <w:numPr>
          <w:ilvl w:val="0"/>
          <w:numId w:val="76"/>
        </w:numPr>
        <w:jc w:val="both"/>
      </w:pPr>
      <w:bookmarkStart w:id="142" w:name="_Hlk541066"/>
      <w:r w:rsidRPr="005A1F62">
        <w:t xml:space="preserve">Вниз </w:t>
      </w:r>
      <w:r w:rsidR="009B681E" w:rsidRPr="005A1F62">
        <w:t>(вверх</w:t>
      </w:r>
      <w:r w:rsidR="00FB6A6A" w:rsidRPr="005A1F62">
        <w:t xml:space="preserve">) – </w:t>
      </w:r>
      <w:r w:rsidR="009B681E" w:rsidRPr="005A1F62">
        <w:t>обеспеченн</w:t>
      </w:r>
      <w:r w:rsidR="00411813" w:rsidRPr="005A1F62">
        <w:t xml:space="preserve">ость проблемных (просроченных, </w:t>
      </w:r>
      <w:r w:rsidR="009B681E" w:rsidRPr="005A1F62">
        <w:t>пролонгированных</w:t>
      </w:r>
      <w:r w:rsidR="00093E81" w:rsidRPr="005A1F62">
        <w:t xml:space="preserve"> или оцененных как проблемные по иным основаниям на основе экспертного суждения</w:t>
      </w:r>
      <w:r w:rsidR="009B681E" w:rsidRPr="005A1F62">
        <w:t>) ссуд ощутимо хуже (лучше), чем совокупные показатели обеспеченности ссуд</w:t>
      </w:r>
      <w:r w:rsidR="00340C63" w:rsidRPr="005A1F62">
        <w:t xml:space="preserve"> (во внимание принимается как уровень покрытия ссуд обеспечением, так и его качество)</w:t>
      </w:r>
      <w:r w:rsidR="009B681E" w:rsidRPr="005A1F62">
        <w:t>.</w:t>
      </w:r>
    </w:p>
    <w:bookmarkEnd w:id="142"/>
    <w:p w14:paraId="67422E70" w14:textId="77777777" w:rsidR="009E1D5C" w:rsidRPr="005A1F62" w:rsidRDefault="009E1D5C" w:rsidP="00DC2FED">
      <w:pPr>
        <w:ind w:left="720"/>
        <w:jc w:val="both"/>
      </w:pPr>
    </w:p>
    <w:p w14:paraId="34D7EA5A" w14:textId="13A86B01" w:rsidR="009B681E" w:rsidRPr="005A1F62" w:rsidRDefault="009E1D5C" w:rsidP="00B36D0E">
      <w:pPr>
        <w:numPr>
          <w:ilvl w:val="3"/>
          <w:numId w:val="58"/>
        </w:numPr>
        <w:tabs>
          <w:tab w:val="left" w:pos="709"/>
        </w:tabs>
        <w:ind w:left="0" w:firstLine="567"/>
      </w:pPr>
      <w:r w:rsidRPr="005A1F62">
        <w:t xml:space="preserve"> </w:t>
      </w:r>
      <w:r w:rsidR="009B681E" w:rsidRPr="005A1F62">
        <w:t>Концентрация кредитных рисков на отраслях и продуктах</w:t>
      </w:r>
    </w:p>
    <w:p w14:paraId="69976ECC" w14:textId="77777777" w:rsidR="0062539F" w:rsidRPr="005A1F62" w:rsidRDefault="0062539F" w:rsidP="00DC2FED">
      <w:pPr>
        <w:tabs>
          <w:tab w:val="left" w:pos="709"/>
        </w:tabs>
        <w:ind w:firstLine="567"/>
        <w:jc w:val="both"/>
      </w:pPr>
      <w:bookmarkStart w:id="143" w:name="OLE_LINK3"/>
      <w:bookmarkStart w:id="144" w:name="OLE_LINK4"/>
    </w:p>
    <w:p w14:paraId="5A465144" w14:textId="405074A3" w:rsidR="00527E54" w:rsidRPr="005A1F62" w:rsidRDefault="00527E54" w:rsidP="00DC2FED">
      <w:pPr>
        <w:tabs>
          <w:tab w:val="left" w:pos="709"/>
        </w:tabs>
        <w:ind w:firstLine="567"/>
        <w:jc w:val="both"/>
      </w:pPr>
      <w:r w:rsidRPr="005A1F62">
        <w:t xml:space="preserve">Концентрация кредитного портфеля на отраслях и продуктах оценивается на основе данных о доле </w:t>
      </w:r>
      <w:r w:rsidR="00942879" w:rsidRPr="005A1F62">
        <w:t>тре</w:t>
      </w:r>
      <w:r w:rsidRPr="005A1F62">
        <w:t xml:space="preserve">х крупнейших отраслей в портфеле кредитов ЮЛ и ИП или </w:t>
      </w:r>
      <w:r w:rsidR="004647CF" w:rsidRPr="005A1F62">
        <w:t xml:space="preserve">о </w:t>
      </w:r>
      <w:r w:rsidRPr="005A1F62">
        <w:t>доле крупнейшей отрасли (берется минимальная из оценок этих параметров с весом, определяемым как доля портфеля кредитов ЮЛ и ИП в кредитном портфеле), а также на основе данных о доле крупнейшего сегмента в портфеле кредитов ФЛ, взвешенная по доле портфеля розничных ссуд в кредитном портфеле</w:t>
      </w:r>
      <w:r w:rsidR="002718D9" w:rsidRPr="005A1F62">
        <w:rPr>
          <w:rStyle w:val="a9"/>
        </w:rPr>
        <w:footnoteReference w:id="17"/>
      </w:r>
      <w:r w:rsidRPr="005A1F62">
        <w:t>. Данные показатели относятся к показателям с «коротким хвостом».</w:t>
      </w:r>
    </w:p>
    <w:p w14:paraId="56A87DFC" w14:textId="5B4EF4A7" w:rsidR="009B681E" w:rsidRPr="005A1F62" w:rsidRDefault="009B681E" w:rsidP="00DC2FED">
      <w:pPr>
        <w:tabs>
          <w:tab w:val="left" w:pos="709"/>
        </w:tabs>
        <w:ind w:firstLine="567"/>
        <w:jc w:val="both"/>
      </w:pPr>
      <w:r w:rsidRPr="005A1F62">
        <w:t xml:space="preserve">Если имеющаяся в распоряжении </w:t>
      </w:r>
      <w:r w:rsidR="009E6D29" w:rsidRPr="005A1F62">
        <w:t>аналитик</w:t>
      </w:r>
      <w:r w:rsidRPr="005A1F62">
        <w:t xml:space="preserve">а информация о концентрации кредитных рисков на отдельных продуктах (продуктовой диверсификации) носит чрезмерно агрегированный характер (доминируют «прочие кредиты»), запрашивается более подробная разбивка по продуктам («прочие потребительские кредиты» подразделяются как минимум на </w:t>
      </w:r>
      <w:r w:rsidR="00942879" w:rsidRPr="005A1F62">
        <w:t xml:space="preserve">два </w:t>
      </w:r>
      <w:r w:rsidRPr="005A1F62">
        <w:t>типа: обеспеченные и необеспеченные кредиты</w:t>
      </w:r>
      <w:r w:rsidR="00942879" w:rsidRPr="005A1F62">
        <w:t xml:space="preserve">). </w:t>
      </w:r>
      <w:r w:rsidR="002718D9" w:rsidRPr="005A1F62">
        <w:t>Как правило, о</w:t>
      </w:r>
      <w:r w:rsidRPr="005A1F62">
        <w:t>трасли выделяются на основе формы</w:t>
      </w:r>
      <w:r w:rsidR="00942879" w:rsidRPr="005A1F62">
        <w:t xml:space="preserve"> 115</w:t>
      </w:r>
      <w:r w:rsidRPr="005A1F62">
        <w:t>: жилищные ссуды, ипотечные ссуды, автокредиты, обеспеченные потребительские ссуды и необеспеченные потребительские ссуды. Более детальная разбивка потребительских ссуд (на кредиты по кредитным картам, на кредиты наличными и т.</w:t>
      </w:r>
      <w:r w:rsidR="00942879" w:rsidRPr="005A1F62">
        <w:t> </w:t>
      </w:r>
      <w:r w:rsidRPr="005A1F62">
        <w:t>д.) не применяется.</w:t>
      </w:r>
    </w:p>
    <w:p w14:paraId="18F6160C" w14:textId="77777777" w:rsidR="009B681E" w:rsidRPr="005A1F62" w:rsidRDefault="009B681E" w:rsidP="00DC2FED">
      <w:pPr>
        <w:tabs>
          <w:tab w:val="left" w:pos="709"/>
        </w:tabs>
        <w:ind w:firstLine="567"/>
        <w:jc w:val="both"/>
      </w:pPr>
      <w:r w:rsidRPr="005A1F62">
        <w:t xml:space="preserve">Если имеющаяся в распоряжении </w:t>
      </w:r>
      <w:r w:rsidR="009E6D29" w:rsidRPr="005A1F62">
        <w:t>аналитик</w:t>
      </w:r>
      <w:r w:rsidRPr="005A1F62">
        <w:t>а информация о концентрации кредитных рисков на отдельных отраслях (отраслевой диверсификации) носит чрезмерно агрегированный характер (например, как единый выделен торговый сектор, при этом на него приходится наибольший объем ссуд), возможны два варианта действий:</w:t>
      </w:r>
    </w:p>
    <w:p w14:paraId="33B89A9C" w14:textId="1F3898B6" w:rsidR="009B681E" w:rsidRPr="005A1F62" w:rsidRDefault="00942879" w:rsidP="00B73C6D">
      <w:pPr>
        <w:numPr>
          <w:ilvl w:val="0"/>
          <w:numId w:val="5"/>
        </w:numPr>
        <w:tabs>
          <w:tab w:val="clear" w:pos="1080"/>
          <w:tab w:val="left" w:pos="360"/>
          <w:tab w:val="left" w:pos="709"/>
        </w:tabs>
        <w:ind w:left="0" w:firstLine="567"/>
        <w:jc w:val="both"/>
      </w:pPr>
      <w:r w:rsidRPr="005A1F62">
        <w:t xml:space="preserve">Выставленный </w:t>
      </w:r>
      <w:r w:rsidR="009B681E" w:rsidRPr="005A1F62">
        <w:t xml:space="preserve">балл за отраслевую диверсификацию корректируется с учетом косвенной информации (например, о специализации крупных заемщиков) о наличии внутри отраслей несвязанных сегментов (например, торговля продуктами питания и торговля ювелирными украшениями) не более чем на </w:t>
      </w:r>
      <w:r w:rsidR="0054104E" w:rsidRPr="005A1F62">
        <w:t>1</w:t>
      </w:r>
      <w:r w:rsidR="009B681E" w:rsidRPr="005A1F62">
        <w:t xml:space="preserve"> вверх.</w:t>
      </w:r>
    </w:p>
    <w:p w14:paraId="4C101AC1" w14:textId="4868C6C3" w:rsidR="009B681E" w:rsidRPr="005A1F62" w:rsidRDefault="00256348" w:rsidP="00B73C6D">
      <w:pPr>
        <w:numPr>
          <w:ilvl w:val="0"/>
          <w:numId w:val="5"/>
        </w:numPr>
        <w:tabs>
          <w:tab w:val="clear" w:pos="1080"/>
          <w:tab w:val="left" w:pos="360"/>
          <w:tab w:val="left" w:pos="709"/>
        </w:tabs>
        <w:ind w:left="0" w:firstLine="567"/>
        <w:jc w:val="both"/>
      </w:pPr>
      <w:r w:rsidRPr="005A1F62">
        <w:t>З</w:t>
      </w:r>
      <w:r w:rsidR="009B681E" w:rsidRPr="005A1F62">
        <w:t xml:space="preserve">апрашивается более подробная разбивка по отраслям (например, в торговом секторе выделяются </w:t>
      </w:r>
      <w:r w:rsidR="00942879" w:rsidRPr="005A1F62">
        <w:t xml:space="preserve">четыре </w:t>
      </w:r>
      <w:r w:rsidR="009B681E" w:rsidRPr="005A1F62">
        <w:t xml:space="preserve">сегмента: оптовая торговля промышленными товарами, </w:t>
      </w:r>
      <w:r w:rsidR="009B681E" w:rsidRPr="005A1F62">
        <w:lastRenderedPageBreak/>
        <w:t>оптовая торговля потребительскими товарами, розничная торговля промышленными товарами, розничная торговля потребительскими товарами), балл за отраслевую диверсификацию выставляется уже с учетом этой информации</w:t>
      </w:r>
      <w:r w:rsidR="00942879" w:rsidRPr="005A1F62">
        <w:t>.</w:t>
      </w:r>
    </w:p>
    <w:bookmarkEnd w:id="143"/>
    <w:bookmarkEnd w:id="144"/>
    <w:p w14:paraId="18438C61" w14:textId="77777777" w:rsidR="00364531" w:rsidRPr="005A1F62" w:rsidRDefault="00364531" w:rsidP="00364531">
      <w:pPr>
        <w:tabs>
          <w:tab w:val="left" w:pos="709"/>
        </w:tabs>
        <w:ind w:left="567"/>
        <w:rPr>
          <w:b/>
        </w:rPr>
      </w:pPr>
    </w:p>
    <w:p w14:paraId="2CF12EA5" w14:textId="09EE5BC7" w:rsidR="009B681E" w:rsidRPr="005A1F62" w:rsidRDefault="009B681E" w:rsidP="00B73C6D">
      <w:pPr>
        <w:numPr>
          <w:ilvl w:val="3"/>
          <w:numId w:val="58"/>
        </w:numPr>
        <w:tabs>
          <w:tab w:val="left" w:pos="709"/>
        </w:tabs>
        <w:ind w:left="0" w:firstLine="567"/>
      </w:pPr>
      <w:r w:rsidRPr="005A1F62">
        <w:t>Уровень проблемных ссуд</w:t>
      </w:r>
    </w:p>
    <w:p w14:paraId="60E678CB" w14:textId="77777777" w:rsidR="00364531" w:rsidRPr="005A1F62" w:rsidRDefault="00364531" w:rsidP="006A777B">
      <w:pPr>
        <w:ind w:firstLine="567"/>
        <w:jc w:val="both"/>
      </w:pPr>
    </w:p>
    <w:p w14:paraId="133C947C" w14:textId="726D29B8" w:rsidR="007B3EEF" w:rsidRPr="005A1F62" w:rsidRDefault="007B3EEF" w:rsidP="006A777B">
      <w:pPr>
        <w:ind w:firstLine="567"/>
        <w:jc w:val="both"/>
      </w:pPr>
      <w:r w:rsidRPr="005A1F62">
        <w:t>Балл за уровень проблемных ссуд представляет собой минимальную из оценок следующих параметров:</w:t>
      </w:r>
    </w:p>
    <w:p w14:paraId="1619160B" w14:textId="77777777" w:rsidR="007B3EEF" w:rsidRPr="005A1F62" w:rsidRDefault="007B3EEF" w:rsidP="00B73C6D">
      <w:pPr>
        <w:numPr>
          <w:ilvl w:val="0"/>
          <w:numId w:val="43"/>
        </w:numPr>
        <w:jc w:val="both"/>
      </w:pPr>
      <w:r w:rsidRPr="005A1F62">
        <w:t>экспертного суждения о величине не отраженного в отчетности обесценения ссудной задолженности ЮЛ, ИП, ФЛ относительно чистого ссудного портфеля без учета выданных межбанковских кредитов и регулятивного капитала;</w:t>
      </w:r>
    </w:p>
    <w:p w14:paraId="5B6F51ED" w14:textId="77777777" w:rsidR="007B3EEF" w:rsidRPr="005A1F62" w:rsidRDefault="007B3EEF" w:rsidP="00B73C6D">
      <w:pPr>
        <w:numPr>
          <w:ilvl w:val="0"/>
          <w:numId w:val="43"/>
        </w:numPr>
        <w:jc w:val="both"/>
      </w:pPr>
      <w:r w:rsidRPr="005A1F62">
        <w:t>уровня отраженного в отчетности обесценения ссудной задолженности и параметров «работающего» ссудного портфеля.</w:t>
      </w:r>
    </w:p>
    <w:p w14:paraId="58A6D833" w14:textId="22525CA6" w:rsidR="007B3EEF" w:rsidRPr="005A1F62" w:rsidRDefault="007B3EEF" w:rsidP="006A777B">
      <w:pPr>
        <w:pStyle w:val="afb"/>
        <w:ind w:left="0" w:firstLine="567"/>
        <w:jc w:val="both"/>
      </w:pPr>
      <w:r w:rsidRPr="005A1F62">
        <w:t>Экспертное суждение о величине не отраженного в отчетности обесценения ссудной задолженности ЮЛ, ИП, ФЛ относительно портфеля и регулятивного капитала позволяет оценить подверженность банка стрессам при отражении в отчетности потерь по кредитным рискам, которые, по мнению Агентства, реализованы по своей экономической сущности, но не учтены как потери или имеют высокую вероятность реализации в среднесрочной перспективе. Величина не отраженного в отчетности обесценения ограничивается фактическим кредитным риском (уменьшенным относительно величины валовых требований на сформированные резервы на возможные потери и (или) стоимост</w:t>
      </w:r>
      <w:r w:rsidR="008D5331" w:rsidRPr="005A1F62">
        <w:t xml:space="preserve">ь высоколиквидного обеспечения с высоким кредитным качеством </w:t>
      </w:r>
      <w:r w:rsidRPr="005A1F62">
        <w:t>по ссудам, имеющим следующие признаки обесценения (высокой вероятности реализации кредитного риска):</w:t>
      </w:r>
    </w:p>
    <w:p w14:paraId="13C0F3F9" w14:textId="21E5BED6" w:rsidR="007B3EEF" w:rsidRPr="005A1F62" w:rsidRDefault="007B3EEF" w:rsidP="00B73C6D">
      <w:pPr>
        <w:numPr>
          <w:ilvl w:val="0"/>
          <w:numId w:val="43"/>
        </w:numPr>
        <w:jc w:val="both"/>
      </w:pPr>
      <w:r w:rsidRPr="005A1F62">
        <w:t>ссуды техническим компаниям с</w:t>
      </w:r>
      <w:r w:rsidR="004647CF" w:rsidRPr="005A1F62">
        <w:t>о</w:t>
      </w:r>
      <w:r w:rsidRPr="005A1F62">
        <w:t xml:space="preserve"> множественными признаками отсутствия реальной деятельности;</w:t>
      </w:r>
    </w:p>
    <w:p w14:paraId="6C5C49F5" w14:textId="77777777" w:rsidR="007B3EEF" w:rsidRPr="005A1F62" w:rsidRDefault="007B3EEF" w:rsidP="00B73C6D">
      <w:pPr>
        <w:numPr>
          <w:ilvl w:val="0"/>
          <w:numId w:val="43"/>
        </w:numPr>
        <w:jc w:val="both"/>
      </w:pPr>
      <w:r w:rsidRPr="005A1F62">
        <w:t>ссуды заемщикам, использование заемных средств которыми Агентство считает нецелевым, что может привести к ухудшению их финансового состояния и платежной дисциплины и, соответственно, неспособности исполнить обязательства перед банком;</w:t>
      </w:r>
    </w:p>
    <w:p w14:paraId="2B8E262E" w14:textId="77777777" w:rsidR="007B3EEF" w:rsidRPr="005A1F62" w:rsidRDefault="007B3EEF" w:rsidP="00B73C6D">
      <w:pPr>
        <w:numPr>
          <w:ilvl w:val="0"/>
          <w:numId w:val="43"/>
        </w:numPr>
        <w:jc w:val="both"/>
      </w:pPr>
      <w:r w:rsidRPr="005A1F62">
        <w:t>ссуды, выданные на условиях, значительно отличающихся от рыночных (например, ссуды связанным с банком заемщикам, которые могут быть подвержены обесценению в результате регулятивного воздействия);</w:t>
      </w:r>
    </w:p>
    <w:p w14:paraId="075B7507" w14:textId="77777777" w:rsidR="007B3EEF" w:rsidRPr="005A1F62" w:rsidRDefault="007B3EEF" w:rsidP="00B73C6D">
      <w:pPr>
        <w:numPr>
          <w:ilvl w:val="0"/>
          <w:numId w:val="43"/>
        </w:numPr>
        <w:jc w:val="both"/>
      </w:pPr>
      <w:r w:rsidRPr="005A1F62">
        <w:t>ссуды заемщикам, в отношении которых у Агентства имеется информация о неисполнении ими обязательств перед другими кредиторами или их преддефолтном состоянии (например, информация о вынужденной реструктуризации задолженности перед другими кредиторами, о поданных в отношении заемщиков исках о признании их банкротами);</w:t>
      </w:r>
    </w:p>
    <w:p w14:paraId="5AA53780" w14:textId="60766596" w:rsidR="007B3EEF" w:rsidRPr="005A1F62" w:rsidRDefault="007B3EEF" w:rsidP="00B73C6D">
      <w:pPr>
        <w:numPr>
          <w:ilvl w:val="0"/>
          <w:numId w:val="43"/>
        </w:numPr>
        <w:jc w:val="both"/>
      </w:pPr>
      <w:r w:rsidRPr="005A1F62">
        <w:t>ссуды, неисполнение обязательств по которым, по мнению Агентства, скрыто за счет пролонгаций и реструктуризаций (по которым дефолт заемщика был бы неизбежен при неизменности условий первоначального кредитного договора и вместе с тем реструктуризация не приведет к улучшению финансового положения и способности обслуживать долг заемщиком, а лишь отложит дефолт).</w:t>
      </w:r>
    </w:p>
    <w:p w14:paraId="0F4F1EEA" w14:textId="6893D16A" w:rsidR="007B3EEF" w:rsidRPr="005A1F62" w:rsidRDefault="007B3EEF" w:rsidP="006A777B">
      <w:pPr>
        <w:pStyle w:val="afb"/>
        <w:ind w:left="0" w:firstLine="567"/>
        <w:jc w:val="both"/>
      </w:pPr>
      <w:r w:rsidRPr="005A1F62">
        <w:t xml:space="preserve">Кредитный риск по ссудам, отвечающим вышеуказанным </w:t>
      </w:r>
      <w:r w:rsidR="008D5331" w:rsidRPr="005A1F62">
        <w:t xml:space="preserve">и иным </w:t>
      </w:r>
      <w:r w:rsidRPr="005A1F62">
        <w:t>признакам</w:t>
      </w:r>
      <w:r w:rsidR="008D5331" w:rsidRPr="005A1F62">
        <w:t xml:space="preserve"> обесценения</w:t>
      </w:r>
      <w:r w:rsidRPr="005A1F62">
        <w:t>, может быть включен в совокупную величину не отраженного в отчетности обесценения ссудной задолженности не полностью, а в той части, в которой Агентством ожидаются потери банка. Например, в показатель может быть включено обесценение возвратной, по мнению Агентства, ссуды, по которой ожидается обесценение в результате ее неполного, но адекватного выявленным признакам покрытия резервами на возможные потери.</w:t>
      </w:r>
    </w:p>
    <w:p w14:paraId="6961C2AF" w14:textId="77777777" w:rsidR="007B3EEF" w:rsidRPr="005A1F62" w:rsidRDefault="007B3EEF" w:rsidP="006A777B">
      <w:pPr>
        <w:pStyle w:val="afb"/>
        <w:ind w:left="0" w:firstLine="567"/>
        <w:jc w:val="both"/>
      </w:pPr>
      <w:r w:rsidRPr="005A1F62">
        <w:lastRenderedPageBreak/>
        <w:t>Величина не отраженного в отчетности обесценения ссудной задолженности ЮЛ, ИП, ФЛ соотносится с соответствующим остатком чистой ссудной задолженности (без учета сформированных резервов на возможные потери) и регулятивным капиталом. Затем производится непрерывная линейная оценка обоих показателей, и балл за не отраженное в отчетности обесценение ссудной задолженности ЮЛ, ИП, ФЛ приравнивается к минимальной из полученных оценок.</w:t>
      </w:r>
    </w:p>
    <w:p w14:paraId="6FBC8EEA" w14:textId="77777777" w:rsidR="007B3EEF" w:rsidRPr="005A1F62" w:rsidRDefault="007B3EEF" w:rsidP="006A777B">
      <w:pPr>
        <w:ind w:firstLine="567"/>
        <w:jc w:val="both"/>
      </w:pPr>
      <w:r w:rsidRPr="005A1F62">
        <w:t>Балл за уровень отраженного в отчетности обесценения ссудной задолженности и параметры «работающего» ссудного портфеля представляет собой сумму взвешенных оценок качества совокупного портфеля ссуд ЮЛ и ИП и портфелей однородных ссуд ФЛ. Взвешивание оценок осуществляется по долям соответствующих портфелей в совокупном остатке задолженности по ссудам ЮЛ и ИП и однородным ссудам ФЛ.</w:t>
      </w:r>
    </w:p>
    <w:p w14:paraId="2FC3A184" w14:textId="77777777" w:rsidR="007B3EEF" w:rsidRPr="005A1F62" w:rsidRDefault="007B3EEF" w:rsidP="006A777B">
      <w:pPr>
        <w:pStyle w:val="afb"/>
        <w:ind w:left="0" w:firstLine="567"/>
        <w:jc w:val="both"/>
      </w:pPr>
      <w:r w:rsidRPr="005A1F62">
        <w:t>Оценка качества портфеля ссуд ЮЛ и ИП представляет собой минимальную из непрерывных оценок следующих параметров:</w:t>
      </w:r>
    </w:p>
    <w:p w14:paraId="7F181E30" w14:textId="267F5889" w:rsidR="007B3EEF" w:rsidRPr="005A1F62" w:rsidRDefault="004647CF" w:rsidP="00B73C6D">
      <w:pPr>
        <w:pStyle w:val="afb"/>
        <w:numPr>
          <w:ilvl w:val="0"/>
          <w:numId w:val="78"/>
        </w:numPr>
        <w:jc w:val="both"/>
      </w:pPr>
      <w:r w:rsidRPr="005A1F62">
        <w:t xml:space="preserve">оборачиваемости </w:t>
      </w:r>
      <w:r w:rsidR="007B3EEF" w:rsidRPr="005A1F62">
        <w:t xml:space="preserve">портфеля ссуд ЮЛ и ИП без учета овердрафтов и кредитов до востребования (среднее месячное за последние </w:t>
      </w:r>
      <w:r w:rsidRPr="005A1F62">
        <w:t xml:space="preserve">шесть </w:t>
      </w:r>
      <w:r w:rsidR="009E329E" w:rsidRPr="005A1F62">
        <w:t xml:space="preserve">месяцев отношение кредитовых </w:t>
      </w:r>
      <w:r w:rsidR="007B3EEF" w:rsidRPr="005A1F62">
        <w:t>оборотов (поступлений в погашение задолженности) к среднемесячному остатку по счетам учета соответствующей задолженности без учета овердрафтов и кредитов до востребования)</w:t>
      </w:r>
      <w:r w:rsidR="00480759" w:rsidRPr="005A1F62">
        <w:rPr>
          <w:rStyle w:val="a9"/>
        </w:rPr>
        <w:footnoteReference w:id="18"/>
      </w:r>
      <w:r w:rsidR="007B3EEF" w:rsidRPr="005A1F62">
        <w:t>;</w:t>
      </w:r>
    </w:p>
    <w:p w14:paraId="5B4B2474" w14:textId="00C34131" w:rsidR="007B3EEF" w:rsidRPr="005A1F62" w:rsidRDefault="004647CF" w:rsidP="00B73C6D">
      <w:pPr>
        <w:pStyle w:val="afb"/>
        <w:numPr>
          <w:ilvl w:val="0"/>
          <w:numId w:val="78"/>
        </w:numPr>
        <w:jc w:val="both"/>
      </w:pPr>
      <w:r w:rsidRPr="005A1F62">
        <w:t xml:space="preserve">доли </w:t>
      </w:r>
      <w:r w:rsidR="007B3EEF" w:rsidRPr="005A1F62">
        <w:t>пролонгированных ссуд в портфеле ссуд ЮЛ, ИП, ФЛ</w:t>
      </w:r>
      <w:r w:rsidR="00C53B40" w:rsidRPr="005A1F62">
        <w:rPr>
          <w:rStyle w:val="a9"/>
        </w:rPr>
        <w:footnoteReference w:id="19"/>
      </w:r>
      <w:r w:rsidR="007B3EEF" w:rsidRPr="005A1F62">
        <w:t>;</w:t>
      </w:r>
    </w:p>
    <w:p w14:paraId="6CC24A48" w14:textId="4E1C925C" w:rsidR="007B3EEF" w:rsidRPr="005A1F62" w:rsidRDefault="004647CF" w:rsidP="00B73C6D">
      <w:pPr>
        <w:pStyle w:val="afb"/>
        <w:numPr>
          <w:ilvl w:val="0"/>
          <w:numId w:val="78"/>
        </w:numPr>
        <w:jc w:val="both"/>
      </w:pPr>
      <w:r w:rsidRPr="005A1F62">
        <w:t xml:space="preserve">доли </w:t>
      </w:r>
      <w:r w:rsidR="007B3EEF" w:rsidRPr="005A1F62">
        <w:t>ссуд, классифицированных в соответствии с п. 3.10 Положения Банка России №590-П (реструктурированных без понижения категории качества ссуд), в портфеле ссуд ЮЛ и ИП</w:t>
      </w:r>
      <w:r w:rsidR="00C567FE" w:rsidRPr="005A1F62">
        <w:rPr>
          <w:rStyle w:val="a9"/>
        </w:rPr>
        <w:footnoteReference w:id="20"/>
      </w:r>
      <w:r w:rsidR="007B3EEF" w:rsidRPr="005A1F62">
        <w:t>;</w:t>
      </w:r>
    </w:p>
    <w:p w14:paraId="74A8ABAE" w14:textId="17EB66EF" w:rsidR="007B3EEF" w:rsidRPr="005A1F62" w:rsidRDefault="003C5C45" w:rsidP="00B73C6D">
      <w:pPr>
        <w:pStyle w:val="afb"/>
        <w:numPr>
          <w:ilvl w:val="0"/>
          <w:numId w:val="78"/>
        </w:numPr>
        <w:jc w:val="both"/>
      </w:pPr>
      <w:r w:rsidRPr="005A1F62">
        <w:t>д</w:t>
      </w:r>
      <w:r w:rsidR="007B3EEF" w:rsidRPr="005A1F62">
        <w:t>оли ссуд, классифицированных в соответствии с п. 3.12.3 Положения Банка России №590-П (ссуд, выданных компаниям, имеющим признаки отсутствия реальной деятельности) в портфеле ссуд ЮЛ и ИП</w:t>
      </w:r>
      <w:r w:rsidR="00A36344" w:rsidRPr="005A1F62">
        <w:rPr>
          <w:rStyle w:val="a9"/>
        </w:rPr>
        <w:footnoteReference w:id="21"/>
      </w:r>
      <w:r w:rsidR="007B3EEF" w:rsidRPr="005A1F62">
        <w:t>.</w:t>
      </w:r>
    </w:p>
    <w:p w14:paraId="05CF3869" w14:textId="3F6C308B" w:rsidR="007B3EEF" w:rsidRPr="005A1F62" w:rsidRDefault="007B3EEF" w:rsidP="006A777B">
      <w:pPr>
        <w:pStyle w:val="afb"/>
        <w:ind w:left="0" w:firstLine="567"/>
        <w:jc w:val="both"/>
      </w:pPr>
      <w:r w:rsidRPr="005A1F62">
        <w:t>Оценка качества портфеля ЮЛ и ИП (оценка «работающего</w:t>
      </w:r>
      <w:r w:rsidR="003C5C45" w:rsidRPr="005A1F62">
        <w:t>»</w:t>
      </w:r>
      <w:r w:rsidRPr="005A1F62">
        <w:t xml:space="preserve"> портфеля) отражает срочность ссудного портфеля и, соответственно, его подверженность стрессам при изменении макроэкономических параметров, платежную дисциплину заемщиков, кредитную политику банка и потенциальный уровень скрытых дефолтов в ссудном портфеле.</w:t>
      </w:r>
    </w:p>
    <w:p w14:paraId="79B3D3E8" w14:textId="49CB0F5A" w:rsidR="007B3EEF" w:rsidRPr="005A1F62" w:rsidRDefault="007B3EEF" w:rsidP="006A777B">
      <w:pPr>
        <w:pStyle w:val="afb"/>
        <w:ind w:left="0" w:firstLine="567"/>
        <w:jc w:val="both"/>
      </w:pPr>
      <w:r w:rsidRPr="005A1F62">
        <w:t xml:space="preserve">Оценка качества портфелей однородных ссуд ФЛ основывается на структуре портфелей по ссудам без просроченных платежей и ссудам с просроченными платежами различной длительности. Различаются критерии оценки портфелей потребительских кредитов, автокредитов и ипотечных и жилищных ссуд. Балл за качество портфелей однородных ссуд ФЛ представляет собой сумму взвешенных по доле соответствующих ссуд в остатке совокупной задолженности по однородным ссудам непрерывных линейных </w:t>
      </w:r>
      <w:r w:rsidRPr="005A1F62">
        <w:lastRenderedPageBreak/>
        <w:t>оценок расчетного уровня обесценения однородных портфелей. Расчетн</w:t>
      </w:r>
      <w:r w:rsidR="00185D8B" w:rsidRPr="005A1F62">
        <w:t>ый уровень обесценения определяе</w:t>
      </w:r>
      <w:r w:rsidRPr="005A1F62">
        <w:t>тся по следующим весовым коэффициентам.</w:t>
      </w:r>
    </w:p>
    <w:p w14:paraId="73547937" w14:textId="1D9731D6" w:rsidR="006A777B" w:rsidRPr="005A1F62" w:rsidRDefault="006A777B" w:rsidP="00AD25CE">
      <w:pPr>
        <w:jc w:val="both"/>
      </w:pPr>
    </w:p>
    <w:tbl>
      <w:tblPr>
        <w:tblStyle w:val="af0"/>
        <w:tblW w:w="0" w:type="auto"/>
        <w:tblLook w:val="04A0" w:firstRow="1" w:lastRow="0" w:firstColumn="1" w:lastColumn="0" w:noHBand="0" w:noVBand="1"/>
      </w:tblPr>
      <w:tblGrid>
        <w:gridCol w:w="3334"/>
        <w:gridCol w:w="2003"/>
        <w:gridCol w:w="2004"/>
        <w:gridCol w:w="2004"/>
      </w:tblGrid>
      <w:tr w:rsidR="007B3EEF" w:rsidRPr="005A1F62" w14:paraId="08047C91" w14:textId="77777777" w:rsidTr="00364531">
        <w:tc>
          <w:tcPr>
            <w:tcW w:w="3334" w:type="dxa"/>
          </w:tcPr>
          <w:p w14:paraId="02D55B3A" w14:textId="77777777" w:rsidR="007B3EEF" w:rsidRPr="005A1F62" w:rsidRDefault="007B3EEF" w:rsidP="00DC2FED">
            <w:pPr>
              <w:pStyle w:val="afb"/>
              <w:ind w:left="0"/>
              <w:jc w:val="both"/>
            </w:pPr>
          </w:p>
        </w:tc>
        <w:tc>
          <w:tcPr>
            <w:tcW w:w="2003" w:type="dxa"/>
          </w:tcPr>
          <w:p w14:paraId="4E1981EF" w14:textId="77777777" w:rsidR="007B3EEF" w:rsidRPr="005A1F62" w:rsidRDefault="007B3EEF" w:rsidP="00364531">
            <w:pPr>
              <w:pStyle w:val="afb"/>
              <w:ind w:left="0"/>
              <w:jc w:val="center"/>
            </w:pPr>
            <w:r w:rsidRPr="005A1F62">
              <w:t>Потребительские кредиты</w:t>
            </w:r>
          </w:p>
        </w:tc>
        <w:tc>
          <w:tcPr>
            <w:tcW w:w="2004" w:type="dxa"/>
          </w:tcPr>
          <w:p w14:paraId="439A7AB4" w14:textId="77777777" w:rsidR="007B3EEF" w:rsidRPr="005A1F62" w:rsidRDefault="007B3EEF" w:rsidP="00364531">
            <w:pPr>
              <w:pStyle w:val="afb"/>
              <w:ind w:left="0"/>
              <w:jc w:val="center"/>
            </w:pPr>
            <w:r w:rsidRPr="005A1F62">
              <w:t>Автокредиты</w:t>
            </w:r>
          </w:p>
        </w:tc>
        <w:tc>
          <w:tcPr>
            <w:tcW w:w="2004" w:type="dxa"/>
          </w:tcPr>
          <w:p w14:paraId="186223CF" w14:textId="77777777" w:rsidR="007B3EEF" w:rsidRPr="005A1F62" w:rsidRDefault="007B3EEF" w:rsidP="00364531">
            <w:pPr>
              <w:pStyle w:val="afb"/>
              <w:ind w:left="0"/>
              <w:jc w:val="center"/>
            </w:pPr>
            <w:r w:rsidRPr="005A1F62">
              <w:t>Ипотечные и жилищные ссуды</w:t>
            </w:r>
          </w:p>
        </w:tc>
      </w:tr>
      <w:tr w:rsidR="007B3EEF" w:rsidRPr="005A1F62" w14:paraId="04C55814" w14:textId="77777777" w:rsidTr="00364531">
        <w:tc>
          <w:tcPr>
            <w:tcW w:w="3334" w:type="dxa"/>
          </w:tcPr>
          <w:p w14:paraId="2F2B7B47" w14:textId="029425EC" w:rsidR="007B3EEF" w:rsidRPr="005A1F62" w:rsidRDefault="007B3EEF" w:rsidP="00577687">
            <w:pPr>
              <w:pStyle w:val="afb"/>
              <w:ind w:left="0"/>
            </w:pPr>
            <w:r w:rsidRPr="005A1F62">
              <w:t>Ссуды без просроченных платежей</w:t>
            </w:r>
            <w:r w:rsidR="003C5C45" w:rsidRPr="005A1F62">
              <w:t>, %</w:t>
            </w:r>
          </w:p>
        </w:tc>
        <w:tc>
          <w:tcPr>
            <w:tcW w:w="2003" w:type="dxa"/>
            <w:vAlign w:val="center"/>
          </w:tcPr>
          <w:p w14:paraId="322519E7" w14:textId="3BDAA9FF" w:rsidR="007B3EEF" w:rsidRPr="005A1F62" w:rsidRDefault="007B3EEF" w:rsidP="00364531">
            <w:pPr>
              <w:pStyle w:val="afb"/>
              <w:ind w:left="0"/>
              <w:jc w:val="center"/>
            </w:pPr>
            <w:r w:rsidRPr="005A1F62">
              <w:t>3</w:t>
            </w:r>
          </w:p>
        </w:tc>
        <w:tc>
          <w:tcPr>
            <w:tcW w:w="2004" w:type="dxa"/>
            <w:vAlign w:val="center"/>
          </w:tcPr>
          <w:p w14:paraId="545F74DB" w14:textId="269774C9" w:rsidR="007B3EEF" w:rsidRPr="005A1F62" w:rsidRDefault="007B3EEF" w:rsidP="00364531">
            <w:pPr>
              <w:pStyle w:val="afb"/>
              <w:ind w:left="0"/>
              <w:jc w:val="center"/>
            </w:pPr>
            <w:r w:rsidRPr="005A1F62">
              <w:t>1</w:t>
            </w:r>
          </w:p>
        </w:tc>
        <w:tc>
          <w:tcPr>
            <w:tcW w:w="2004" w:type="dxa"/>
            <w:vAlign w:val="center"/>
          </w:tcPr>
          <w:p w14:paraId="6D12C967" w14:textId="262BC038" w:rsidR="007B3EEF" w:rsidRPr="005A1F62" w:rsidRDefault="007B3EEF" w:rsidP="00364531">
            <w:pPr>
              <w:pStyle w:val="afb"/>
              <w:ind w:left="0"/>
              <w:jc w:val="center"/>
            </w:pPr>
            <w:r w:rsidRPr="005A1F62">
              <w:t>0</w:t>
            </w:r>
          </w:p>
        </w:tc>
      </w:tr>
      <w:tr w:rsidR="007B3EEF" w:rsidRPr="005A1F62" w14:paraId="39EFCB97" w14:textId="77777777" w:rsidTr="00364531">
        <w:tc>
          <w:tcPr>
            <w:tcW w:w="3334" w:type="dxa"/>
          </w:tcPr>
          <w:p w14:paraId="21D09ADC" w14:textId="3BEE0001" w:rsidR="007B3EEF" w:rsidRPr="005A1F62" w:rsidRDefault="007B3EEF" w:rsidP="00577687">
            <w:pPr>
              <w:pStyle w:val="afb"/>
              <w:ind w:left="0"/>
            </w:pPr>
            <w:r w:rsidRPr="005A1F62">
              <w:t>Ссуды с просроченными платежами длительностью от 1 до 30 дней</w:t>
            </w:r>
            <w:r w:rsidR="003C5C45" w:rsidRPr="005A1F62">
              <w:t>, %</w:t>
            </w:r>
          </w:p>
        </w:tc>
        <w:tc>
          <w:tcPr>
            <w:tcW w:w="2003" w:type="dxa"/>
            <w:vAlign w:val="center"/>
          </w:tcPr>
          <w:p w14:paraId="5AD1A81C" w14:textId="5294EC9D" w:rsidR="007B3EEF" w:rsidRPr="005A1F62" w:rsidRDefault="007B3EEF" w:rsidP="00364531">
            <w:pPr>
              <w:pStyle w:val="afb"/>
              <w:ind w:left="0"/>
              <w:jc w:val="center"/>
            </w:pPr>
            <w:r w:rsidRPr="005A1F62">
              <w:t>8</w:t>
            </w:r>
          </w:p>
        </w:tc>
        <w:tc>
          <w:tcPr>
            <w:tcW w:w="2004" w:type="dxa"/>
            <w:vAlign w:val="center"/>
          </w:tcPr>
          <w:p w14:paraId="382B313C" w14:textId="12E971A6" w:rsidR="007B3EEF" w:rsidRPr="005A1F62" w:rsidRDefault="007B3EEF" w:rsidP="00364531">
            <w:pPr>
              <w:pStyle w:val="afb"/>
              <w:ind w:left="0"/>
              <w:jc w:val="center"/>
            </w:pPr>
            <w:r w:rsidRPr="005A1F62">
              <w:t>2,5</w:t>
            </w:r>
          </w:p>
        </w:tc>
        <w:tc>
          <w:tcPr>
            <w:tcW w:w="2004" w:type="dxa"/>
            <w:vAlign w:val="center"/>
          </w:tcPr>
          <w:p w14:paraId="6C0C9652" w14:textId="6803DD6D" w:rsidR="007B3EEF" w:rsidRPr="005A1F62" w:rsidRDefault="007B3EEF" w:rsidP="00364531">
            <w:pPr>
              <w:pStyle w:val="afb"/>
              <w:ind w:left="0"/>
              <w:jc w:val="center"/>
            </w:pPr>
            <w:r w:rsidRPr="005A1F62">
              <w:t>1</w:t>
            </w:r>
          </w:p>
        </w:tc>
      </w:tr>
      <w:tr w:rsidR="007B3EEF" w:rsidRPr="005A1F62" w14:paraId="1DA80609" w14:textId="77777777" w:rsidTr="00364531">
        <w:tc>
          <w:tcPr>
            <w:tcW w:w="3334" w:type="dxa"/>
          </w:tcPr>
          <w:p w14:paraId="3F6226D0" w14:textId="7F39B0D5" w:rsidR="007B3EEF" w:rsidRPr="005A1F62" w:rsidRDefault="007B3EEF" w:rsidP="00577687">
            <w:pPr>
              <w:pStyle w:val="afb"/>
              <w:ind w:left="0"/>
            </w:pPr>
            <w:r w:rsidRPr="005A1F62">
              <w:t>Ссуды с просроченными платежами длительностью от 31 до 90 дней</w:t>
            </w:r>
            <w:r w:rsidR="003C5C45" w:rsidRPr="005A1F62">
              <w:t>, %</w:t>
            </w:r>
          </w:p>
        </w:tc>
        <w:tc>
          <w:tcPr>
            <w:tcW w:w="2003" w:type="dxa"/>
            <w:vAlign w:val="center"/>
          </w:tcPr>
          <w:p w14:paraId="3377D3ED" w14:textId="6501AF61" w:rsidR="007B3EEF" w:rsidRPr="005A1F62" w:rsidRDefault="007B3EEF" w:rsidP="00364531">
            <w:pPr>
              <w:pStyle w:val="afb"/>
              <w:ind w:left="0"/>
              <w:jc w:val="center"/>
            </w:pPr>
            <w:r w:rsidRPr="005A1F62">
              <w:t>30</w:t>
            </w:r>
          </w:p>
        </w:tc>
        <w:tc>
          <w:tcPr>
            <w:tcW w:w="2004" w:type="dxa"/>
            <w:vAlign w:val="center"/>
          </w:tcPr>
          <w:p w14:paraId="170A0730" w14:textId="23BFD1ED" w:rsidR="007B3EEF" w:rsidRPr="005A1F62" w:rsidRDefault="007B3EEF" w:rsidP="00364531">
            <w:pPr>
              <w:pStyle w:val="afb"/>
              <w:ind w:left="0"/>
              <w:jc w:val="center"/>
            </w:pPr>
            <w:r w:rsidRPr="005A1F62">
              <w:t>20</w:t>
            </w:r>
          </w:p>
        </w:tc>
        <w:tc>
          <w:tcPr>
            <w:tcW w:w="2004" w:type="dxa"/>
            <w:vAlign w:val="center"/>
          </w:tcPr>
          <w:p w14:paraId="76C278FA" w14:textId="184B2C25" w:rsidR="007B3EEF" w:rsidRPr="005A1F62" w:rsidRDefault="007B3EEF" w:rsidP="00364531">
            <w:pPr>
              <w:pStyle w:val="afb"/>
              <w:ind w:left="0"/>
              <w:jc w:val="center"/>
            </w:pPr>
            <w:r w:rsidRPr="005A1F62">
              <w:t>10</w:t>
            </w:r>
          </w:p>
        </w:tc>
      </w:tr>
      <w:tr w:rsidR="007B3EEF" w:rsidRPr="005A1F62" w14:paraId="0FBFC029" w14:textId="77777777" w:rsidTr="00364531">
        <w:tc>
          <w:tcPr>
            <w:tcW w:w="3334" w:type="dxa"/>
          </w:tcPr>
          <w:p w14:paraId="51FC3A72" w14:textId="018525A3" w:rsidR="007B3EEF" w:rsidRPr="005A1F62" w:rsidRDefault="007B3EEF" w:rsidP="00577687">
            <w:pPr>
              <w:pStyle w:val="afb"/>
              <w:ind w:left="0"/>
            </w:pPr>
            <w:r w:rsidRPr="005A1F62">
              <w:t>Ссуды с просроченными платежами длительностью от 91 до 180 дней</w:t>
            </w:r>
            <w:r w:rsidR="003C5C45" w:rsidRPr="005A1F62">
              <w:t>, %</w:t>
            </w:r>
          </w:p>
        </w:tc>
        <w:tc>
          <w:tcPr>
            <w:tcW w:w="2003" w:type="dxa"/>
            <w:vAlign w:val="center"/>
          </w:tcPr>
          <w:p w14:paraId="545B0393" w14:textId="5C129479" w:rsidR="007B3EEF" w:rsidRPr="005A1F62" w:rsidRDefault="007B3EEF" w:rsidP="00364531">
            <w:pPr>
              <w:pStyle w:val="afb"/>
              <w:ind w:left="0"/>
              <w:jc w:val="center"/>
            </w:pPr>
            <w:r w:rsidRPr="005A1F62">
              <w:t>75</w:t>
            </w:r>
          </w:p>
        </w:tc>
        <w:tc>
          <w:tcPr>
            <w:tcW w:w="2004" w:type="dxa"/>
            <w:vAlign w:val="center"/>
          </w:tcPr>
          <w:p w14:paraId="42A50847" w14:textId="51639665" w:rsidR="007B3EEF" w:rsidRPr="005A1F62" w:rsidRDefault="007B3EEF" w:rsidP="00364531">
            <w:pPr>
              <w:pStyle w:val="afb"/>
              <w:ind w:left="0"/>
              <w:jc w:val="center"/>
            </w:pPr>
            <w:r w:rsidRPr="005A1F62">
              <w:t>45</w:t>
            </w:r>
          </w:p>
        </w:tc>
        <w:tc>
          <w:tcPr>
            <w:tcW w:w="2004" w:type="dxa"/>
            <w:vAlign w:val="center"/>
          </w:tcPr>
          <w:p w14:paraId="503B5885" w14:textId="29AEB447" w:rsidR="007B3EEF" w:rsidRPr="005A1F62" w:rsidRDefault="007B3EEF" w:rsidP="00364531">
            <w:pPr>
              <w:pStyle w:val="afb"/>
              <w:ind w:left="0"/>
              <w:jc w:val="center"/>
            </w:pPr>
            <w:r w:rsidRPr="005A1F62">
              <w:t>35</w:t>
            </w:r>
          </w:p>
        </w:tc>
      </w:tr>
      <w:tr w:rsidR="007B3EEF" w:rsidRPr="005A1F62" w14:paraId="062E3A0A" w14:textId="77777777" w:rsidTr="00364531">
        <w:tc>
          <w:tcPr>
            <w:tcW w:w="3334" w:type="dxa"/>
          </w:tcPr>
          <w:p w14:paraId="4A3B9034" w14:textId="7716A336" w:rsidR="007B3EEF" w:rsidRPr="005A1F62" w:rsidRDefault="007B3EEF" w:rsidP="00577687">
            <w:pPr>
              <w:pStyle w:val="afb"/>
              <w:ind w:left="0"/>
            </w:pPr>
            <w:r w:rsidRPr="005A1F62">
              <w:t>Ссуды с просроченными платежами длительностью свыше 180 дней</w:t>
            </w:r>
            <w:r w:rsidR="003C5C45" w:rsidRPr="005A1F62">
              <w:t>, %</w:t>
            </w:r>
          </w:p>
        </w:tc>
        <w:tc>
          <w:tcPr>
            <w:tcW w:w="2003" w:type="dxa"/>
            <w:vAlign w:val="center"/>
          </w:tcPr>
          <w:p w14:paraId="6A17F447" w14:textId="61A93178" w:rsidR="007B3EEF" w:rsidRPr="005A1F62" w:rsidRDefault="007B3EEF" w:rsidP="00364531">
            <w:pPr>
              <w:pStyle w:val="afb"/>
              <w:ind w:left="0"/>
              <w:jc w:val="center"/>
            </w:pPr>
            <w:r w:rsidRPr="005A1F62">
              <w:t>100</w:t>
            </w:r>
          </w:p>
        </w:tc>
        <w:tc>
          <w:tcPr>
            <w:tcW w:w="2004" w:type="dxa"/>
            <w:vAlign w:val="center"/>
          </w:tcPr>
          <w:p w14:paraId="34033C62" w14:textId="4C8C41C2" w:rsidR="007B3EEF" w:rsidRPr="005A1F62" w:rsidRDefault="007B3EEF" w:rsidP="00364531">
            <w:pPr>
              <w:pStyle w:val="afb"/>
              <w:ind w:left="0"/>
              <w:jc w:val="center"/>
            </w:pPr>
            <w:r w:rsidRPr="005A1F62">
              <w:t>100</w:t>
            </w:r>
          </w:p>
        </w:tc>
        <w:tc>
          <w:tcPr>
            <w:tcW w:w="2004" w:type="dxa"/>
            <w:vAlign w:val="center"/>
          </w:tcPr>
          <w:p w14:paraId="7B30475A" w14:textId="09B068CA" w:rsidR="007B3EEF" w:rsidRPr="005A1F62" w:rsidRDefault="007B3EEF" w:rsidP="00364531">
            <w:pPr>
              <w:pStyle w:val="afb"/>
              <w:ind w:left="0"/>
              <w:jc w:val="center"/>
            </w:pPr>
            <w:r w:rsidRPr="005A1F62">
              <w:t>100</w:t>
            </w:r>
          </w:p>
        </w:tc>
      </w:tr>
    </w:tbl>
    <w:p w14:paraId="2EB70A4C" w14:textId="77777777" w:rsidR="006A777B" w:rsidRPr="005A1F62" w:rsidRDefault="006A777B" w:rsidP="006A777B">
      <w:pPr>
        <w:tabs>
          <w:tab w:val="left" w:pos="709"/>
        </w:tabs>
        <w:ind w:firstLine="567"/>
        <w:jc w:val="both"/>
      </w:pPr>
    </w:p>
    <w:p w14:paraId="5A4053F4" w14:textId="77777777" w:rsidR="00A15425" w:rsidRPr="005A1F62" w:rsidRDefault="00C13096" w:rsidP="006A777B">
      <w:pPr>
        <w:tabs>
          <w:tab w:val="left" w:pos="709"/>
        </w:tabs>
        <w:ind w:firstLine="567"/>
        <w:jc w:val="both"/>
      </w:pPr>
      <w:bookmarkStart w:id="145" w:name="_Hlk508203219"/>
      <w:r w:rsidRPr="005A1F62">
        <w:t>Итоговый балл за уровень проблемных ссуд может быть скорректирован</w:t>
      </w:r>
      <w:r w:rsidR="00A15425" w:rsidRPr="005A1F62">
        <w:t>:</w:t>
      </w:r>
    </w:p>
    <w:p w14:paraId="654FA578" w14:textId="78784B20" w:rsidR="00A15425" w:rsidRPr="005A1F62" w:rsidRDefault="00C13096" w:rsidP="00B73C6D">
      <w:pPr>
        <w:pStyle w:val="afb"/>
        <w:numPr>
          <w:ilvl w:val="0"/>
          <w:numId w:val="74"/>
        </w:numPr>
        <w:tabs>
          <w:tab w:val="left" w:pos="709"/>
        </w:tabs>
        <w:jc w:val="both"/>
      </w:pPr>
      <w:r w:rsidRPr="005A1F62">
        <w:t>в меньшую сторону (не более чем на 1 балл и до уровня не ниже -1)</w:t>
      </w:r>
      <w:r w:rsidR="00A15425" w:rsidRPr="005A1F62">
        <w:t xml:space="preserve"> </w:t>
      </w:r>
      <w:r w:rsidRPr="005A1F62">
        <w:t xml:space="preserve">с учетом </w:t>
      </w:r>
      <w:r w:rsidR="00D054EB" w:rsidRPr="005A1F62">
        <w:t>ретроспективной дефолтности ссуд (например, если она не отражена в оцениваемых показателях на дату оценки в результате реализации</w:t>
      </w:r>
      <w:r w:rsidR="007D350E" w:rsidRPr="005A1F62">
        <w:t xml:space="preserve"> и (или) списания проблемных акт</w:t>
      </w:r>
      <w:r w:rsidR="00D054EB" w:rsidRPr="005A1F62">
        <w:t xml:space="preserve">ивов, но при этом у </w:t>
      </w:r>
      <w:r w:rsidR="003C5C45" w:rsidRPr="005A1F62">
        <w:t xml:space="preserve">Агентства </w:t>
      </w:r>
      <w:r w:rsidR="00D054EB" w:rsidRPr="005A1F62">
        <w:t>нет оснований считать, что произошли позитивные изменения кредитной политики)</w:t>
      </w:r>
      <w:r w:rsidR="00A15425" w:rsidRPr="005A1F62">
        <w:t xml:space="preserve"> </w:t>
      </w:r>
      <w:r w:rsidR="00A15425" w:rsidRPr="005A1F62">
        <w:t>и ретроспективной динамики доформирования резервов по ожидаемым кредитным убыткам (в результате перехода между стадиями 1 и 2, а также между стадиями 2 и 3) с учетом новых выдач.</w:t>
      </w:r>
    </w:p>
    <w:p w14:paraId="234A5F6C" w14:textId="1D11B341" w:rsidR="00607433" w:rsidRPr="005A1F62" w:rsidRDefault="00D054EB" w:rsidP="00B73C6D">
      <w:pPr>
        <w:pStyle w:val="afb"/>
        <w:numPr>
          <w:ilvl w:val="0"/>
          <w:numId w:val="74"/>
        </w:numPr>
        <w:tabs>
          <w:tab w:val="left" w:pos="709"/>
        </w:tabs>
        <w:jc w:val="both"/>
      </w:pPr>
      <w:r w:rsidRPr="005A1F62">
        <w:t>в большую сторону (не более чем на 1 балл</w:t>
      </w:r>
      <w:r w:rsidR="00BD7124" w:rsidRPr="005A1F62">
        <w:t>,</w:t>
      </w:r>
      <w:r w:rsidRPr="005A1F62">
        <w:t xml:space="preserve"> до уровня не выше 1) в случае текущего изменения бизнес-модели (если оцениваемый ссудный портфель в краткосрочной перспективе не будет являться значимым направлением деятельности банка и соответствующие кредитные риски не представляют существенной угрозы для показателей финансовой устойчивости банка).</w:t>
      </w:r>
      <w:bookmarkEnd w:id="145"/>
    </w:p>
    <w:p w14:paraId="57CBD7DD" w14:textId="77777777" w:rsidR="002836D2" w:rsidRPr="005A1F62" w:rsidRDefault="002836D2" w:rsidP="006A777B">
      <w:pPr>
        <w:tabs>
          <w:tab w:val="left" w:pos="709"/>
        </w:tabs>
        <w:ind w:firstLine="567"/>
        <w:jc w:val="both"/>
      </w:pPr>
    </w:p>
    <w:p w14:paraId="773B7032" w14:textId="77777777" w:rsidR="009B681E" w:rsidRPr="005A1F62" w:rsidRDefault="009B681E" w:rsidP="00B73C6D">
      <w:pPr>
        <w:pStyle w:val="3"/>
        <w:numPr>
          <w:ilvl w:val="2"/>
          <w:numId w:val="58"/>
        </w:numPr>
        <w:tabs>
          <w:tab w:val="left" w:pos="709"/>
        </w:tabs>
        <w:spacing w:before="0" w:after="0"/>
        <w:ind w:left="0" w:firstLine="567"/>
        <w:rPr>
          <w:rFonts w:ascii="Times New Roman" w:hAnsi="Times New Roman" w:cs="Times New Roman"/>
          <w:sz w:val="24"/>
          <w:szCs w:val="24"/>
        </w:rPr>
      </w:pPr>
      <w:bookmarkStart w:id="146" w:name="_Toc277064209"/>
      <w:bookmarkStart w:id="147" w:name="_Toc277183407"/>
      <w:bookmarkStart w:id="148" w:name="_Toc343776105"/>
      <w:bookmarkStart w:id="149" w:name="_Toc459363756"/>
      <w:bookmarkStart w:id="150" w:name="_Toc44433459"/>
      <w:r w:rsidRPr="005A1F62">
        <w:rPr>
          <w:rFonts w:ascii="Times New Roman" w:hAnsi="Times New Roman" w:cs="Times New Roman"/>
          <w:sz w:val="24"/>
          <w:szCs w:val="24"/>
        </w:rPr>
        <w:t>Качество портфеля ценных бумаг</w:t>
      </w:r>
      <w:bookmarkEnd w:id="146"/>
      <w:bookmarkEnd w:id="147"/>
      <w:bookmarkEnd w:id="148"/>
      <w:bookmarkEnd w:id="149"/>
      <w:r w:rsidR="000C3DBA" w:rsidRPr="005A1F62">
        <w:rPr>
          <w:rStyle w:val="a9"/>
          <w:rFonts w:ascii="Times New Roman" w:hAnsi="Times New Roman" w:cs="Times New Roman"/>
          <w:sz w:val="24"/>
          <w:szCs w:val="24"/>
        </w:rPr>
        <w:footnoteReference w:id="22"/>
      </w:r>
      <w:bookmarkEnd w:id="150"/>
    </w:p>
    <w:p w14:paraId="1C5F6D0D" w14:textId="77777777" w:rsidR="00364531" w:rsidRPr="005A1F62" w:rsidRDefault="00364531" w:rsidP="00DC2FED">
      <w:pPr>
        <w:pStyle w:val="aff0"/>
        <w:tabs>
          <w:tab w:val="left" w:pos="709"/>
        </w:tabs>
        <w:ind w:firstLine="567"/>
        <w:jc w:val="both"/>
      </w:pPr>
    </w:p>
    <w:p w14:paraId="3E4C36AF" w14:textId="013654CA" w:rsidR="00492CC9" w:rsidRPr="005A1F62" w:rsidRDefault="009E2879" w:rsidP="00DC2FED">
      <w:pPr>
        <w:pStyle w:val="aff0"/>
        <w:tabs>
          <w:tab w:val="left" w:pos="709"/>
        </w:tabs>
        <w:ind w:firstLine="567"/>
        <w:jc w:val="both"/>
      </w:pPr>
      <w:r w:rsidRPr="005A1F62">
        <w:t xml:space="preserve">Балл за качество портфеля ценных бумаг представляет собой оценку подверженности </w:t>
      </w:r>
      <w:r w:rsidR="001D31CD" w:rsidRPr="005A1F62">
        <w:t xml:space="preserve">портфеля </w:t>
      </w:r>
      <w:r w:rsidR="00F52695" w:rsidRPr="005A1F62">
        <w:t>кредитным и фондовым рискам, которая определяется соответствующим коэффициентом, рассчитанным по формуле:</w:t>
      </w:r>
    </w:p>
    <w:p w14:paraId="0C75F51D" w14:textId="77777777" w:rsidR="0007043E" w:rsidRPr="005A1F62" w:rsidRDefault="0007043E" w:rsidP="00DC2FED">
      <w:pPr>
        <w:pStyle w:val="aff0"/>
        <w:tabs>
          <w:tab w:val="left" w:pos="709"/>
        </w:tabs>
        <w:ind w:firstLine="567"/>
        <w:jc w:val="both"/>
      </w:pPr>
    </w:p>
    <w:p w14:paraId="0CDAAF9E" w14:textId="2609BEC8" w:rsidR="009E2879" w:rsidRPr="005A1F62" w:rsidRDefault="00492CC9" w:rsidP="00DC2FED">
      <w:pPr>
        <w:pStyle w:val="aff0"/>
        <w:tabs>
          <w:tab w:val="left" w:pos="709"/>
        </w:tabs>
        <w:ind w:firstLine="567"/>
        <w:jc w:val="both"/>
      </w:pPr>
      <w:r w:rsidRPr="005A1F62">
        <w:t>∑</w:t>
      </w:r>
      <w:r w:rsidR="0084167E" w:rsidRPr="005A1F62">
        <w:t xml:space="preserve"> </w:t>
      </w:r>
      <w:r w:rsidRPr="005A1F62">
        <w:t>(коэффициент учета условного рейтингового класса эмитента</w:t>
      </w:r>
      <w:r w:rsidR="0084167E" w:rsidRPr="005A1F62">
        <w:t xml:space="preserve"> </w:t>
      </w:r>
      <w:r w:rsidRPr="005A1F62">
        <w:t>*</w:t>
      </w:r>
      <w:r w:rsidR="0084167E" w:rsidRPr="005A1F62">
        <w:t xml:space="preserve"> </w:t>
      </w:r>
      <w:r w:rsidRPr="005A1F62">
        <w:t>объем вложений в ценные бумаги соответствующих эмитентов)</w:t>
      </w:r>
      <w:r w:rsidR="0084167E" w:rsidRPr="005A1F62">
        <w:t xml:space="preserve"> </w:t>
      </w:r>
      <w:r w:rsidRPr="005A1F62">
        <w:t>/</w:t>
      </w:r>
      <w:r w:rsidR="0084167E" w:rsidRPr="005A1F62">
        <w:t xml:space="preserve"> </w:t>
      </w:r>
      <w:r w:rsidR="003C5C45" w:rsidRPr="005A1F62">
        <w:t xml:space="preserve">портфель </w:t>
      </w:r>
      <w:r w:rsidRPr="005A1F62">
        <w:t>ценных бумаг</w:t>
      </w:r>
      <w:r w:rsidR="0084167E" w:rsidRPr="005A1F62">
        <w:t>.</w:t>
      </w:r>
    </w:p>
    <w:p w14:paraId="7DD6B2B4" w14:textId="77777777" w:rsidR="0007043E" w:rsidRPr="005A1F62" w:rsidRDefault="0007043E" w:rsidP="00DC2FED">
      <w:pPr>
        <w:pStyle w:val="aff0"/>
        <w:tabs>
          <w:tab w:val="left" w:pos="709"/>
        </w:tabs>
        <w:ind w:firstLine="567"/>
        <w:jc w:val="both"/>
      </w:pPr>
    </w:p>
    <w:p w14:paraId="3C900449" w14:textId="44EAE6E0" w:rsidR="001D31CD" w:rsidRPr="005A1F62" w:rsidRDefault="001D31CD" w:rsidP="00DC2FED">
      <w:pPr>
        <w:pStyle w:val="aff0"/>
        <w:tabs>
          <w:tab w:val="left" w:pos="709"/>
        </w:tabs>
        <w:ind w:firstLine="567"/>
        <w:jc w:val="both"/>
      </w:pPr>
      <w:r w:rsidRPr="005A1F62">
        <w:t xml:space="preserve">Условные рейтинговые классы эмитентов ценных бумаг соответствуют рейтинговым классам по </w:t>
      </w:r>
      <w:r w:rsidR="00A85293" w:rsidRPr="005A1F62">
        <w:t xml:space="preserve">национальной рейтинговой шкале </w:t>
      </w:r>
      <w:r w:rsidR="009C7FE7" w:rsidRPr="005A1F62">
        <w:t>«Эксперт</w:t>
      </w:r>
      <w:r w:rsidR="003C5C45" w:rsidRPr="005A1F62">
        <w:t>а</w:t>
      </w:r>
      <w:r w:rsidR="009C7FE7" w:rsidRPr="005A1F62">
        <w:t xml:space="preserve"> РА»</w:t>
      </w:r>
      <w:r w:rsidRPr="005A1F62">
        <w:t xml:space="preserve"> и определяются по </w:t>
      </w:r>
      <w:r w:rsidRPr="005A1F62">
        <w:lastRenderedPageBreak/>
        <w:t xml:space="preserve">совокупности имеющейся у </w:t>
      </w:r>
      <w:r w:rsidR="00793246" w:rsidRPr="005A1F62">
        <w:t>А</w:t>
      </w:r>
      <w:r w:rsidRPr="005A1F62">
        <w:t>гентства информации о кредитном качестве эмитента. К этой информации относятся:</w:t>
      </w:r>
    </w:p>
    <w:p w14:paraId="7C012DB9" w14:textId="77777777" w:rsidR="001D31CD" w:rsidRPr="005A1F62" w:rsidRDefault="0084167E" w:rsidP="00B73C6D">
      <w:pPr>
        <w:numPr>
          <w:ilvl w:val="0"/>
          <w:numId w:val="43"/>
        </w:numPr>
        <w:jc w:val="both"/>
      </w:pPr>
      <w:r w:rsidRPr="005A1F62">
        <w:t xml:space="preserve">присвоенные </w:t>
      </w:r>
      <w:r w:rsidR="00DF166D" w:rsidRPr="005A1F62">
        <w:t>эмитентам</w:t>
      </w:r>
      <w:r w:rsidR="005D7208" w:rsidRPr="005A1F62">
        <w:t xml:space="preserve"> и конкретным выпускам</w:t>
      </w:r>
      <w:r w:rsidR="00DF166D" w:rsidRPr="005A1F62">
        <w:t xml:space="preserve"> ценных бумаг кредитные рейтинги;</w:t>
      </w:r>
    </w:p>
    <w:p w14:paraId="5443FDCE" w14:textId="77777777" w:rsidR="00DF166D" w:rsidRPr="005A1F62" w:rsidRDefault="0084167E" w:rsidP="00B73C6D">
      <w:pPr>
        <w:numPr>
          <w:ilvl w:val="0"/>
          <w:numId w:val="43"/>
        </w:numPr>
        <w:jc w:val="both"/>
      </w:pPr>
      <w:r w:rsidRPr="005A1F62">
        <w:t xml:space="preserve">публичная </w:t>
      </w:r>
      <w:r w:rsidR="00DF166D" w:rsidRPr="005A1F62">
        <w:t>финансовая отчетность эмитентов ценных бумаг;</w:t>
      </w:r>
    </w:p>
    <w:p w14:paraId="4F6C9B61" w14:textId="645E260B" w:rsidR="00DF166D" w:rsidRPr="005A1F62" w:rsidRDefault="0084167E" w:rsidP="00B73C6D">
      <w:pPr>
        <w:numPr>
          <w:ilvl w:val="0"/>
          <w:numId w:val="43"/>
        </w:numPr>
        <w:jc w:val="both"/>
      </w:pPr>
      <w:r w:rsidRPr="005A1F62">
        <w:t xml:space="preserve">непубличная </w:t>
      </w:r>
      <w:r w:rsidR="00DF166D" w:rsidRPr="005A1F62">
        <w:t xml:space="preserve">финансовая отчетность эмитентов ценных бумаг (при ее наличии у </w:t>
      </w:r>
      <w:r w:rsidR="00793246" w:rsidRPr="005A1F62">
        <w:t>А</w:t>
      </w:r>
      <w:r w:rsidR="00DF166D" w:rsidRPr="005A1F62">
        <w:t>гентства);</w:t>
      </w:r>
    </w:p>
    <w:p w14:paraId="1491C663" w14:textId="77777777" w:rsidR="00DF166D" w:rsidRPr="005A1F62" w:rsidRDefault="0084167E" w:rsidP="00B73C6D">
      <w:pPr>
        <w:numPr>
          <w:ilvl w:val="0"/>
          <w:numId w:val="43"/>
        </w:numPr>
        <w:jc w:val="both"/>
      </w:pPr>
      <w:r w:rsidRPr="005A1F62">
        <w:t xml:space="preserve">другая </w:t>
      </w:r>
      <w:r w:rsidR="00DF166D" w:rsidRPr="005A1F62">
        <w:t xml:space="preserve">информация из открытых источников, определяющая тенденции в деятельности эмитентов ценных бумаг, которые могут оказать существенное влияние на </w:t>
      </w:r>
      <w:r w:rsidR="009E3A58" w:rsidRPr="005A1F62">
        <w:t xml:space="preserve">степень подверженности вложений в выпущенные эмитентами </w:t>
      </w:r>
      <w:r w:rsidRPr="005A1F62">
        <w:t xml:space="preserve">ценные </w:t>
      </w:r>
      <w:r w:rsidR="009E3A58" w:rsidRPr="005A1F62">
        <w:t>бумаг</w:t>
      </w:r>
      <w:r w:rsidRPr="005A1F62">
        <w:t>и</w:t>
      </w:r>
      <w:r w:rsidR="009E3A58" w:rsidRPr="005A1F62">
        <w:t xml:space="preserve"> кредитным и фондовым рискам.</w:t>
      </w:r>
    </w:p>
    <w:p w14:paraId="377477E4" w14:textId="360A6A07" w:rsidR="009E3A58" w:rsidRPr="005A1F62" w:rsidRDefault="009E3A58" w:rsidP="00DC2FED">
      <w:pPr>
        <w:tabs>
          <w:tab w:val="left" w:pos="709"/>
        </w:tabs>
        <w:ind w:firstLine="567"/>
        <w:jc w:val="both"/>
      </w:pPr>
      <w:r w:rsidRPr="005A1F62">
        <w:t xml:space="preserve">Условные рейтинговые классы эмитентов ценных бумаг в целях оценки подверженности вложений в эмитированные ими ценные бумаги могут быть скорректированы относительно фактически присвоенных им кредитными рейтинговыми агентствами кредитных рейтингов при выявлении на основе имеющейся информации характеризующих их кредитное качество показателей, которые в соответствии с методологиями присвоения рейтингов </w:t>
      </w:r>
      <w:r w:rsidR="009C7FE7" w:rsidRPr="005A1F62">
        <w:t>«Эксперт</w:t>
      </w:r>
      <w:r w:rsidR="003C5C45" w:rsidRPr="005A1F62">
        <w:t>а</w:t>
      </w:r>
      <w:r w:rsidR="009C7FE7" w:rsidRPr="005A1F62">
        <w:t xml:space="preserve"> РА»</w:t>
      </w:r>
      <w:r w:rsidRPr="005A1F62">
        <w:t xml:space="preserve"> привели бы к присвоению отличного от фактически </w:t>
      </w:r>
      <w:r w:rsidR="005F18A9" w:rsidRPr="005A1F62">
        <w:t xml:space="preserve">присвоенного </w:t>
      </w:r>
      <w:r w:rsidRPr="005A1F62">
        <w:t xml:space="preserve">эмитенту </w:t>
      </w:r>
      <w:r w:rsidR="005F18A9" w:rsidRPr="005A1F62">
        <w:t xml:space="preserve">уровня </w:t>
      </w:r>
      <w:r w:rsidRPr="005A1F62">
        <w:t xml:space="preserve">рейтинга. </w:t>
      </w:r>
      <w:r w:rsidR="003748B4" w:rsidRPr="005A1F62">
        <w:t>При этом для сопоставления присвоенных различными кредитными рейтинговыми агентствами кредитных рейтингов используется актуальное статистическое распределение</w:t>
      </w:r>
      <w:r w:rsidR="00AA182D" w:rsidRPr="005A1F62">
        <w:t>.</w:t>
      </w:r>
      <w:r w:rsidR="000F5D2A" w:rsidRPr="005A1F62">
        <w:t xml:space="preserve"> Для оценки на основе имеющейся информации (в первую очередь финансовой отчетности эмитента) оснований для корректировки рейтингового класса, к которому отнесены вложения в эмитированные ими ценные бумаги, </w:t>
      </w:r>
      <w:r w:rsidR="00793246" w:rsidRPr="005A1F62">
        <w:t>А</w:t>
      </w:r>
      <w:r w:rsidR="000F5D2A" w:rsidRPr="005A1F62">
        <w:t>гентство руководствуется методологиями присвоения рейтингов</w:t>
      </w:r>
      <w:r w:rsidR="004A0887" w:rsidRPr="005A1F62">
        <w:t xml:space="preserve">, </w:t>
      </w:r>
      <w:r w:rsidR="000F5D2A" w:rsidRPr="005A1F62">
        <w:t xml:space="preserve">которые применимы к эмитенту ценных бумаг. </w:t>
      </w:r>
      <w:r w:rsidR="00492CC9" w:rsidRPr="005A1F62">
        <w:t xml:space="preserve">Коэффициенты учета условных рейтинговых классов эмитентов определяются по следующей </w:t>
      </w:r>
      <w:r w:rsidR="005D7208" w:rsidRPr="005A1F62">
        <w:t>таблице.</w:t>
      </w:r>
    </w:p>
    <w:p w14:paraId="0A283AF3" w14:textId="77777777" w:rsidR="00492CC9" w:rsidRPr="005A1F62" w:rsidRDefault="00492CC9" w:rsidP="00DC2FED">
      <w:pPr>
        <w:tabs>
          <w:tab w:val="left" w:pos="709"/>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3923"/>
      </w:tblGrid>
      <w:tr w:rsidR="00606FD5" w:rsidRPr="005A1F62" w14:paraId="28DD552B" w14:textId="77777777" w:rsidTr="00DE1A56">
        <w:tc>
          <w:tcPr>
            <w:tcW w:w="2901" w:type="pct"/>
          </w:tcPr>
          <w:p w14:paraId="446A3CF1" w14:textId="38F167D7" w:rsidR="00606FD5" w:rsidRPr="005A1F62" w:rsidRDefault="00606FD5" w:rsidP="00DC2FED">
            <w:pPr>
              <w:tabs>
                <w:tab w:val="left" w:pos="709"/>
              </w:tabs>
              <w:jc w:val="both"/>
            </w:pPr>
            <w:r w:rsidRPr="005A1F62">
              <w:t>Условный рейтинговый класс эмитента по шкале «Эксперт</w:t>
            </w:r>
            <w:r w:rsidR="003C5C45" w:rsidRPr="005A1F62">
              <w:t>а</w:t>
            </w:r>
            <w:r w:rsidRPr="005A1F62">
              <w:t xml:space="preserve"> РА»</w:t>
            </w:r>
          </w:p>
        </w:tc>
        <w:tc>
          <w:tcPr>
            <w:tcW w:w="2099" w:type="pct"/>
            <w:shd w:val="clear" w:color="auto" w:fill="auto"/>
          </w:tcPr>
          <w:p w14:paraId="3AB0BA06" w14:textId="77777777" w:rsidR="00606FD5" w:rsidRPr="005A1F62" w:rsidRDefault="00606FD5" w:rsidP="00DC2FED">
            <w:pPr>
              <w:tabs>
                <w:tab w:val="left" w:pos="709"/>
              </w:tabs>
              <w:jc w:val="both"/>
            </w:pPr>
            <w:r w:rsidRPr="005A1F62">
              <w:t>Коэффициент учета</w:t>
            </w:r>
          </w:p>
        </w:tc>
      </w:tr>
      <w:tr w:rsidR="00606FD5" w:rsidRPr="005A1F62" w14:paraId="6B37E636" w14:textId="77777777" w:rsidTr="00DE1A56">
        <w:tc>
          <w:tcPr>
            <w:tcW w:w="2901" w:type="pct"/>
          </w:tcPr>
          <w:p w14:paraId="4E19160E" w14:textId="77777777" w:rsidR="00606FD5" w:rsidRPr="005A1F62" w:rsidRDefault="00606FD5" w:rsidP="00DC2FED">
            <w:pPr>
              <w:tabs>
                <w:tab w:val="left" w:pos="709"/>
              </w:tabs>
              <w:jc w:val="both"/>
              <w:rPr>
                <w:lang w:val="en-US"/>
              </w:rPr>
            </w:pPr>
            <w:r w:rsidRPr="005A1F62">
              <w:rPr>
                <w:lang w:val="en-US"/>
              </w:rPr>
              <w:t>ruAAA, ruAA+, ruAA,</w:t>
            </w:r>
            <w:r w:rsidRPr="005A1F62">
              <w:t xml:space="preserve"> </w:t>
            </w:r>
            <w:r w:rsidRPr="005A1F62">
              <w:rPr>
                <w:lang w:val="en-US"/>
              </w:rPr>
              <w:t>ruAA-</w:t>
            </w:r>
          </w:p>
        </w:tc>
        <w:tc>
          <w:tcPr>
            <w:tcW w:w="2099" w:type="pct"/>
            <w:shd w:val="clear" w:color="auto" w:fill="auto"/>
          </w:tcPr>
          <w:p w14:paraId="33700335" w14:textId="77777777" w:rsidR="00606FD5" w:rsidRPr="005A1F62" w:rsidRDefault="00606FD5" w:rsidP="00DC2FED">
            <w:pPr>
              <w:tabs>
                <w:tab w:val="left" w:pos="709"/>
              </w:tabs>
              <w:jc w:val="both"/>
              <w:rPr>
                <w:lang w:val="en-US"/>
              </w:rPr>
            </w:pPr>
            <w:r w:rsidRPr="005A1F62">
              <w:rPr>
                <w:lang w:val="en-US"/>
              </w:rPr>
              <w:t>1</w:t>
            </w:r>
          </w:p>
        </w:tc>
      </w:tr>
      <w:tr w:rsidR="00606FD5" w:rsidRPr="005A1F62" w14:paraId="46178117" w14:textId="77777777" w:rsidTr="00DE1A56">
        <w:tc>
          <w:tcPr>
            <w:tcW w:w="2901" w:type="pct"/>
          </w:tcPr>
          <w:p w14:paraId="5A879D47" w14:textId="77777777" w:rsidR="00606FD5" w:rsidRPr="005A1F62" w:rsidRDefault="00606FD5" w:rsidP="00DC2FED">
            <w:pPr>
              <w:tabs>
                <w:tab w:val="left" w:pos="709"/>
              </w:tabs>
              <w:jc w:val="both"/>
              <w:rPr>
                <w:lang w:val="en-US"/>
              </w:rPr>
            </w:pPr>
            <w:r w:rsidRPr="005A1F62">
              <w:rPr>
                <w:lang w:val="en-US"/>
              </w:rPr>
              <w:t>ruA+</w:t>
            </w:r>
          </w:p>
        </w:tc>
        <w:tc>
          <w:tcPr>
            <w:tcW w:w="2099" w:type="pct"/>
            <w:shd w:val="clear" w:color="auto" w:fill="auto"/>
          </w:tcPr>
          <w:p w14:paraId="1FA989C8" w14:textId="77777777" w:rsidR="00606FD5" w:rsidRPr="005A1F62" w:rsidRDefault="00606FD5" w:rsidP="00DC2FED">
            <w:pPr>
              <w:tabs>
                <w:tab w:val="left" w:pos="709"/>
              </w:tabs>
              <w:jc w:val="both"/>
              <w:rPr>
                <w:lang w:val="en-US"/>
              </w:rPr>
            </w:pPr>
            <w:r w:rsidRPr="005A1F62">
              <w:rPr>
                <w:lang w:val="en-US"/>
              </w:rPr>
              <w:t>0,85</w:t>
            </w:r>
          </w:p>
        </w:tc>
      </w:tr>
      <w:tr w:rsidR="00606FD5" w:rsidRPr="005A1F62" w14:paraId="1A89BC75" w14:textId="77777777" w:rsidTr="00DE1A56">
        <w:tc>
          <w:tcPr>
            <w:tcW w:w="2901" w:type="pct"/>
          </w:tcPr>
          <w:p w14:paraId="0EC03B7B" w14:textId="77777777" w:rsidR="00606FD5" w:rsidRPr="005A1F62" w:rsidRDefault="00606FD5" w:rsidP="00DC2FED">
            <w:pPr>
              <w:tabs>
                <w:tab w:val="left" w:pos="709"/>
              </w:tabs>
              <w:jc w:val="both"/>
              <w:rPr>
                <w:lang w:val="en-US"/>
              </w:rPr>
            </w:pPr>
            <w:r w:rsidRPr="005A1F62">
              <w:rPr>
                <w:lang w:val="en-US"/>
              </w:rPr>
              <w:t>ruA, ruA-</w:t>
            </w:r>
          </w:p>
        </w:tc>
        <w:tc>
          <w:tcPr>
            <w:tcW w:w="2099" w:type="pct"/>
            <w:shd w:val="clear" w:color="auto" w:fill="auto"/>
          </w:tcPr>
          <w:p w14:paraId="7FB69547" w14:textId="77777777" w:rsidR="00606FD5" w:rsidRPr="005A1F62" w:rsidRDefault="00606FD5" w:rsidP="00DC2FED">
            <w:pPr>
              <w:tabs>
                <w:tab w:val="left" w:pos="709"/>
              </w:tabs>
              <w:jc w:val="both"/>
              <w:rPr>
                <w:lang w:val="en-US"/>
              </w:rPr>
            </w:pPr>
            <w:r w:rsidRPr="005A1F62">
              <w:rPr>
                <w:lang w:val="en-US"/>
              </w:rPr>
              <w:t>0,8</w:t>
            </w:r>
          </w:p>
        </w:tc>
      </w:tr>
      <w:tr w:rsidR="00606FD5" w:rsidRPr="005A1F62" w14:paraId="453CFF5B" w14:textId="77777777" w:rsidTr="00DE1A56">
        <w:tc>
          <w:tcPr>
            <w:tcW w:w="2901" w:type="pct"/>
          </w:tcPr>
          <w:p w14:paraId="310F8B21" w14:textId="77777777" w:rsidR="00606FD5" w:rsidRPr="005A1F62" w:rsidRDefault="00606FD5" w:rsidP="00DC2FED">
            <w:pPr>
              <w:tabs>
                <w:tab w:val="left" w:pos="709"/>
              </w:tabs>
              <w:jc w:val="both"/>
              <w:rPr>
                <w:lang w:val="en-US"/>
              </w:rPr>
            </w:pPr>
            <w:r w:rsidRPr="005A1F62">
              <w:rPr>
                <w:lang w:val="en-US"/>
              </w:rPr>
              <w:t>ruBBB+</w:t>
            </w:r>
          </w:p>
        </w:tc>
        <w:tc>
          <w:tcPr>
            <w:tcW w:w="2099" w:type="pct"/>
            <w:shd w:val="clear" w:color="auto" w:fill="auto"/>
          </w:tcPr>
          <w:p w14:paraId="3C59346D" w14:textId="77777777" w:rsidR="00606FD5" w:rsidRPr="005A1F62" w:rsidRDefault="00606FD5" w:rsidP="00DC2FED">
            <w:pPr>
              <w:tabs>
                <w:tab w:val="left" w:pos="709"/>
              </w:tabs>
              <w:jc w:val="both"/>
              <w:rPr>
                <w:lang w:val="en-US"/>
              </w:rPr>
            </w:pPr>
            <w:r w:rsidRPr="005A1F62">
              <w:rPr>
                <w:lang w:val="en-US"/>
              </w:rPr>
              <w:t>0,75</w:t>
            </w:r>
          </w:p>
        </w:tc>
      </w:tr>
      <w:tr w:rsidR="00606FD5" w:rsidRPr="005A1F62" w14:paraId="38FA2672" w14:textId="77777777" w:rsidTr="00DE1A56">
        <w:tc>
          <w:tcPr>
            <w:tcW w:w="2901" w:type="pct"/>
          </w:tcPr>
          <w:p w14:paraId="501D2405" w14:textId="77777777" w:rsidR="00606FD5" w:rsidRPr="005A1F62" w:rsidRDefault="00606FD5" w:rsidP="00DC2FED">
            <w:pPr>
              <w:tabs>
                <w:tab w:val="left" w:pos="709"/>
              </w:tabs>
              <w:jc w:val="both"/>
              <w:rPr>
                <w:lang w:val="en-US"/>
              </w:rPr>
            </w:pPr>
            <w:r w:rsidRPr="005A1F62">
              <w:rPr>
                <w:lang w:val="en-US"/>
              </w:rPr>
              <w:t>ruBBB</w:t>
            </w:r>
          </w:p>
        </w:tc>
        <w:tc>
          <w:tcPr>
            <w:tcW w:w="2099" w:type="pct"/>
            <w:shd w:val="clear" w:color="auto" w:fill="auto"/>
          </w:tcPr>
          <w:p w14:paraId="08FBA51E" w14:textId="77777777" w:rsidR="00606FD5" w:rsidRPr="005A1F62" w:rsidRDefault="00606FD5" w:rsidP="00DC2FED">
            <w:pPr>
              <w:tabs>
                <w:tab w:val="left" w:pos="709"/>
              </w:tabs>
              <w:jc w:val="both"/>
              <w:rPr>
                <w:lang w:val="en-US"/>
              </w:rPr>
            </w:pPr>
            <w:r w:rsidRPr="005A1F62">
              <w:rPr>
                <w:lang w:val="en-US"/>
              </w:rPr>
              <w:t>0,7</w:t>
            </w:r>
          </w:p>
        </w:tc>
      </w:tr>
      <w:tr w:rsidR="00606FD5" w:rsidRPr="005A1F62" w14:paraId="0E0BC4F1" w14:textId="77777777" w:rsidTr="00DE1A56">
        <w:tc>
          <w:tcPr>
            <w:tcW w:w="2901" w:type="pct"/>
          </w:tcPr>
          <w:p w14:paraId="6FA1C63E" w14:textId="77777777" w:rsidR="00606FD5" w:rsidRPr="005A1F62" w:rsidRDefault="00606FD5" w:rsidP="00DC2FED">
            <w:pPr>
              <w:tabs>
                <w:tab w:val="left" w:pos="709"/>
              </w:tabs>
              <w:jc w:val="both"/>
              <w:rPr>
                <w:lang w:val="en-US"/>
              </w:rPr>
            </w:pPr>
            <w:r w:rsidRPr="005A1F62">
              <w:rPr>
                <w:lang w:val="en-US"/>
              </w:rPr>
              <w:t>ruBBB-, ruBB+</w:t>
            </w:r>
          </w:p>
        </w:tc>
        <w:tc>
          <w:tcPr>
            <w:tcW w:w="2099" w:type="pct"/>
            <w:shd w:val="clear" w:color="auto" w:fill="auto"/>
          </w:tcPr>
          <w:p w14:paraId="2C3F28C4" w14:textId="77777777" w:rsidR="00606FD5" w:rsidRPr="005A1F62" w:rsidRDefault="00606FD5" w:rsidP="00DC2FED">
            <w:pPr>
              <w:tabs>
                <w:tab w:val="left" w:pos="709"/>
              </w:tabs>
              <w:jc w:val="both"/>
              <w:rPr>
                <w:lang w:val="en-US"/>
              </w:rPr>
            </w:pPr>
            <w:r w:rsidRPr="005A1F62">
              <w:rPr>
                <w:lang w:val="en-US"/>
              </w:rPr>
              <w:t>0,65</w:t>
            </w:r>
          </w:p>
        </w:tc>
      </w:tr>
      <w:tr w:rsidR="00606FD5" w:rsidRPr="005A1F62" w14:paraId="16C9E370" w14:textId="77777777" w:rsidTr="00DE1A56">
        <w:tc>
          <w:tcPr>
            <w:tcW w:w="2901" w:type="pct"/>
          </w:tcPr>
          <w:p w14:paraId="748F0DF1" w14:textId="77777777" w:rsidR="00606FD5" w:rsidRPr="005A1F62" w:rsidRDefault="00606FD5" w:rsidP="00DC2FED">
            <w:pPr>
              <w:tabs>
                <w:tab w:val="left" w:pos="709"/>
              </w:tabs>
              <w:jc w:val="both"/>
              <w:rPr>
                <w:lang w:val="en-US"/>
              </w:rPr>
            </w:pPr>
            <w:r w:rsidRPr="005A1F62">
              <w:rPr>
                <w:lang w:val="en-US"/>
              </w:rPr>
              <w:t>ruBB</w:t>
            </w:r>
          </w:p>
        </w:tc>
        <w:tc>
          <w:tcPr>
            <w:tcW w:w="2099" w:type="pct"/>
            <w:shd w:val="clear" w:color="auto" w:fill="auto"/>
          </w:tcPr>
          <w:p w14:paraId="2F16BFD4" w14:textId="77777777" w:rsidR="00606FD5" w:rsidRPr="005A1F62" w:rsidRDefault="00606FD5" w:rsidP="00DC2FED">
            <w:pPr>
              <w:tabs>
                <w:tab w:val="left" w:pos="709"/>
              </w:tabs>
              <w:jc w:val="both"/>
              <w:rPr>
                <w:lang w:val="en-US"/>
              </w:rPr>
            </w:pPr>
            <w:r w:rsidRPr="005A1F62">
              <w:rPr>
                <w:lang w:val="en-US"/>
              </w:rPr>
              <w:t>0,58</w:t>
            </w:r>
          </w:p>
        </w:tc>
      </w:tr>
      <w:tr w:rsidR="00606FD5" w:rsidRPr="005A1F62" w14:paraId="2A0C2A8E" w14:textId="77777777" w:rsidTr="00DE1A56">
        <w:tc>
          <w:tcPr>
            <w:tcW w:w="2901" w:type="pct"/>
          </w:tcPr>
          <w:p w14:paraId="5A26F4BC" w14:textId="77777777" w:rsidR="00606FD5" w:rsidRPr="005A1F62" w:rsidRDefault="00606FD5" w:rsidP="00DC2FED">
            <w:pPr>
              <w:tabs>
                <w:tab w:val="left" w:pos="709"/>
              </w:tabs>
              <w:jc w:val="both"/>
              <w:rPr>
                <w:lang w:val="en-US"/>
              </w:rPr>
            </w:pPr>
            <w:r w:rsidRPr="005A1F62">
              <w:rPr>
                <w:lang w:val="en-US"/>
              </w:rPr>
              <w:t>ruBB-, ruB+</w:t>
            </w:r>
          </w:p>
        </w:tc>
        <w:tc>
          <w:tcPr>
            <w:tcW w:w="2099" w:type="pct"/>
            <w:shd w:val="clear" w:color="auto" w:fill="auto"/>
          </w:tcPr>
          <w:p w14:paraId="2387C137" w14:textId="77777777" w:rsidR="00606FD5" w:rsidRPr="005A1F62" w:rsidRDefault="00606FD5" w:rsidP="00DC2FED">
            <w:pPr>
              <w:tabs>
                <w:tab w:val="left" w:pos="709"/>
              </w:tabs>
              <w:jc w:val="both"/>
              <w:rPr>
                <w:lang w:val="en-US"/>
              </w:rPr>
            </w:pPr>
            <w:r w:rsidRPr="005A1F62">
              <w:rPr>
                <w:lang w:val="en-US"/>
              </w:rPr>
              <w:t>0,45</w:t>
            </w:r>
          </w:p>
        </w:tc>
      </w:tr>
      <w:tr w:rsidR="00606FD5" w:rsidRPr="005A1F62" w14:paraId="4EED67EC" w14:textId="77777777" w:rsidTr="00DE1A56">
        <w:tc>
          <w:tcPr>
            <w:tcW w:w="2901" w:type="pct"/>
          </w:tcPr>
          <w:p w14:paraId="2FC95FAE" w14:textId="77777777" w:rsidR="00606FD5" w:rsidRPr="005A1F62" w:rsidRDefault="00606FD5" w:rsidP="00DC2FED">
            <w:pPr>
              <w:tabs>
                <w:tab w:val="left" w:pos="709"/>
              </w:tabs>
              <w:jc w:val="both"/>
              <w:rPr>
                <w:lang w:val="en-US"/>
              </w:rPr>
            </w:pPr>
            <w:r w:rsidRPr="005A1F62">
              <w:rPr>
                <w:lang w:val="en-US"/>
              </w:rPr>
              <w:t>ruB</w:t>
            </w:r>
          </w:p>
        </w:tc>
        <w:tc>
          <w:tcPr>
            <w:tcW w:w="2099" w:type="pct"/>
            <w:shd w:val="clear" w:color="auto" w:fill="auto"/>
          </w:tcPr>
          <w:p w14:paraId="5B6864BC" w14:textId="77777777" w:rsidR="00606FD5" w:rsidRPr="005A1F62" w:rsidRDefault="00606FD5" w:rsidP="00DC2FED">
            <w:pPr>
              <w:tabs>
                <w:tab w:val="left" w:pos="709"/>
              </w:tabs>
              <w:jc w:val="both"/>
            </w:pPr>
            <w:r w:rsidRPr="005A1F62">
              <w:t>0,2</w:t>
            </w:r>
          </w:p>
        </w:tc>
      </w:tr>
      <w:tr w:rsidR="00606FD5" w:rsidRPr="005A1F62" w14:paraId="1CEDFB98" w14:textId="77777777" w:rsidTr="00DE1A56">
        <w:tc>
          <w:tcPr>
            <w:tcW w:w="2901" w:type="pct"/>
          </w:tcPr>
          <w:p w14:paraId="04B8AA98" w14:textId="77777777" w:rsidR="00606FD5" w:rsidRPr="005A1F62" w:rsidRDefault="00606FD5" w:rsidP="00DC2FED">
            <w:pPr>
              <w:tabs>
                <w:tab w:val="left" w:pos="709"/>
              </w:tabs>
              <w:jc w:val="both"/>
            </w:pPr>
            <w:r w:rsidRPr="005A1F62">
              <w:rPr>
                <w:lang w:val="en-US"/>
              </w:rPr>
              <w:t>ruB</w:t>
            </w:r>
            <w:r w:rsidRPr="005A1F62">
              <w:t>-</w:t>
            </w:r>
          </w:p>
        </w:tc>
        <w:tc>
          <w:tcPr>
            <w:tcW w:w="2099" w:type="pct"/>
            <w:shd w:val="clear" w:color="auto" w:fill="auto"/>
          </w:tcPr>
          <w:p w14:paraId="3B75453D" w14:textId="77777777" w:rsidR="00606FD5" w:rsidRPr="005A1F62" w:rsidRDefault="00606FD5" w:rsidP="00DC2FED">
            <w:pPr>
              <w:tabs>
                <w:tab w:val="left" w:pos="709"/>
              </w:tabs>
              <w:jc w:val="both"/>
            </w:pPr>
            <w:r w:rsidRPr="005A1F62">
              <w:t>0,1</w:t>
            </w:r>
          </w:p>
        </w:tc>
      </w:tr>
      <w:tr w:rsidR="00606FD5" w:rsidRPr="005A1F62" w14:paraId="6956623B" w14:textId="77777777" w:rsidTr="00DE1A56">
        <w:tc>
          <w:tcPr>
            <w:tcW w:w="2901" w:type="pct"/>
          </w:tcPr>
          <w:p w14:paraId="70D9C62A" w14:textId="77777777" w:rsidR="00606FD5" w:rsidRPr="005A1F62" w:rsidRDefault="00606FD5" w:rsidP="00DC2FED">
            <w:pPr>
              <w:tabs>
                <w:tab w:val="left" w:pos="709"/>
              </w:tabs>
              <w:jc w:val="both"/>
            </w:pPr>
            <w:r w:rsidRPr="005A1F62">
              <w:rPr>
                <w:lang w:val="en-US"/>
              </w:rPr>
              <w:t>ruCCC</w:t>
            </w:r>
            <w:r w:rsidRPr="005A1F62">
              <w:t xml:space="preserve"> и ниже</w:t>
            </w:r>
          </w:p>
        </w:tc>
        <w:tc>
          <w:tcPr>
            <w:tcW w:w="2099" w:type="pct"/>
            <w:shd w:val="clear" w:color="auto" w:fill="auto"/>
          </w:tcPr>
          <w:p w14:paraId="6D943231" w14:textId="77777777" w:rsidR="00606FD5" w:rsidRPr="005A1F62" w:rsidRDefault="00606FD5" w:rsidP="00DC2FED">
            <w:pPr>
              <w:tabs>
                <w:tab w:val="left" w:pos="709"/>
              </w:tabs>
              <w:jc w:val="both"/>
            </w:pPr>
            <w:r w:rsidRPr="005A1F62">
              <w:t>0</w:t>
            </w:r>
          </w:p>
        </w:tc>
      </w:tr>
    </w:tbl>
    <w:p w14:paraId="320368F2" w14:textId="77777777" w:rsidR="00492CC9" w:rsidRPr="005A1F62" w:rsidRDefault="00492CC9" w:rsidP="00DC2FED">
      <w:pPr>
        <w:tabs>
          <w:tab w:val="left" w:pos="709"/>
        </w:tabs>
        <w:jc w:val="both"/>
      </w:pPr>
    </w:p>
    <w:p w14:paraId="47DDDAE3" w14:textId="77777777" w:rsidR="00492CC9" w:rsidRPr="005A1F62" w:rsidRDefault="00F52695" w:rsidP="00DC2FED">
      <w:pPr>
        <w:tabs>
          <w:tab w:val="left" w:pos="709"/>
        </w:tabs>
        <w:ind w:firstLine="567"/>
        <w:jc w:val="both"/>
      </w:pPr>
      <w:r w:rsidRPr="005A1F62">
        <w:t xml:space="preserve">Коэффициент подверженности портфеля ценных бумаг кредитным и фондовым рискам переводится </w:t>
      </w:r>
      <w:r w:rsidR="00492CC9" w:rsidRPr="005A1F62">
        <w:t>в итоговый балл в соответствии с приведенной далее таблицей. Расчет непрерывный.</w:t>
      </w:r>
    </w:p>
    <w:p w14:paraId="2523218A" w14:textId="77777777" w:rsidR="0084167E" w:rsidRPr="005A1F62" w:rsidRDefault="0084167E" w:rsidP="00DC2FED">
      <w:pPr>
        <w:tabs>
          <w:tab w:val="left" w:pos="709"/>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36"/>
        <w:gridCol w:w="1905"/>
      </w:tblGrid>
      <w:tr w:rsidR="00492CC9" w:rsidRPr="005A1F62" w14:paraId="02C57F40" w14:textId="77777777" w:rsidTr="00F52695">
        <w:tc>
          <w:tcPr>
            <w:tcW w:w="2945" w:type="pct"/>
            <w:shd w:val="clear" w:color="auto" w:fill="auto"/>
          </w:tcPr>
          <w:p w14:paraId="4FCA7443" w14:textId="77777777" w:rsidR="00492CC9" w:rsidRPr="005A1F62" w:rsidRDefault="00492CC9" w:rsidP="00DC2FED">
            <w:pPr>
              <w:tabs>
                <w:tab w:val="left" w:pos="709"/>
              </w:tabs>
              <w:jc w:val="both"/>
            </w:pPr>
            <w:r w:rsidRPr="005A1F62">
              <w:t>Итоговый балл</w:t>
            </w:r>
          </w:p>
        </w:tc>
        <w:tc>
          <w:tcPr>
            <w:tcW w:w="1036" w:type="pct"/>
            <w:shd w:val="clear" w:color="auto" w:fill="auto"/>
          </w:tcPr>
          <w:p w14:paraId="24DB12F8" w14:textId="77777777" w:rsidR="00492CC9" w:rsidRPr="005A1F62" w:rsidRDefault="00492CC9" w:rsidP="00DC2FED">
            <w:pPr>
              <w:tabs>
                <w:tab w:val="left" w:pos="709"/>
              </w:tabs>
              <w:jc w:val="both"/>
            </w:pPr>
            <w:r w:rsidRPr="005A1F62">
              <w:t>1</w:t>
            </w:r>
          </w:p>
        </w:tc>
        <w:tc>
          <w:tcPr>
            <w:tcW w:w="1019" w:type="pct"/>
            <w:shd w:val="clear" w:color="auto" w:fill="auto"/>
          </w:tcPr>
          <w:p w14:paraId="03738BC4" w14:textId="77777777" w:rsidR="00492CC9" w:rsidRPr="005A1F62" w:rsidRDefault="00492CC9" w:rsidP="00DC2FED">
            <w:pPr>
              <w:tabs>
                <w:tab w:val="left" w:pos="709"/>
              </w:tabs>
              <w:jc w:val="both"/>
            </w:pPr>
            <w:r w:rsidRPr="005A1F62">
              <w:t>-1</w:t>
            </w:r>
          </w:p>
        </w:tc>
      </w:tr>
      <w:tr w:rsidR="00492CC9" w:rsidRPr="005A1F62" w14:paraId="62E0C35A" w14:textId="77777777" w:rsidTr="00F52695">
        <w:tc>
          <w:tcPr>
            <w:tcW w:w="2945" w:type="pct"/>
            <w:shd w:val="clear" w:color="auto" w:fill="auto"/>
          </w:tcPr>
          <w:p w14:paraId="6DAF71B2" w14:textId="77777777" w:rsidR="00492CC9" w:rsidRPr="005A1F62" w:rsidRDefault="00F52695" w:rsidP="00DC2FED">
            <w:pPr>
              <w:tabs>
                <w:tab w:val="left" w:pos="709"/>
              </w:tabs>
              <w:jc w:val="both"/>
            </w:pPr>
            <w:r w:rsidRPr="005A1F62">
              <w:t>Коэффициент подверженности портфеля ценных бумаг кредитным и фондовым рискам</w:t>
            </w:r>
          </w:p>
        </w:tc>
        <w:tc>
          <w:tcPr>
            <w:tcW w:w="1036" w:type="pct"/>
            <w:shd w:val="clear" w:color="auto" w:fill="auto"/>
          </w:tcPr>
          <w:p w14:paraId="7EA9A363" w14:textId="77777777" w:rsidR="00492CC9" w:rsidRPr="005A1F62" w:rsidRDefault="00492CC9" w:rsidP="00DC2FED">
            <w:pPr>
              <w:tabs>
                <w:tab w:val="left" w:pos="709"/>
              </w:tabs>
              <w:jc w:val="both"/>
            </w:pPr>
            <w:r w:rsidRPr="005A1F62">
              <w:t>Более 0,9</w:t>
            </w:r>
          </w:p>
        </w:tc>
        <w:tc>
          <w:tcPr>
            <w:tcW w:w="1019" w:type="pct"/>
            <w:shd w:val="clear" w:color="auto" w:fill="auto"/>
          </w:tcPr>
          <w:p w14:paraId="4CEE091F" w14:textId="77777777" w:rsidR="00492CC9" w:rsidRPr="005A1F62" w:rsidRDefault="00492CC9" w:rsidP="00DC2FED">
            <w:pPr>
              <w:tabs>
                <w:tab w:val="left" w:pos="709"/>
              </w:tabs>
              <w:jc w:val="both"/>
            </w:pPr>
            <w:r w:rsidRPr="005A1F62">
              <w:t>Менее 0,15</w:t>
            </w:r>
          </w:p>
        </w:tc>
      </w:tr>
    </w:tbl>
    <w:p w14:paraId="61C209DA" w14:textId="77777777" w:rsidR="00FE1D03" w:rsidRPr="005A1F62" w:rsidRDefault="00FE1D03" w:rsidP="00FE1D03">
      <w:pPr>
        <w:pStyle w:val="RAEXdefault"/>
        <w:rPr>
          <w:rFonts w:cs="Times New Roman"/>
        </w:rPr>
      </w:pPr>
      <w:bookmarkStart w:id="151" w:name="_Toc459363757"/>
    </w:p>
    <w:p w14:paraId="6BBB9461" w14:textId="3E51C367" w:rsidR="009B681E" w:rsidRPr="005A1F62" w:rsidRDefault="009B681E" w:rsidP="00B73C6D">
      <w:pPr>
        <w:pStyle w:val="3"/>
        <w:numPr>
          <w:ilvl w:val="2"/>
          <w:numId w:val="58"/>
        </w:numPr>
        <w:tabs>
          <w:tab w:val="left" w:pos="709"/>
        </w:tabs>
        <w:spacing w:before="0" w:after="0"/>
        <w:ind w:left="0" w:firstLine="567"/>
        <w:rPr>
          <w:rFonts w:ascii="Times New Roman" w:hAnsi="Times New Roman" w:cs="Times New Roman"/>
          <w:sz w:val="24"/>
          <w:szCs w:val="24"/>
        </w:rPr>
      </w:pPr>
      <w:bookmarkStart w:id="152" w:name="_Toc44433460"/>
      <w:r w:rsidRPr="005A1F62">
        <w:rPr>
          <w:rFonts w:ascii="Times New Roman" w:hAnsi="Times New Roman" w:cs="Times New Roman"/>
          <w:sz w:val="24"/>
          <w:szCs w:val="24"/>
        </w:rPr>
        <w:t>Качество корсчетов и ссуд, выданных банкам</w:t>
      </w:r>
      <w:bookmarkEnd w:id="151"/>
      <w:bookmarkEnd w:id="152"/>
    </w:p>
    <w:p w14:paraId="2C16C62E" w14:textId="77777777" w:rsidR="00364531" w:rsidRPr="005A1F62" w:rsidRDefault="00364531" w:rsidP="00DC2FED">
      <w:pPr>
        <w:pStyle w:val="RAEXdefault"/>
        <w:tabs>
          <w:tab w:val="left" w:pos="709"/>
        </w:tabs>
        <w:ind w:firstLine="567"/>
        <w:rPr>
          <w:rFonts w:cs="Times New Roman"/>
          <w:lang w:val="ru-RU"/>
        </w:rPr>
      </w:pPr>
    </w:p>
    <w:p w14:paraId="16383E15" w14:textId="13E750E3" w:rsidR="009B681E" w:rsidRPr="005A1F62" w:rsidRDefault="009B681E" w:rsidP="00DC2FED">
      <w:pPr>
        <w:pStyle w:val="RAEXdefault"/>
        <w:tabs>
          <w:tab w:val="left" w:pos="709"/>
        </w:tabs>
        <w:ind w:firstLine="567"/>
        <w:rPr>
          <w:rFonts w:cs="Times New Roman"/>
          <w:lang w:val="ru-RU"/>
        </w:rPr>
      </w:pPr>
      <w:r w:rsidRPr="005A1F62">
        <w:rPr>
          <w:rFonts w:cs="Times New Roman"/>
          <w:lang w:val="ru-RU"/>
        </w:rPr>
        <w:lastRenderedPageBreak/>
        <w:t>Показатель оценивается как сумма баллов, соответствующих взвешенным статическому и динамическому коэффициентам надежности. При оценке надежности средств на корсчетах вес статического коэффициента надежности (оценка остатков) – 80%, динамического (оценка дебетовых оборотов) – 20%. При оценке надежности размещенных межбанковских кредитов вес статического коэффициента надежности – 60%, динамического – 40%. При оценке надежности средств на корсчетах вес динамического коэффициента надежности ниже, потому что это мгновенное движение средств внутри одного операционного дня, что означает меньшую, по сравнению со срочными МБК, вероятность обесценения существенного объема требований при потенциальном дефолте контрагента. Коэффициенты надежности принимают значения от 0 до 1.</w:t>
      </w:r>
    </w:p>
    <w:p w14:paraId="06B27463" w14:textId="77777777" w:rsidR="009B681E" w:rsidRPr="005A1F62" w:rsidRDefault="009B681E" w:rsidP="00DC2FED">
      <w:pPr>
        <w:pStyle w:val="RAEXdefault"/>
        <w:tabs>
          <w:tab w:val="left" w:pos="709"/>
        </w:tabs>
        <w:ind w:firstLine="567"/>
        <w:rPr>
          <w:rFonts w:cs="Times New Roman"/>
          <w:lang w:val="ru-RU"/>
        </w:rPr>
      </w:pPr>
      <w:r w:rsidRPr="005A1F62">
        <w:rPr>
          <w:rFonts w:cs="Times New Roman"/>
          <w:lang w:val="ru-RU"/>
        </w:rPr>
        <w:t>Балл за качество корсчетов и ссуд, выданных на рынке МБК, оценивается на последнюю месячную дату</w:t>
      </w:r>
      <w:r w:rsidR="00743DDB" w:rsidRPr="005A1F62">
        <w:rPr>
          <w:rFonts w:cs="Times New Roman"/>
          <w:lang w:val="ru-RU"/>
        </w:rPr>
        <w:t xml:space="preserve"> </w:t>
      </w:r>
      <w:r w:rsidRPr="005A1F62">
        <w:rPr>
          <w:rFonts w:cs="Times New Roman"/>
          <w:lang w:val="ru-RU"/>
        </w:rPr>
        <w:t>/</w:t>
      </w:r>
      <w:r w:rsidR="00743DDB" w:rsidRPr="005A1F62">
        <w:rPr>
          <w:rFonts w:cs="Times New Roman"/>
          <w:lang w:val="ru-RU"/>
        </w:rPr>
        <w:t xml:space="preserve"> </w:t>
      </w:r>
      <w:r w:rsidRPr="005A1F62">
        <w:rPr>
          <w:rFonts w:cs="Times New Roman"/>
          <w:lang w:val="ru-RU"/>
        </w:rPr>
        <w:t>за предшествующий последней отчетной дате месяц.</w:t>
      </w:r>
      <w:r w:rsidR="00264E10" w:rsidRPr="005A1F62">
        <w:rPr>
          <w:rFonts w:cs="Times New Roman"/>
          <w:lang w:val="ru-RU"/>
        </w:rPr>
        <w:t xml:space="preserve"> Используются данные форм </w:t>
      </w:r>
      <w:r w:rsidR="00CC1DE0" w:rsidRPr="005A1F62">
        <w:rPr>
          <w:rFonts w:cs="Times New Roman"/>
          <w:lang w:val="ru-RU"/>
        </w:rPr>
        <w:t xml:space="preserve">101, </w:t>
      </w:r>
      <w:r w:rsidR="00264E10" w:rsidRPr="005A1F62">
        <w:rPr>
          <w:rFonts w:cs="Times New Roman"/>
          <w:lang w:val="ru-RU"/>
        </w:rPr>
        <w:t xml:space="preserve">501 и 603. </w:t>
      </w:r>
    </w:p>
    <w:p w14:paraId="0236FD39" w14:textId="77777777" w:rsidR="0007043E" w:rsidRPr="005A1F62" w:rsidRDefault="0007043E" w:rsidP="00DC2FED">
      <w:pPr>
        <w:pStyle w:val="RAEXdefault"/>
        <w:tabs>
          <w:tab w:val="left" w:pos="709"/>
        </w:tabs>
        <w:ind w:firstLine="567"/>
        <w:rPr>
          <w:rFonts w:cs="Times New Roman"/>
          <w:i/>
          <w:lang w:val="ru-RU"/>
        </w:rPr>
      </w:pPr>
    </w:p>
    <w:p w14:paraId="0727BBC1" w14:textId="1BD2D4B6" w:rsidR="009B681E" w:rsidRPr="005A1F62" w:rsidRDefault="009B681E" w:rsidP="00DC2FED">
      <w:pPr>
        <w:pStyle w:val="RAEXdefault"/>
        <w:tabs>
          <w:tab w:val="left" w:pos="709"/>
        </w:tabs>
        <w:ind w:firstLine="567"/>
        <w:rPr>
          <w:rFonts w:cs="Times New Roman"/>
          <w:lang w:val="ru-RU"/>
        </w:rPr>
      </w:pPr>
      <w:r w:rsidRPr="005A1F62">
        <w:rPr>
          <w:rFonts w:cs="Times New Roman"/>
          <w:lang w:val="ru-RU"/>
        </w:rPr>
        <w:t>Статический коэффициент = ∑</w:t>
      </w:r>
      <w:r w:rsidR="00743DDB" w:rsidRPr="005A1F62">
        <w:rPr>
          <w:rFonts w:cs="Times New Roman"/>
          <w:lang w:val="ru-RU"/>
        </w:rPr>
        <w:t xml:space="preserve"> </w:t>
      </w:r>
      <w:r w:rsidRPr="005A1F62">
        <w:rPr>
          <w:rFonts w:cs="Times New Roman"/>
          <w:lang w:val="ru-RU"/>
        </w:rPr>
        <w:t>(коэффициент учета</w:t>
      </w:r>
      <w:r w:rsidR="00743DDB" w:rsidRPr="005A1F62">
        <w:rPr>
          <w:rFonts w:cs="Times New Roman"/>
          <w:lang w:val="ru-RU"/>
        </w:rPr>
        <w:t xml:space="preserve"> </w:t>
      </w:r>
      <w:r w:rsidRPr="005A1F62">
        <w:rPr>
          <w:rFonts w:cs="Times New Roman"/>
          <w:lang w:val="ru-RU"/>
        </w:rPr>
        <w:t>*</w:t>
      </w:r>
      <w:r w:rsidR="00743DDB" w:rsidRPr="005A1F62">
        <w:rPr>
          <w:rFonts w:cs="Times New Roman"/>
          <w:lang w:val="ru-RU"/>
        </w:rPr>
        <w:t xml:space="preserve"> </w:t>
      </w:r>
      <w:r w:rsidR="00AB71BD" w:rsidRPr="005A1F62">
        <w:rPr>
          <w:rFonts w:cs="Times New Roman"/>
          <w:lang w:val="ru-RU"/>
        </w:rPr>
        <w:t>(</w:t>
      </w:r>
      <w:r w:rsidRPr="005A1F62">
        <w:rPr>
          <w:rFonts w:cs="Times New Roman"/>
          <w:lang w:val="ru-RU"/>
        </w:rPr>
        <w:t>остаток средств на корреспондентском счете</w:t>
      </w:r>
      <w:r w:rsidR="00743DDB" w:rsidRPr="005A1F62">
        <w:rPr>
          <w:rFonts w:cs="Times New Roman"/>
          <w:lang w:val="ru-RU"/>
        </w:rPr>
        <w:t xml:space="preserve"> </w:t>
      </w:r>
      <w:r w:rsidRPr="005A1F62">
        <w:rPr>
          <w:rFonts w:cs="Times New Roman"/>
          <w:lang w:val="ru-RU"/>
        </w:rPr>
        <w:t>+</w:t>
      </w:r>
      <w:r w:rsidR="00743DDB" w:rsidRPr="005A1F62">
        <w:rPr>
          <w:rFonts w:cs="Times New Roman"/>
          <w:lang w:val="ru-RU"/>
        </w:rPr>
        <w:t xml:space="preserve"> </w:t>
      </w:r>
      <w:r w:rsidRPr="005A1F62">
        <w:rPr>
          <w:rFonts w:cs="Times New Roman"/>
          <w:lang w:val="ru-RU"/>
        </w:rPr>
        <w:t>МБК</w:t>
      </w:r>
      <w:r w:rsidR="00AB71BD" w:rsidRPr="005A1F62">
        <w:rPr>
          <w:rFonts w:cs="Times New Roman"/>
          <w:lang w:val="ru-RU"/>
        </w:rPr>
        <w:t>)</w:t>
      </w:r>
      <w:r w:rsidRPr="005A1F62">
        <w:rPr>
          <w:rFonts w:cs="Times New Roman"/>
          <w:lang w:val="ru-RU"/>
        </w:rPr>
        <w:t>)</w:t>
      </w:r>
      <w:r w:rsidR="00743DDB" w:rsidRPr="005A1F62">
        <w:rPr>
          <w:rFonts w:cs="Times New Roman"/>
          <w:lang w:val="ru-RU"/>
        </w:rPr>
        <w:t xml:space="preserve"> </w:t>
      </w:r>
      <w:r w:rsidRPr="005A1F62">
        <w:rPr>
          <w:rFonts w:cs="Times New Roman"/>
          <w:lang w:val="ru-RU"/>
        </w:rPr>
        <w:t>/</w:t>
      </w:r>
      <w:r w:rsidR="00743DDB" w:rsidRPr="005A1F62">
        <w:rPr>
          <w:rFonts w:cs="Times New Roman"/>
          <w:lang w:val="ru-RU"/>
        </w:rPr>
        <w:t xml:space="preserve"> совокупные </w:t>
      </w:r>
      <w:r w:rsidRPr="005A1F62">
        <w:rPr>
          <w:rFonts w:cs="Times New Roman"/>
          <w:lang w:val="ru-RU"/>
        </w:rPr>
        <w:t>остатки на корсчетах и МБК</w:t>
      </w:r>
      <w:r w:rsidR="00743DDB" w:rsidRPr="005A1F62">
        <w:rPr>
          <w:rFonts w:cs="Times New Roman"/>
          <w:lang w:val="ru-RU"/>
        </w:rPr>
        <w:t>.</w:t>
      </w:r>
    </w:p>
    <w:p w14:paraId="1A5AA106" w14:textId="77777777" w:rsidR="009B681E" w:rsidRPr="005A1F62" w:rsidRDefault="009B681E" w:rsidP="00DC2FED">
      <w:pPr>
        <w:pStyle w:val="RAEXdefault"/>
        <w:tabs>
          <w:tab w:val="left" w:pos="709"/>
        </w:tabs>
        <w:ind w:firstLine="567"/>
        <w:rPr>
          <w:rFonts w:cs="Times New Roman"/>
          <w:lang w:val="ru-RU"/>
        </w:rPr>
      </w:pPr>
      <w:r w:rsidRPr="005A1F62">
        <w:rPr>
          <w:rFonts w:cs="Times New Roman"/>
          <w:lang w:val="ru-RU"/>
        </w:rPr>
        <w:t>Динамический коэффициент = ∑</w:t>
      </w:r>
      <w:r w:rsidR="00743DDB" w:rsidRPr="005A1F62">
        <w:rPr>
          <w:rFonts w:cs="Times New Roman"/>
          <w:lang w:val="ru-RU"/>
        </w:rPr>
        <w:t xml:space="preserve"> </w:t>
      </w:r>
      <w:r w:rsidRPr="005A1F62">
        <w:rPr>
          <w:rFonts w:cs="Times New Roman"/>
          <w:lang w:val="ru-RU"/>
        </w:rPr>
        <w:t>(коэффициент учета</w:t>
      </w:r>
      <w:r w:rsidR="00743DDB" w:rsidRPr="005A1F62">
        <w:rPr>
          <w:rFonts w:cs="Times New Roman"/>
          <w:lang w:val="ru-RU"/>
        </w:rPr>
        <w:t xml:space="preserve"> </w:t>
      </w:r>
      <w:r w:rsidRPr="005A1F62">
        <w:rPr>
          <w:rFonts w:cs="Times New Roman"/>
          <w:lang w:val="ru-RU"/>
        </w:rPr>
        <w:t>*</w:t>
      </w:r>
      <w:r w:rsidR="00743DDB" w:rsidRPr="005A1F62">
        <w:rPr>
          <w:rFonts w:cs="Times New Roman"/>
          <w:lang w:val="ru-RU"/>
        </w:rPr>
        <w:t xml:space="preserve"> </w:t>
      </w:r>
      <w:r w:rsidR="00AB71BD" w:rsidRPr="005A1F62">
        <w:rPr>
          <w:rFonts w:cs="Times New Roman"/>
          <w:lang w:val="ru-RU"/>
        </w:rPr>
        <w:t>(</w:t>
      </w:r>
      <w:r w:rsidRPr="005A1F62">
        <w:rPr>
          <w:rFonts w:cs="Times New Roman"/>
          <w:lang w:val="ru-RU"/>
        </w:rPr>
        <w:t>дебетовый оборот по корреспондентскому счету</w:t>
      </w:r>
      <w:r w:rsidR="00743DDB" w:rsidRPr="005A1F62">
        <w:rPr>
          <w:rFonts w:cs="Times New Roman"/>
          <w:lang w:val="ru-RU"/>
        </w:rPr>
        <w:t xml:space="preserve"> </w:t>
      </w:r>
      <w:r w:rsidRPr="005A1F62">
        <w:rPr>
          <w:rFonts w:cs="Times New Roman"/>
          <w:lang w:val="ru-RU"/>
        </w:rPr>
        <w:t>+</w:t>
      </w:r>
      <w:r w:rsidR="00743DDB" w:rsidRPr="005A1F62">
        <w:rPr>
          <w:rFonts w:cs="Times New Roman"/>
          <w:lang w:val="ru-RU"/>
        </w:rPr>
        <w:t xml:space="preserve"> </w:t>
      </w:r>
      <w:r w:rsidRPr="005A1F62">
        <w:rPr>
          <w:rFonts w:cs="Times New Roman"/>
          <w:lang w:val="ru-RU"/>
        </w:rPr>
        <w:t>МБК</w:t>
      </w:r>
      <w:r w:rsidR="00AB71BD" w:rsidRPr="005A1F62">
        <w:rPr>
          <w:rFonts w:cs="Times New Roman"/>
          <w:lang w:val="ru-RU"/>
        </w:rPr>
        <w:t>)</w:t>
      </w:r>
      <w:r w:rsidRPr="005A1F62">
        <w:rPr>
          <w:rFonts w:cs="Times New Roman"/>
          <w:lang w:val="ru-RU"/>
        </w:rPr>
        <w:t>)</w:t>
      </w:r>
      <w:r w:rsidR="00743DDB" w:rsidRPr="005A1F62">
        <w:rPr>
          <w:rFonts w:cs="Times New Roman"/>
          <w:lang w:val="ru-RU"/>
        </w:rPr>
        <w:t xml:space="preserve"> </w:t>
      </w:r>
      <w:r w:rsidRPr="005A1F62">
        <w:rPr>
          <w:rFonts w:cs="Times New Roman"/>
          <w:lang w:val="ru-RU"/>
        </w:rPr>
        <w:t>/</w:t>
      </w:r>
      <w:r w:rsidR="00743DDB" w:rsidRPr="005A1F62">
        <w:rPr>
          <w:rFonts w:cs="Times New Roman"/>
          <w:lang w:val="ru-RU"/>
        </w:rPr>
        <w:t xml:space="preserve"> совокупные </w:t>
      </w:r>
      <w:r w:rsidRPr="005A1F62">
        <w:rPr>
          <w:rFonts w:cs="Times New Roman"/>
          <w:lang w:val="ru-RU"/>
        </w:rPr>
        <w:t>дебетовые обороты по корсчетам и МБК.</w:t>
      </w:r>
    </w:p>
    <w:p w14:paraId="1EEEC067" w14:textId="77777777" w:rsidR="0007043E" w:rsidRPr="005A1F62" w:rsidRDefault="0007043E" w:rsidP="00DC2FED">
      <w:pPr>
        <w:pStyle w:val="aff0"/>
        <w:tabs>
          <w:tab w:val="left" w:pos="709"/>
        </w:tabs>
        <w:ind w:firstLine="567"/>
        <w:jc w:val="both"/>
      </w:pPr>
    </w:p>
    <w:p w14:paraId="21E028B7" w14:textId="311AB0EE" w:rsidR="00743DDB" w:rsidRPr="005A1F62" w:rsidRDefault="009B681E" w:rsidP="00DC2FED">
      <w:pPr>
        <w:pStyle w:val="aff0"/>
        <w:tabs>
          <w:tab w:val="left" w:pos="709"/>
        </w:tabs>
        <w:ind w:firstLine="567"/>
        <w:jc w:val="both"/>
      </w:pPr>
      <w:r w:rsidRPr="005A1F62">
        <w:t>Индивидуальные коэффициенты учета остатков</w:t>
      </w:r>
      <w:r w:rsidR="00743DDB" w:rsidRPr="005A1F62">
        <w:t xml:space="preserve"> </w:t>
      </w:r>
      <w:r w:rsidRPr="005A1F62">
        <w:t>/</w:t>
      </w:r>
      <w:r w:rsidR="00743DDB" w:rsidRPr="005A1F62">
        <w:t xml:space="preserve"> </w:t>
      </w:r>
      <w:r w:rsidRPr="005A1F62">
        <w:t xml:space="preserve">оборотов по корреспондентским счетам определяются </w:t>
      </w:r>
      <w:r w:rsidR="007C7A09" w:rsidRPr="005A1F62">
        <w:t>исходя из условного рейтингового класса контрагента</w:t>
      </w:r>
      <w:r w:rsidR="00024D35" w:rsidRPr="005A1F62">
        <w:t xml:space="preserve"> (см</w:t>
      </w:r>
      <w:r w:rsidR="00A82821" w:rsidRPr="005A1F62">
        <w:t>.</w:t>
      </w:r>
      <w:r w:rsidR="0006680B" w:rsidRPr="005A1F62">
        <w:t xml:space="preserve"> таблицу раздела 2</w:t>
      </w:r>
      <w:r w:rsidR="00024D35" w:rsidRPr="005A1F62">
        <w:t>.4.2</w:t>
      </w:r>
      <w:r w:rsidR="006855F3" w:rsidRPr="005A1F62">
        <w:t>)</w:t>
      </w:r>
      <w:r w:rsidR="00024D35" w:rsidRPr="005A1F62">
        <w:t>.</w:t>
      </w:r>
    </w:p>
    <w:p w14:paraId="2F86BD89" w14:textId="7E47A4B9" w:rsidR="007C7A09" w:rsidRPr="005A1F62" w:rsidRDefault="007C7A09" w:rsidP="00DC2FED">
      <w:pPr>
        <w:pStyle w:val="aff0"/>
        <w:tabs>
          <w:tab w:val="left" w:pos="709"/>
        </w:tabs>
        <w:ind w:firstLine="567"/>
        <w:jc w:val="both"/>
      </w:pPr>
      <w:r w:rsidRPr="005A1F62">
        <w:t xml:space="preserve">Условные рейтинговые классы контрагентов соответствуют рейтинговым классам по национальной рейтинговой шкале </w:t>
      </w:r>
      <w:r w:rsidR="005D283D" w:rsidRPr="005A1F62">
        <w:t>«Эксперт</w:t>
      </w:r>
      <w:r w:rsidR="0007043E" w:rsidRPr="005A1F62">
        <w:t>а</w:t>
      </w:r>
      <w:r w:rsidR="005D283D" w:rsidRPr="005A1F62">
        <w:t xml:space="preserve"> РА»</w:t>
      </w:r>
      <w:r w:rsidRPr="005A1F62">
        <w:t xml:space="preserve"> и определяются по совокупности имеющейся у </w:t>
      </w:r>
      <w:r w:rsidR="00793246" w:rsidRPr="005A1F62">
        <w:t>А</w:t>
      </w:r>
      <w:r w:rsidRPr="005A1F62">
        <w:t>гентства информации о кредитном качестве контрагента. К этой информации относятся:</w:t>
      </w:r>
    </w:p>
    <w:p w14:paraId="5F220E6E" w14:textId="77777777" w:rsidR="007C7A09" w:rsidRPr="005A1F62" w:rsidRDefault="00743DDB" w:rsidP="00B73C6D">
      <w:pPr>
        <w:numPr>
          <w:ilvl w:val="0"/>
          <w:numId w:val="43"/>
        </w:numPr>
        <w:jc w:val="both"/>
      </w:pPr>
      <w:r w:rsidRPr="005A1F62">
        <w:t xml:space="preserve">присвоенные </w:t>
      </w:r>
      <w:r w:rsidR="007C7A09" w:rsidRPr="005A1F62">
        <w:t>контрагентам кредитные рейтинги;</w:t>
      </w:r>
    </w:p>
    <w:p w14:paraId="38906DC0" w14:textId="77777777" w:rsidR="007C7A09" w:rsidRPr="005A1F62" w:rsidRDefault="00743DDB" w:rsidP="00B73C6D">
      <w:pPr>
        <w:numPr>
          <w:ilvl w:val="0"/>
          <w:numId w:val="43"/>
        </w:numPr>
        <w:jc w:val="both"/>
      </w:pPr>
      <w:r w:rsidRPr="005A1F62">
        <w:t xml:space="preserve">публичная </w:t>
      </w:r>
      <w:r w:rsidR="007C7A09" w:rsidRPr="005A1F62">
        <w:t>финансовая отчетность контрагентов;</w:t>
      </w:r>
    </w:p>
    <w:p w14:paraId="17CF25C9" w14:textId="6EB4168F" w:rsidR="007C7A09" w:rsidRPr="005A1F62" w:rsidRDefault="00743DDB" w:rsidP="00B73C6D">
      <w:pPr>
        <w:numPr>
          <w:ilvl w:val="0"/>
          <w:numId w:val="43"/>
        </w:numPr>
        <w:jc w:val="both"/>
      </w:pPr>
      <w:r w:rsidRPr="005A1F62">
        <w:t xml:space="preserve">непубличная </w:t>
      </w:r>
      <w:r w:rsidR="007C7A09" w:rsidRPr="005A1F62">
        <w:t xml:space="preserve">финансовая отчетность контрагентов (при ее наличии у </w:t>
      </w:r>
      <w:r w:rsidR="00793246" w:rsidRPr="005A1F62">
        <w:t>А</w:t>
      </w:r>
      <w:r w:rsidR="007C7A09" w:rsidRPr="005A1F62">
        <w:t>гентства в связи с присвоением кредитного рейтинга);</w:t>
      </w:r>
    </w:p>
    <w:p w14:paraId="00E94AFE" w14:textId="77777777" w:rsidR="007C7A09" w:rsidRPr="005A1F62" w:rsidRDefault="00743DDB" w:rsidP="00B73C6D">
      <w:pPr>
        <w:numPr>
          <w:ilvl w:val="0"/>
          <w:numId w:val="43"/>
        </w:numPr>
        <w:jc w:val="both"/>
      </w:pPr>
      <w:r w:rsidRPr="005A1F62">
        <w:t xml:space="preserve">другая </w:t>
      </w:r>
      <w:r w:rsidR="007C7A09" w:rsidRPr="005A1F62">
        <w:t>информация из открытых источников, определяющая тенденции в деятельности контрагентов, которые могут оказать существенное влияние на вероятность их дефолта.</w:t>
      </w:r>
    </w:p>
    <w:p w14:paraId="10EEA3E1" w14:textId="570E224D" w:rsidR="007C7A09" w:rsidRPr="005A1F62" w:rsidRDefault="007C7A09" w:rsidP="00DC2FED">
      <w:pPr>
        <w:tabs>
          <w:tab w:val="left" w:pos="709"/>
        </w:tabs>
        <w:ind w:firstLine="567"/>
        <w:jc w:val="both"/>
      </w:pPr>
      <w:r w:rsidRPr="005A1F62">
        <w:t xml:space="preserve">Условные рейтинговые классы контрагентов в целях оценки подверженности вложений в эмитированные ими ценные бумаги могут быть скорректированы относительно фактически присвоенных им кредитными рейтинговыми агентствами кредитных рейтингов при выявлении на основе имеющейся информации характеризующих вероятность их дефолта показателей, которые в соответствии с методологиями присвоения рейтингов </w:t>
      </w:r>
      <w:r w:rsidR="005D283D" w:rsidRPr="005A1F62">
        <w:t>«Эксперт</w:t>
      </w:r>
      <w:r w:rsidR="0007043E" w:rsidRPr="005A1F62">
        <w:t>а</w:t>
      </w:r>
      <w:r w:rsidR="005D283D" w:rsidRPr="005A1F62">
        <w:t xml:space="preserve"> РА»</w:t>
      </w:r>
      <w:r w:rsidRPr="005A1F62">
        <w:t xml:space="preserve"> привели бы к присвоению отличного от фактически </w:t>
      </w:r>
      <w:r w:rsidR="005F18A9" w:rsidRPr="005A1F62">
        <w:t xml:space="preserve">присвоенного </w:t>
      </w:r>
      <w:r w:rsidRPr="005A1F62">
        <w:t>эмитенту уровню рейтинга. При этом для сопоставления присвоенных различными кредитными рейтинговыми агентствами кредитных рейтингов используется</w:t>
      </w:r>
      <w:r w:rsidR="003748B4" w:rsidRPr="005A1F62">
        <w:t xml:space="preserve"> актуальное статистическое распределение</w:t>
      </w:r>
      <w:r w:rsidRPr="005A1F62">
        <w:t>.</w:t>
      </w:r>
    </w:p>
    <w:p w14:paraId="2E11ABA8" w14:textId="77777777" w:rsidR="009B681E" w:rsidRPr="005A1F62" w:rsidRDefault="00AB71BD" w:rsidP="00DC2FED">
      <w:pPr>
        <w:tabs>
          <w:tab w:val="left" w:pos="709"/>
        </w:tabs>
        <w:ind w:firstLine="567"/>
        <w:jc w:val="both"/>
      </w:pPr>
      <w:r w:rsidRPr="005A1F62">
        <w:t xml:space="preserve">Средства, размещенные в </w:t>
      </w:r>
      <w:r w:rsidR="009B681E" w:rsidRPr="005A1F62">
        <w:t>ЦБ РФ</w:t>
      </w:r>
      <w:r w:rsidR="00C921D6" w:rsidRPr="005A1F62">
        <w:t>,</w:t>
      </w:r>
      <w:r w:rsidR="009B681E" w:rsidRPr="005A1F62">
        <w:t xml:space="preserve"> </w:t>
      </w:r>
      <w:r w:rsidR="004A0887" w:rsidRPr="005A1F62">
        <w:t xml:space="preserve">учитываются </w:t>
      </w:r>
      <w:r w:rsidR="009B681E" w:rsidRPr="005A1F62">
        <w:t>с коэффициентом 1.</w:t>
      </w:r>
    </w:p>
    <w:p w14:paraId="76F324DB" w14:textId="77777777" w:rsidR="009B681E" w:rsidRPr="005A1F62" w:rsidRDefault="009B681E" w:rsidP="00DC2FED">
      <w:pPr>
        <w:tabs>
          <w:tab w:val="left" w:pos="709"/>
        </w:tabs>
        <w:ind w:firstLine="567"/>
        <w:jc w:val="both"/>
      </w:pPr>
      <w:r w:rsidRPr="005A1F62">
        <w:t>Статический и динамический коэффициенты надежности переводятся в итоговый балл в соответствии с приведенной далее таблицей. Расчет непрерывный.</w:t>
      </w:r>
    </w:p>
    <w:p w14:paraId="68D9DF6D" w14:textId="77777777" w:rsidR="00924FF0" w:rsidRPr="005A1F62" w:rsidRDefault="00924FF0" w:rsidP="00DC2FED">
      <w:pPr>
        <w:tabs>
          <w:tab w:val="left" w:pos="709"/>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34"/>
        <w:gridCol w:w="2336"/>
      </w:tblGrid>
      <w:tr w:rsidR="00C921D6" w:rsidRPr="005A1F62" w14:paraId="5C65B985" w14:textId="77777777" w:rsidTr="00364531">
        <w:tc>
          <w:tcPr>
            <w:tcW w:w="2501" w:type="pct"/>
            <w:shd w:val="clear" w:color="auto" w:fill="auto"/>
          </w:tcPr>
          <w:p w14:paraId="095D568E" w14:textId="77777777" w:rsidR="00C921D6" w:rsidRPr="005A1F62" w:rsidRDefault="00C921D6" w:rsidP="00DC2FED">
            <w:pPr>
              <w:tabs>
                <w:tab w:val="left" w:pos="709"/>
              </w:tabs>
              <w:jc w:val="both"/>
            </w:pPr>
            <w:r w:rsidRPr="005A1F62">
              <w:t>Итоговый балл</w:t>
            </w:r>
          </w:p>
        </w:tc>
        <w:tc>
          <w:tcPr>
            <w:tcW w:w="1249" w:type="pct"/>
            <w:shd w:val="clear" w:color="auto" w:fill="auto"/>
          </w:tcPr>
          <w:p w14:paraId="5CCE4606" w14:textId="77777777" w:rsidR="00C921D6" w:rsidRPr="005A1F62" w:rsidRDefault="00C921D6" w:rsidP="00364531">
            <w:pPr>
              <w:tabs>
                <w:tab w:val="left" w:pos="709"/>
              </w:tabs>
              <w:jc w:val="center"/>
            </w:pPr>
            <w:r w:rsidRPr="005A1F62">
              <w:t>1</w:t>
            </w:r>
          </w:p>
        </w:tc>
        <w:tc>
          <w:tcPr>
            <w:tcW w:w="1250" w:type="pct"/>
            <w:shd w:val="clear" w:color="auto" w:fill="auto"/>
          </w:tcPr>
          <w:p w14:paraId="7061361C" w14:textId="77777777" w:rsidR="00C921D6" w:rsidRPr="005A1F62" w:rsidRDefault="00C921D6" w:rsidP="00364531">
            <w:pPr>
              <w:tabs>
                <w:tab w:val="left" w:pos="709"/>
              </w:tabs>
              <w:jc w:val="center"/>
            </w:pPr>
            <w:r w:rsidRPr="005A1F62">
              <w:t>-1</w:t>
            </w:r>
          </w:p>
        </w:tc>
      </w:tr>
      <w:tr w:rsidR="00C921D6" w:rsidRPr="005A1F62" w14:paraId="634215EF" w14:textId="77777777" w:rsidTr="00364531">
        <w:tc>
          <w:tcPr>
            <w:tcW w:w="2501" w:type="pct"/>
            <w:shd w:val="clear" w:color="auto" w:fill="auto"/>
          </w:tcPr>
          <w:p w14:paraId="458B0C24" w14:textId="77777777" w:rsidR="00C921D6" w:rsidRPr="005A1F62" w:rsidRDefault="00C921D6" w:rsidP="00DC2FED">
            <w:pPr>
              <w:tabs>
                <w:tab w:val="left" w:pos="709"/>
              </w:tabs>
              <w:jc w:val="both"/>
            </w:pPr>
            <w:r w:rsidRPr="005A1F62">
              <w:t>Коэффициент надежности</w:t>
            </w:r>
          </w:p>
        </w:tc>
        <w:tc>
          <w:tcPr>
            <w:tcW w:w="1249" w:type="pct"/>
            <w:shd w:val="clear" w:color="auto" w:fill="auto"/>
          </w:tcPr>
          <w:p w14:paraId="025D9F58" w14:textId="77777777" w:rsidR="00C921D6" w:rsidRPr="005A1F62" w:rsidRDefault="00C921D6" w:rsidP="00364531">
            <w:pPr>
              <w:tabs>
                <w:tab w:val="left" w:pos="709"/>
              </w:tabs>
              <w:jc w:val="center"/>
            </w:pPr>
            <w:r w:rsidRPr="005A1F62">
              <w:t>Более 0,9</w:t>
            </w:r>
          </w:p>
        </w:tc>
        <w:tc>
          <w:tcPr>
            <w:tcW w:w="1250" w:type="pct"/>
            <w:shd w:val="clear" w:color="auto" w:fill="auto"/>
          </w:tcPr>
          <w:p w14:paraId="5CB69369" w14:textId="77777777" w:rsidR="00C921D6" w:rsidRPr="005A1F62" w:rsidRDefault="00C921D6" w:rsidP="00364531">
            <w:pPr>
              <w:tabs>
                <w:tab w:val="left" w:pos="709"/>
              </w:tabs>
              <w:jc w:val="center"/>
            </w:pPr>
            <w:r w:rsidRPr="005A1F62">
              <w:t>Менее 0,15</w:t>
            </w:r>
          </w:p>
        </w:tc>
      </w:tr>
    </w:tbl>
    <w:p w14:paraId="79506D27" w14:textId="77777777" w:rsidR="009B681E" w:rsidRPr="005A1F62" w:rsidRDefault="009B681E" w:rsidP="00DC2FED">
      <w:pPr>
        <w:tabs>
          <w:tab w:val="left" w:pos="709"/>
        </w:tabs>
        <w:rPr>
          <w:b/>
        </w:rPr>
      </w:pPr>
    </w:p>
    <w:p w14:paraId="1D7870A0" w14:textId="77777777" w:rsidR="009B681E" w:rsidRPr="005A1F62" w:rsidRDefault="009B681E" w:rsidP="00DC2FED">
      <w:pPr>
        <w:tabs>
          <w:tab w:val="left" w:pos="709"/>
        </w:tabs>
        <w:ind w:firstLine="567"/>
        <w:jc w:val="both"/>
      </w:pPr>
      <w:r w:rsidRPr="005A1F62">
        <w:lastRenderedPageBreak/>
        <w:t xml:space="preserve">Необходимость выделения оценки качества выданных кредитов другим банкам из совокупного ссудного портфеля связана с нерепрезентативностью данных формы </w:t>
      </w:r>
      <w:r w:rsidR="00924FF0" w:rsidRPr="005A1F62">
        <w:t xml:space="preserve">115 </w:t>
      </w:r>
      <w:r w:rsidRPr="005A1F62">
        <w:t xml:space="preserve">по МБК в целях прогнозирования вероятности дефолта, так как в подавляющем большинстве случаев выданные кредиты другим банкам классифицированы в </w:t>
      </w:r>
      <w:r w:rsidRPr="005A1F62">
        <w:rPr>
          <w:lang w:val="en-US"/>
        </w:rPr>
        <w:t>I</w:t>
      </w:r>
      <w:r w:rsidRPr="005A1F62">
        <w:t xml:space="preserve"> категорию качества. Использование подхода, основанного на рейтингах, позволяет осуществить более точную оценку кредитных рисков по каждому контрагенту.</w:t>
      </w:r>
    </w:p>
    <w:p w14:paraId="30855C8E" w14:textId="7BF96E7F" w:rsidR="009B681E" w:rsidRPr="005A1F62" w:rsidRDefault="009E6D29" w:rsidP="00DC2FED">
      <w:pPr>
        <w:tabs>
          <w:tab w:val="left" w:pos="709"/>
        </w:tabs>
        <w:ind w:firstLine="567"/>
        <w:jc w:val="both"/>
      </w:pPr>
      <w:r w:rsidRPr="005A1F62">
        <w:t>Аналитик</w:t>
      </w:r>
      <w:r w:rsidR="009B681E" w:rsidRPr="005A1F62">
        <w:t xml:space="preserve"> имеет право корректировать</w:t>
      </w:r>
      <w:r w:rsidR="00CD78CF" w:rsidRPr="005A1F62">
        <w:t xml:space="preserve"> </w:t>
      </w:r>
      <w:r w:rsidR="009B681E" w:rsidRPr="005A1F62">
        <w:t xml:space="preserve">коэффициент надежности конкретного выданного кредита или корсчета до </w:t>
      </w:r>
      <w:r w:rsidR="00924FF0" w:rsidRPr="005A1F62">
        <w:t xml:space="preserve">1 </w:t>
      </w:r>
      <w:r w:rsidR="009B681E" w:rsidRPr="005A1F62">
        <w:t xml:space="preserve">(максимальная надежность) вне зависимости от рейтинга контрагента или иным образом определенной надежности контрагента, если по кредиту имеется высоколиквидный залог (в частности, ценные бумаги или векселя эмитентов с </w:t>
      </w:r>
      <w:r w:rsidR="00EA2FE9" w:rsidRPr="005A1F62">
        <w:t>кредитным качеством</w:t>
      </w:r>
      <w:r w:rsidR="00197D90" w:rsidRPr="005A1F62">
        <w:t xml:space="preserve">, </w:t>
      </w:r>
      <w:r w:rsidR="00EA2FE9" w:rsidRPr="005A1F62">
        <w:t xml:space="preserve">оцененным по алгоритму, описанному в </w:t>
      </w:r>
      <w:r w:rsidR="00924FF0" w:rsidRPr="005A1F62">
        <w:t xml:space="preserve">п. </w:t>
      </w:r>
      <w:r w:rsidR="0006680B" w:rsidRPr="005A1F62">
        <w:t>2.4</w:t>
      </w:r>
      <w:r w:rsidR="00EA2FE9" w:rsidRPr="005A1F62">
        <w:t>.2), соответствующи</w:t>
      </w:r>
      <w:r w:rsidR="00953CF3" w:rsidRPr="005A1F62">
        <w:t>й условному рейтинговому классу</w:t>
      </w:r>
      <w:r w:rsidR="00EA2FE9" w:rsidRPr="005A1F62">
        <w:t xml:space="preserve"> не ниже</w:t>
      </w:r>
      <w:r w:rsidR="0005751E" w:rsidRPr="005A1F62">
        <w:t xml:space="preserve"> </w:t>
      </w:r>
      <w:r w:rsidR="00B0513E" w:rsidRPr="005A1F62">
        <w:rPr>
          <w:lang w:val="en-US"/>
        </w:rPr>
        <w:t>ruAA</w:t>
      </w:r>
      <w:r w:rsidR="00B0513E" w:rsidRPr="005A1F62">
        <w:t>-</w:t>
      </w:r>
      <w:r w:rsidR="009B681E" w:rsidRPr="005A1F62">
        <w:t>.</w:t>
      </w:r>
    </w:p>
    <w:p w14:paraId="073C706E" w14:textId="77777777" w:rsidR="009B681E" w:rsidRPr="005A1F62" w:rsidRDefault="009B681E" w:rsidP="00DC2FED">
      <w:pPr>
        <w:tabs>
          <w:tab w:val="left" w:pos="709"/>
        </w:tabs>
        <w:ind w:firstLine="567"/>
        <w:rPr>
          <w:b/>
        </w:rPr>
      </w:pPr>
    </w:p>
    <w:p w14:paraId="34B1F252" w14:textId="77777777" w:rsidR="009B681E" w:rsidRPr="005A1F62" w:rsidRDefault="009B681E" w:rsidP="00B73C6D">
      <w:pPr>
        <w:pStyle w:val="3"/>
        <w:numPr>
          <w:ilvl w:val="2"/>
          <w:numId w:val="58"/>
        </w:numPr>
        <w:tabs>
          <w:tab w:val="left" w:pos="709"/>
        </w:tabs>
        <w:spacing w:before="0" w:after="0"/>
        <w:ind w:left="0" w:firstLine="567"/>
        <w:rPr>
          <w:rFonts w:ascii="Times New Roman" w:hAnsi="Times New Roman" w:cs="Times New Roman"/>
          <w:sz w:val="24"/>
          <w:szCs w:val="24"/>
        </w:rPr>
      </w:pPr>
      <w:bookmarkStart w:id="153" w:name="_Toc277183408"/>
      <w:bookmarkStart w:id="154" w:name="_Toc343776106"/>
      <w:bookmarkStart w:id="155" w:name="_Toc459363758"/>
      <w:bookmarkStart w:id="156" w:name="_Toc44433461"/>
      <w:r w:rsidRPr="005A1F62">
        <w:rPr>
          <w:rFonts w:ascii="Times New Roman" w:hAnsi="Times New Roman" w:cs="Times New Roman"/>
          <w:sz w:val="24"/>
          <w:szCs w:val="24"/>
        </w:rPr>
        <w:t>Имущество и иные активы под риском</w:t>
      </w:r>
      <w:bookmarkEnd w:id="153"/>
      <w:bookmarkEnd w:id="154"/>
      <w:bookmarkEnd w:id="155"/>
      <w:bookmarkEnd w:id="156"/>
    </w:p>
    <w:p w14:paraId="73DF8856" w14:textId="77777777" w:rsidR="00364531" w:rsidRPr="005A1F62" w:rsidRDefault="00364531" w:rsidP="00DC2FED">
      <w:pPr>
        <w:tabs>
          <w:tab w:val="left" w:pos="709"/>
        </w:tabs>
        <w:ind w:firstLine="567"/>
        <w:jc w:val="both"/>
      </w:pPr>
      <w:bookmarkStart w:id="157" w:name="_Toc277183409"/>
    </w:p>
    <w:p w14:paraId="29A9FCC5" w14:textId="1AB6DA40" w:rsidR="009B681E" w:rsidRPr="005A1F62" w:rsidRDefault="009B681E" w:rsidP="00DC2FED">
      <w:pPr>
        <w:tabs>
          <w:tab w:val="left" w:pos="709"/>
        </w:tabs>
        <w:ind w:firstLine="567"/>
        <w:jc w:val="both"/>
        <w:rPr>
          <w:bCs/>
        </w:rPr>
      </w:pPr>
      <w:r w:rsidRPr="005A1F62">
        <w:t>Под иными активами под</w:t>
      </w:r>
      <w:r w:rsidRPr="005A1F62">
        <w:rPr>
          <w:bCs/>
        </w:rPr>
        <w:t xml:space="preserve"> риском понимаются драгметаллы, имущество (счета 604,</w:t>
      </w:r>
      <w:r w:rsidR="00924FF0" w:rsidRPr="005A1F62">
        <w:rPr>
          <w:bCs/>
        </w:rPr>
        <w:t xml:space="preserve"> </w:t>
      </w:r>
      <w:r w:rsidRPr="005A1F62">
        <w:rPr>
          <w:bCs/>
        </w:rPr>
        <w:t xml:space="preserve">607, 60804, 609, 610), </w:t>
      </w:r>
      <w:r w:rsidR="005F18A9" w:rsidRPr="005A1F62">
        <w:rPr>
          <w:bCs/>
        </w:rPr>
        <w:t xml:space="preserve">остатки по счету </w:t>
      </w:r>
      <w:r w:rsidRPr="005A1F62">
        <w:rPr>
          <w:bCs/>
        </w:rPr>
        <w:t>60312 (</w:t>
      </w:r>
      <w:r w:rsidR="00673499" w:rsidRPr="005A1F62">
        <w:rPr>
          <w:bCs/>
        </w:rPr>
        <w:t xml:space="preserve">«Расчеты </w:t>
      </w:r>
      <w:r w:rsidRPr="005A1F62">
        <w:rPr>
          <w:bCs/>
        </w:rPr>
        <w:t>с поставщиками, подрядчиками и покупателями</w:t>
      </w:r>
      <w:r w:rsidR="00673499" w:rsidRPr="005A1F62">
        <w:rPr>
          <w:bCs/>
        </w:rPr>
        <w:t>»</w:t>
      </w:r>
      <w:r w:rsidRPr="005A1F62">
        <w:rPr>
          <w:bCs/>
        </w:rPr>
        <w:t>), остатки по счету 47427 (</w:t>
      </w:r>
      <w:r w:rsidR="00673499" w:rsidRPr="005A1F62">
        <w:rPr>
          <w:bCs/>
        </w:rPr>
        <w:t xml:space="preserve">«Требования </w:t>
      </w:r>
      <w:r w:rsidRPr="005A1F62">
        <w:rPr>
          <w:bCs/>
        </w:rPr>
        <w:t>по получению процентов</w:t>
      </w:r>
      <w:r w:rsidR="00673499" w:rsidRPr="005A1F62">
        <w:rPr>
          <w:bCs/>
        </w:rPr>
        <w:t>»</w:t>
      </w:r>
      <w:r w:rsidRPr="005A1F62">
        <w:rPr>
          <w:bCs/>
        </w:rPr>
        <w:t>), активы, переданные в доверительное управление</w:t>
      </w:r>
      <w:r w:rsidR="00924FF0" w:rsidRPr="005A1F62">
        <w:rPr>
          <w:bCs/>
        </w:rPr>
        <w:t>,</w:t>
      </w:r>
      <w:r w:rsidRPr="005A1F62">
        <w:rPr>
          <w:bCs/>
        </w:rPr>
        <w:t xml:space="preserve"> и прочие активы (</w:t>
      </w:r>
      <w:r w:rsidR="00924FF0" w:rsidRPr="005A1F62">
        <w:rPr>
          <w:bCs/>
        </w:rPr>
        <w:t>например,</w:t>
      </w:r>
      <w:r w:rsidRPr="005A1F62">
        <w:rPr>
          <w:bCs/>
        </w:rPr>
        <w:t xml:space="preserve"> 30221</w:t>
      </w:r>
      <w:r w:rsidR="00924FF0" w:rsidRPr="005A1F62">
        <w:rPr>
          <w:bCs/>
        </w:rPr>
        <w:t xml:space="preserve"> </w:t>
      </w:r>
      <w:r w:rsidR="00673499" w:rsidRPr="005A1F62">
        <w:rPr>
          <w:bCs/>
        </w:rPr>
        <w:t>«Н</w:t>
      </w:r>
      <w:r w:rsidR="00924FF0" w:rsidRPr="005A1F62">
        <w:rPr>
          <w:bCs/>
        </w:rPr>
        <w:t xml:space="preserve">езавершенные </w:t>
      </w:r>
      <w:r w:rsidRPr="005A1F62">
        <w:rPr>
          <w:bCs/>
        </w:rPr>
        <w:t>расчеты кредитной организации</w:t>
      </w:r>
      <w:r w:rsidR="00673499" w:rsidRPr="005A1F62">
        <w:rPr>
          <w:bCs/>
        </w:rPr>
        <w:t>»</w:t>
      </w:r>
      <w:r w:rsidR="00924FF0" w:rsidRPr="005A1F62">
        <w:rPr>
          <w:bCs/>
        </w:rPr>
        <w:t xml:space="preserve">; </w:t>
      </w:r>
      <w:r w:rsidRPr="005A1F62">
        <w:rPr>
          <w:bCs/>
        </w:rPr>
        <w:t xml:space="preserve">30602 </w:t>
      </w:r>
      <w:r w:rsidR="00673499" w:rsidRPr="005A1F62">
        <w:rPr>
          <w:bCs/>
        </w:rPr>
        <w:t xml:space="preserve">«Расчеты </w:t>
      </w:r>
      <w:r w:rsidRPr="005A1F62">
        <w:rPr>
          <w:bCs/>
        </w:rPr>
        <w:t xml:space="preserve">кредитных организаций </w:t>
      </w:r>
      <w:r w:rsidR="00924FF0" w:rsidRPr="005A1F62">
        <w:t>–</w:t>
      </w:r>
      <w:r w:rsidRPr="005A1F62">
        <w:rPr>
          <w:bCs/>
        </w:rPr>
        <w:t xml:space="preserve"> доверителей (комитентов) по брокерским операциям с ценными бумагами и другими финансовыми активами</w:t>
      </w:r>
      <w:r w:rsidR="00673499" w:rsidRPr="005A1F62">
        <w:rPr>
          <w:bCs/>
        </w:rPr>
        <w:t>»</w:t>
      </w:r>
      <w:r w:rsidR="00924FF0" w:rsidRPr="005A1F62">
        <w:rPr>
          <w:bCs/>
        </w:rPr>
        <w:t xml:space="preserve">; </w:t>
      </w:r>
      <w:r w:rsidRPr="005A1F62">
        <w:rPr>
          <w:bCs/>
        </w:rPr>
        <w:t xml:space="preserve">40908 </w:t>
      </w:r>
      <w:r w:rsidR="00673499" w:rsidRPr="005A1F62">
        <w:rPr>
          <w:bCs/>
        </w:rPr>
        <w:t>«Р</w:t>
      </w:r>
      <w:r w:rsidR="00924FF0" w:rsidRPr="005A1F62">
        <w:rPr>
          <w:bCs/>
        </w:rPr>
        <w:t xml:space="preserve">асчеты </w:t>
      </w:r>
      <w:r w:rsidRPr="005A1F62">
        <w:rPr>
          <w:bCs/>
        </w:rPr>
        <w:t>клиентов по зачетам</w:t>
      </w:r>
      <w:r w:rsidR="00673499" w:rsidRPr="005A1F62">
        <w:rPr>
          <w:bCs/>
        </w:rPr>
        <w:t>»</w:t>
      </w:r>
      <w:r w:rsidR="00924FF0" w:rsidRPr="005A1F62">
        <w:rPr>
          <w:bCs/>
        </w:rPr>
        <w:t xml:space="preserve">; </w:t>
      </w:r>
      <w:r w:rsidRPr="005A1F62">
        <w:rPr>
          <w:bCs/>
        </w:rPr>
        <w:t>47402</w:t>
      </w:r>
      <w:r w:rsidR="00924FF0" w:rsidRPr="005A1F62">
        <w:rPr>
          <w:bCs/>
        </w:rPr>
        <w:t xml:space="preserve"> </w:t>
      </w:r>
      <w:r w:rsidR="00673499" w:rsidRPr="005A1F62">
        <w:t>«</w:t>
      </w:r>
      <w:r w:rsidR="00673499" w:rsidRPr="005A1F62">
        <w:rPr>
          <w:bCs/>
        </w:rPr>
        <w:t xml:space="preserve">Расчеты </w:t>
      </w:r>
      <w:r w:rsidRPr="005A1F62">
        <w:rPr>
          <w:bCs/>
        </w:rPr>
        <w:t>с клиентами по факторинговым, форфейтинговым операциям</w:t>
      </w:r>
      <w:r w:rsidR="00673499" w:rsidRPr="005A1F62">
        <w:rPr>
          <w:bCs/>
        </w:rPr>
        <w:t>»</w:t>
      </w:r>
      <w:r w:rsidR="00924FF0" w:rsidRPr="005A1F62">
        <w:rPr>
          <w:bCs/>
        </w:rPr>
        <w:t xml:space="preserve">; </w:t>
      </w:r>
      <w:r w:rsidRPr="005A1F62">
        <w:rPr>
          <w:bCs/>
        </w:rPr>
        <w:t>47410</w:t>
      </w:r>
      <w:r w:rsidR="00924FF0" w:rsidRPr="005A1F62">
        <w:t xml:space="preserve"> </w:t>
      </w:r>
      <w:r w:rsidR="00673499" w:rsidRPr="005A1F62">
        <w:rPr>
          <w:bCs/>
        </w:rPr>
        <w:t xml:space="preserve">«Требования </w:t>
      </w:r>
      <w:r w:rsidRPr="005A1F62">
        <w:rPr>
          <w:bCs/>
        </w:rPr>
        <w:t>по аккредитивам по иностранным операциям</w:t>
      </w:r>
      <w:r w:rsidR="00673499" w:rsidRPr="005A1F62">
        <w:rPr>
          <w:bCs/>
        </w:rPr>
        <w:t>»</w:t>
      </w:r>
      <w:r w:rsidR="00924FF0" w:rsidRPr="005A1F62">
        <w:rPr>
          <w:bCs/>
        </w:rPr>
        <w:t xml:space="preserve">; </w:t>
      </w:r>
      <w:r w:rsidRPr="005A1F62">
        <w:rPr>
          <w:bCs/>
        </w:rPr>
        <w:t xml:space="preserve">47423 </w:t>
      </w:r>
      <w:r w:rsidR="00673499" w:rsidRPr="005A1F62">
        <w:rPr>
          <w:bCs/>
        </w:rPr>
        <w:t xml:space="preserve">«Требования </w:t>
      </w:r>
      <w:r w:rsidRPr="005A1F62">
        <w:rPr>
          <w:bCs/>
        </w:rPr>
        <w:t>по прочим операциям</w:t>
      </w:r>
      <w:r w:rsidR="00673499" w:rsidRPr="005A1F62">
        <w:rPr>
          <w:bCs/>
        </w:rPr>
        <w:t>»</w:t>
      </w:r>
      <w:r w:rsidRPr="005A1F62">
        <w:rPr>
          <w:bCs/>
        </w:rPr>
        <w:t xml:space="preserve"> и т.</w:t>
      </w:r>
      <w:r w:rsidR="00924FF0" w:rsidRPr="005A1F62">
        <w:rPr>
          <w:bCs/>
        </w:rPr>
        <w:t xml:space="preserve"> </w:t>
      </w:r>
      <w:r w:rsidRPr="005A1F62">
        <w:rPr>
          <w:bCs/>
        </w:rPr>
        <w:t>д.).</w:t>
      </w:r>
      <w:bookmarkEnd w:id="157"/>
      <w:r w:rsidRPr="005A1F62">
        <w:rPr>
          <w:bCs/>
        </w:rPr>
        <w:t xml:space="preserve"> Цель </w:t>
      </w:r>
      <w:r w:rsidR="009E6D29" w:rsidRPr="005A1F62">
        <w:rPr>
          <w:bCs/>
        </w:rPr>
        <w:t>аналитик</w:t>
      </w:r>
      <w:r w:rsidRPr="005A1F62">
        <w:rPr>
          <w:bCs/>
        </w:rPr>
        <w:t xml:space="preserve">а – определить степень возможного обесценения имущества и иных активов под риском в случае срочной реализации или при очередном циклическом спаде в экономике. Как правило, по объектам недвижимости такой дисконт не менее 10%. По прочим активам дисконт зависит от даты принятия на баланс банком актива, от оборачиваемости (отношение кредитовых оборотов к среднему остатку за период), от кредитоспособности дебитора. Как правило, чем раньше банк поставил себе актив на баланс, чем меньше оборачиваемость актива и чем хуже </w:t>
      </w:r>
      <w:r w:rsidR="00F97519" w:rsidRPr="005A1F62">
        <w:rPr>
          <w:bCs/>
        </w:rPr>
        <w:t xml:space="preserve">кредитоспособность </w:t>
      </w:r>
      <w:r w:rsidRPr="005A1F62">
        <w:rPr>
          <w:bCs/>
        </w:rPr>
        <w:t xml:space="preserve">дебитора, тем больше дисконт по такому активу. </w:t>
      </w:r>
    </w:p>
    <w:p w14:paraId="7952E841" w14:textId="77777777" w:rsidR="009B681E" w:rsidRPr="005A1F62" w:rsidRDefault="009B681E" w:rsidP="00DC2FED">
      <w:pPr>
        <w:tabs>
          <w:tab w:val="left" w:pos="709"/>
        </w:tabs>
        <w:ind w:firstLine="567"/>
        <w:jc w:val="both"/>
        <w:rPr>
          <w:bCs/>
        </w:rPr>
      </w:pPr>
      <w:r w:rsidRPr="005A1F62">
        <w:rPr>
          <w:bCs/>
        </w:rPr>
        <w:t xml:space="preserve">При оценке имущества, используемого в основной деятельности, </w:t>
      </w:r>
      <w:r w:rsidR="009E6D29" w:rsidRPr="005A1F62">
        <w:rPr>
          <w:bCs/>
        </w:rPr>
        <w:t>аналитик</w:t>
      </w:r>
      <w:r w:rsidRPr="005A1F62">
        <w:rPr>
          <w:bCs/>
        </w:rPr>
        <w:t xml:space="preserve"> учитывает:</w:t>
      </w:r>
    </w:p>
    <w:p w14:paraId="7CA50BE2" w14:textId="7D7F01AC" w:rsidR="009B681E" w:rsidRPr="005A1F62" w:rsidRDefault="009B681E" w:rsidP="00B73C6D">
      <w:pPr>
        <w:numPr>
          <w:ilvl w:val="0"/>
          <w:numId w:val="10"/>
        </w:numPr>
        <w:tabs>
          <w:tab w:val="left" w:pos="709"/>
        </w:tabs>
        <w:ind w:left="0" w:firstLine="567"/>
        <w:jc w:val="both"/>
        <w:rPr>
          <w:bCs/>
        </w:rPr>
      </w:pPr>
      <w:r w:rsidRPr="005A1F62">
        <w:rPr>
          <w:bCs/>
        </w:rPr>
        <w:t>дату последней переоценки имущества (следует различать переоценку на пике и спаде цен);</w:t>
      </w:r>
    </w:p>
    <w:p w14:paraId="62C5CA1F" w14:textId="77777777" w:rsidR="009B681E" w:rsidRPr="005A1F62" w:rsidRDefault="009B681E" w:rsidP="00B73C6D">
      <w:pPr>
        <w:numPr>
          <w:ilvl w:val="0"/>
          <w:numId w:val="10"/>
        </w:numPr>
        <w:tabs>
          <w:tab w:val="left" w:pos="709"/>
        </w:tabs>
        <w:ind w:left="0" w:firstLine="567"/>
        <w:jc w:val="both"/>
        <w:rPr>
          <w:bCs/>
        </w:rPr>
      </w:pPr>
      <w:r w:rsidRPr="005A1F62">
        <w:rPr>
          <w:bCs/>
        </w:rPr>
        <w:t>деловую репутацию и опыт оценщика, производившего оценку (основание для высокой оценки репутации оценщика – вхождение в пул аккредитованных компаний при крупных универсальных банках);</w:t>
      </w:r>
    </w:p>
    <w:p w14:paraId="58E7EC30" w14:textId="1BA59EBB" w:rsidR="009B681E" w:rsidRPr="005A1F62" w:rsidRDefault="009B681E" w:rsidP="00B73C6D">
      <w:pPr>
        <w:numPr>
          <w:ilvl w:val="0"/>
          <w:numId w:val="10"/>
        </w:numPr>
        <w:tabs>
          <w:tab w:val="left" w:pos="709"/>
        </w:tabs>
        <w:ind w:left="0" w:firstLine="567"/>
        <w:jc w:val="both"/>
        <w:rPr>
          <w:bCs/>
        </w:rPr>
      </w:pPr>
      <w:r w:rsidRPr="005A1F62">
        <w:rPr>
          <w:bCs/>
        </w:rPr>
        <w:t xml:space="preserve">разнообразие и корректность использования методов оценки (обычно используется не менее </w:t>
      </w:r>
      <w:r w:rsidR="00924FF0" w:rsidRPr="005A1F62">
        <w:rPr>
          <w:bCs/>
        </w:rPr>
        <w:t xml:space="preserve">двух </w:t>
      </w:r>
      <w:r w:rsidRPr="005A1F62">
        <w:rPr>
          <w:bCs/>
        </w:rPr>
        <w:t>способов (запрашиваются выдержки из отчета об оценке</w:t>
      </w:r>
      <w:r w:rsidR="00197D90" w:rsidRPr="005A1F62">
        <w:rPr>
          <w:bCs/>
        </w:rPr>
        <w:t xml:space="preserve">), </w:t>
      </w:r>
      <w:r w:rsidRPr="005A1F62">
        <w:rPr>
          <w:bCs/>
        </w:rPr>
        <w:t>в случае использования сравнительного метода запрашивается информация об аналогичных сделках, на которые оценщик опирался</w:t>
      </w:r>
      <w:r w:rsidR="005F18A9" w:rsidRPr="005A1F62">
        <w:rPr>
          <w:bCs/>
        </w:rPr>
        <w:t>)</w:t>
      </w:r>
      <w:r w:rsidR="00924FF0" w:rsidRPr="005A1F62">
        <w:rPr>
          <w:bCs/>
        </w:rPr>
        <w:t>;</w:t>
      </w:r>
    </w:p>
    <w:p w14:paraId="545CE0FA" w14:textId="77777777" w:rsidR="009B681E" w:rsidRPr="005A1F62" w:rsidRDefault="009B681E" w:rsidP="00B73C6D">
      <w:pPr>
        <w:numPr>
          <w:ilvl w:val="0"/>
          <w:numId w:val="10"/>
        </w:numPr>
        <w:tabs>
          <w:tab w:val="left" w:pos="709"/>
        </w:tabs>
        <w:ind w:left="0" w:firstLine="567"/>
        <w:jc w:val="both"/>
        <w:rPr>
          <w:bCs/>
        </w:rPr>
      </w:pPr>
      <w:r w:rsidRPr="005A1F62">
        <w:rPr>
          <w:bCs/>
        </w:rPr>
        <w:t>оговорки оценщика (например, как обоснование высокой стоимости может быть приведен интерес к данному имуществу со стороны неких структур, хотя такая оговорка не соответствует закону об оценке);</w:t>
      </w:r>
    </w:p>
    <w:p w14:paraId="0A2FB41C" w14:textId="77777777" w:rsidR="009B681E" w:rsidRPr="005A1F62" w:rsidRDefault="009B681E" w:rsidP="00B73C6D">
      <w:pPr>
        <w:numPr>
          <w:ilvl w:val="0"/>
          <w:numId w:val="10"/>
        </w:numPr>
        <w:tabs>
          <w:tab w:val="left" w:pos="709"/>
        </w:tabs>
        <w:ind w:left="0" w:firstLine="567"/>
        <w:jc w:val="both"/>
        <w:rPr>
          <w:bCs/>
        </w:rPr>
      </w:pPr>
      <w:r w:rsidRPr="005A1F62">
        <w:rPr>
          <w:bCs/>
        </w:rPr>
        <w:t>расположение объекта и иные факторы, влияющие на ликвидность объекта.</w:t>
      </w:r>
    </w:p>
    <w:p w14:paraId="631D4F1E" w14:textId="3FA2AF01" w:rsidR="009B681E" w:rsidRPr="005A1F62" w:rsidRDefault="005614A0" w:rsidP="00DC2FED">
      <w:pPr>
        <w:tabs>
          <w:tab w:val="left" w:pos="709"/>
        </w:tabs>
        <w:ind w:firstLine="567"/>
        <w:jc w:val="both"/>
        <w:rPr>
          <w:bCs/>
        </w:rPr>
      </w:pPr>
      <w:r w:rsidRPr="005A1F62">
        <w:rPr>
          <w:bCs/>
        </w:rPr>
        <w:t>На основе описанных выше и иных применимых к объекту имущества критериев оценки его стоимости определяется уровень обесценения вложений имущества, который, как правило, варьируется в диапазоне от 10% до 30%.</w:t>
      </w:r>
    </w:p>
    <w:p w14:paraId="6A21203A" w14:textId="659E3EF4" w:rsidR="009B681E" w:rsidRPr="005A1F62" w:rsidRDefault="009B681E" w:rsidP="00DC2FED">
      <w:pPr>
        <w:tabs>
          <w:tab w:val="left" w:pos="709"/>
        </w:tabs>
        <w:ind w:firstLine="567"/>
        <w:jc w:val="both"/>
        <w:rPr>
          <w:bCs/>
        </w:rPr>
      </w:pPr>
      <w:r w:rsidRPr="005A1F62">
        <w:rPr>
          <w:bCs/>
        </w:rPr>
        <w:lastRenderedPageBreak/>
        <w:t>Для внеоборотных запасов учитыва</w:t>
      </w:r>
      <w:r w:rsidR="00924FF0" w:rsidRPr="005A1F62">
        <w:rPr>
          <w:bCs/>
        </w:rPr>
        <w:t>ю</w:t>
      </w:r>
      <w:r w:rsidRPr="005A1F62">
        <w:rPr>
          <w:bCs/>
        </w:rPr>
        <w:t xml:space="preserve">тся наличие договоренностей с потенциальными покупателями, тип имущества, длительность нахождения на балансе (при определении обесценения необходимо учитывать рекомендации ЦБ РФ по резервированию под непрофильные активы). Для драгметаллов учитывается максимальное отклонение цены вниз от </w:t>
      </w:r>
      <w:r w:rsidR="00924FF0" w:rsidRPr="005A1F62">
        <w:rPr>
          <w:bCs/>
        </w:rPr>
        <w:t xml:space="preserve">средней </w:t>
      </w:r>
      <w:r w:rsidRPr="005A1F62">
        <w:rPr>
          <w:bCs/>
        </w:rPr>
        <w:t>за последние полгода. Оценка активов в доверительном управлении может быть сопряжена с переклассификацией (например, в ценные бум</w:t>
      </w:r>
      <w:r w:rsidR="005614A0" w:rsidRPr="005A1F62">
        <w:rPr>
          <w:bCs/>
        </w:rPr>
        <w:t>аги) и перераспределением веса.</w:t>
      </w:r>
    </w:p>
    <w:p w14:paraId="13DE3ACC" w14:textId="77777777" w:rsidR="009B681E" w:rsidRPr="005A1F62" w:rsidRDefault="009B681E" w:rsidP="00DC2FED">
      <w:pPr>
        <w:tabs>
          <w:tab w:val="left" w:pos="709"/>
        </w:tabs>
        <w:ind w:firstLine="567"/>
        <w:jc w:val="both"/>
        <w:rPr>
          <w:bCs/>
        </w:rPr>
      </w:pPr>
    </w:p>
    <w:p w14:paraId="4F8262E6" w14:textId="77777777" w:rsidR="009B681E" w:rsidRPr="005A1F62" w:rsidRDefault="009B681E" w:rsidP="00B73C6D">
      <w:pPr>
        <w:pStyle w:val="3"/>
        <w:numPr>
          <w:ilvl w:val="2"/>
          <w:numId w:val="58"/>
        </w:numPr>
        <w:tabs>
          <w:tab w:val="left" w:pos="709"/>
        </w:tabs>
        <w:spacing w:before="0" w:after="0"/>
        <w:ind w:left="0" w:firstLine="567"/>
        <w:rPr>
          <w:rFonts w:ascii="Times New Roman" w:hAnsi="Times New Roman" w:cs="Times New Roman"/>
          <w:sz w:val="24"/>
          <w:szCs w:val="24"/>
        </w:rPr>
      </w:pPr>
      <w:bookmarkStart w:id="158" w:name="_Toc459363759"/>
      <w:bookmarkStart w:id="159" w:name="_Toc44433462"/>
      <w:r w:rsidRPr="005A1F62">
        <w:rPr>
          <w:rFonts w:ascii="Times New Roman" w:hAnsi="Times New Roman" w:cs="Times New Roman"/>
          <w:sz w:val="24"/>
          <w:szCs w:val="24"/>
        </w:rPr>
        <w:t>Качество выданных гарантий и поручительств</w:t>
      </w:r>
      <w:bookmarkEnd w:id="158"/>
      <w:bookmarkEnd w:id="159"/>
    </w:p>
    <w:p w14:paraId="7AE0C8A2" w14:textId="77777777" w:rsidR="00364531" w:rsidRPr="005A1F62" w:rsidRDefault="00364531" w:rsidP="00364531">
      <w:pPr>
        <w:tabs>
          <w:tab w:val="left" w:pos="709"/>
        </w:tabs>
        <w:ind w:firstLine="567"/>
        <w:jc w:val="both"/>
        <w:rPr>
          <w:color w:val="000000"/>
        </w:rPr>
      </w:pPr>
    </w:p>
    <w:p w14:paraId="18C8D303" w14:textId="37816A89" w:rsidR="00D67D96" w:rsidRPr="005A1F62" w:rsidRDefault="00D67D96" w:rsidP="00364531">
      <w:pPr>
        <w:tabs>
          <w:tab w:val="left" w:pos="709"/>
        </w:tabs>
        <w:ind w:firstLine="567"/>
        <w:jc w:val="both"/>
        <w:rPr>
          <w:color w:val="000000"/>
        </w:rPr>
      </w:pPr>
      <w:r w:rsidRPr="005A1F62">
        <w:rPr>
          <w:color w:val="000000"/>
        </w:rPr>
        <w:t>По умолчанию балл за качество выданных гарантий и поручительств представляет собой непрерывную линейную оценку отношения суммы выплат по предоставленным банковским гарантиям и поручительствам к совокупной величине выданных гарантий и поручительств за последние 12 месяцев. Чем выше величина выплат относительно объема предоставления гарантий и поручительств, тем ниже оценивается качество соответствующего портфеля. В случае невозможности обращения регресса на принципала по гарантии после осуществления банком выплаты или в случае существенного временного лага между осуществлением выплаты и поступлением средств по регрессу реализованный кредитный риск по условным обязательствам создает давление на капитал и финансовый результат банка, что негативно сказывается на его кредитоспособности.</w:t>
      </w:r>
    </w:p>
    <w:p w14:paraId="6B53D85A" w14:textId="77777777" w:rsidR="00D67D96" w:rsidRPr="005A1F62" w:rsidRDefault="00D67D96" w:rsidP="00D67D96">
      <w:pPr>
        <w:jc w:val="both"/>
        <w:rPr>
          <w:color w:val="000000"/>
        </w:rPr>
      </w:pPr>
      <w:r w:rsidRPr="005A1F62">
        <w:rPr>
          <w:color w:val="000000"/>
        </w:rPr>
        <w:tab/>
        <w:t>Аналитик может скорректировать полученный по умолчанию балл за качество выданных гарантий и поручительств с учетом следующих факторов:</w:t>
      </w:r>
    </w:p>
    <w:p w14:paraId="0A9FF2BA" w14:textId="0F908625" w:rsidR="00D67D96" w:rsidRPr="005A1F62" w:rsidRDefault="00D67D96" w:rsidP="00B73C6D">
      <w:pPr>
        <w:numPr>
          <w:ilvl w:val="0"/>
          <w:numId w:val="43"/>
        </w:numPr>
        <w:jc w:val="both"/>
        <w:rPr>
          <w:color w:val="000000"/>
        </w:rPr>
      </w:pPr>
      <w:bookmarkStart w:id="160" w:name="_Hlk5294839"/>
      <w:r w:rsidRPr="005A1F62">
        <w:rPr>
          <w:color w:val="000000"/>
        </w:rPr>
        <w:t>Балл может быть снижен вплоть до -1, если на основе экспертног</w:t>
      </w:r>
      <w:r w:rsidR="00B71747" w:rsidRPr="005A1F62">
        <w:rPr>
          <w:color w:val="000000"/>
        </w:rPr>
        <w:t xml:space="preserve">о суждения выявлен значительный (как правило, свыше 5% </w:t>
      </w:r>
      <w:r w:rsidR="00E262EA" w:rsidRPr="005A1F62">
        <w:rPr>
          <w:color w:val="000000"/>
        </w:rPr>
        <w:t xml:space="preserve">текущего объема портфеля) </w:t>
      </w:r>
      <w:r w:rsidRPr="005A1F62">
        <w:rPr>
          <w:color w:val="000000"/>
        </w:rPr>
        <w:t>объем гарантий, вероятность выплат по которым в среднесрочной перспективе Агентство оценивает как повышенную</w:t>
      </w:r>
      <w:bookmarkEnd w:id="160"/>
      <w:r w:rsidRPr="005A1F62">
        <w:rPr>
          <w:color w:val="000000"/>
        </w:rPr>
        <w:t>, исходя из оценки финансового состояния принципала и (или) его способности исполнить обязательства перед бенефициаром по выданной гарантии. Например, в целях анализа гарантий, выданных на исполнение контрактов, оценивается степень исполнения принципалом контрактных обязательств, сроки выполнения работ и их соответствие установленному графику, наличие у принципала необходимых финансовых и материальных ресурсов для выполнения контракта и т.д. Как правило, балл снижается до -1, если сумма ожидаемых Агентством выплат по выданным гарантиям и поручительствам в среднесрочной перспективе столь велика, что угрожает выполнению банком регулятивных требований к достаточности капитала и (или) его абсолютной величине и (или) регулятивных требований к состоянию ликвидности.</w:t>
      </w:r>
    </w:p>
    <w:p w14:paraId="7CDF645E" w14:textId="6227E0F6" w:rsidR="00D67D96" w:rsidRPr="005A1F62" w:rsidRDefault="00D67D96" w:rsidP="00B73C6D">
      <w:pPr>
        <w:numPr>
          <w:ilvl w:val="0"/>
          <w:numId w:val="43"/>
        </w:numPr>
        <w:jc w:val="both"/>
        <w:rPr>
          <w:color w:val="000000"/>
        </w:rPr>
      </w:pPr>
      <w:r w:rsidRPr="005A1F62">
        <w:rPr>
          <w:color w:val="000000"/>
        </w:rPr>
        <w:t>Балл может быть снижен на 0,5-1 (до уровня не ниже -1), если портфель выданных гарантий и поручительств характеризуется избыточной концентрацией на принципалах, занятых в одной отрасли хозяйственной деятельности, и (или) на гарантиях, выданных на исполнение однородных контрактов в одной отрасли хозяйственной деятельности. Как правило, избыточной считается концентрация выданных гарантий на одной отрасли в размере</w:t>
      </w:r>
      <w:r w:rsidR="00F80C4A" w:rsidRPr="005A1F62">
        <w:rPr>
          <w:color w:val="000000"/>
        </w:rPr>
        <w:t xml:space="preserve"> свыше 40</w:t>
      </w:r>
      <w:r w:rsidRPr="005A1F62">
        <w:rPr>
          <w:color w:val="000000"/>
        </w:rPr>
        <w:t>% гарантийного портфеля.</w:t>
      </w:r>
    </w:p>
    <w:p w14:paraId="211A71FF" w14:textId="77777777" w:rsidR="00D67D96" w:rsidRPr="005A1F62" w:rsidRDefault="00D67D96" w:rsidP="00B73C6D">
      <w:pPr>
        <w:numPr>
          <w:ilvl w:val="0"/>
          <w:numId w:val="43"/>
        </w:numPr>
        <w:jc w:val="both"/>
        <w:rPr>
          <w:color w:val="000000"/>
        </w:rPr>
      </w:pPr>
      <w:r w:rsidRPr="005A1F62">
        <w:rPr>
          <w:color w:val="000000"/>
        </w:rPr>
        <w:t>Балл может быть снижен на 0,5-1 (до уровня не ниже -1), если по большей части выданных банком гарантий не предусмотрены адекватные, по мнению Агентства, меры обеспечения возмещения средств по регрессу в случае осуществления банком выплаты. К таким обеспечительным мерам, отсутствие которых оценивается негативно, в частности, относится требование поддержания принципалами гарантийных депозитов на счетах в банке.</w:t>
      </w:r>
    </w:p>
    <w:p w14:paraId="0E940341" w14:textId="77777777" w:rsidR="00D67D96" w:rsidRPr="005A1F62" w:rsidRDefault="00D67D96" w:rsidP="00B73C6D">
      <w:pPr>
        <w:numPr>
          <w:ilvl w:val="0"/>
          <w:numId w:val="43"/>
        </w:numPr>
        <w:jc w:val="both"/>
        <w:rPr>
          <w:color w:val="000000"/>
        </w:rPr>
      </w:pPr>
      <w:r w:rsidRPr="005A1F62">
        <w:rPr>
          <w:color w:val="000000"/>
        </w:rPr>
        <w:t xml:space="preserve">Балл может быть снижен на 0,25-0,5 (до уровня не ниже -1), если Агентство выявило существенные недостатки в процедурах скоринга / андеррайтинга при выдаче </w:t>
      </w:r>
      <w:r w:rsidRPr="005A1F62">
        <w:rPr>
          <w:color w:val="000000"/>
        </w:rPr>
        <w:lastRenderedPageBreak/>
        <w:t>гарантий. К таким недостатком могут быть отнесены недостаточная, по мнению Агентства, проработанность документов, регламентирующих правила принятия решений по заявкам на банковские гарантии (поручительства), не адекватная масштабам гарантийного бизнеса численность профильного подразделения, отвечающего за процедуры принятия решений, несоответствие информационно-технического обеспечения процедур скоринга / андеррайтинга лучшим практикам.</w:t>
      </w:r>
    </w:p>
    <w:p w14:paraId="269A9471" w14:textId="7B7E1D96" w:rsidR="00935501" w:rsidRPr="005A1F62" w:rsidRDefault="00935501" w:rsidP="00B73C6D">
      <w:pPr>
        <w:numPr>
          <w:ilvl w:val="0"/>
          <w:numId w:val="43"/>
        </w:numPr>
        <w:jc w:val="both"/>
      </w:pPr>
      <w:r w:rsidRPr="005A1F62">
        <w:t>Балл может быть повышен на 0,25-0,5 с учетом эффективности регрессионной работы по требованиям к принципалам, по выданным которым гарантиям осуществлены выплаты.</w:t>
      </w:r>
    </w:p>
    <w:p w14:paraId="5F4D9041" w14:textId="7E0BD295" w:rsidR="00D67D96" w:rsidRPr="005A1F62" w:rsidRDefault="00D67D96" w:rsidP="00B73C6D">
      <w:pPr>
        <w:numPr>
          <w:ilvl w:val="0"/>
          <w:numId w:val="43"/>
        </w:numPr>
        <w:jc w:val="both"/>
        <w:rPr>
          <w:color w:val="000000"/>
        </w:rPr>
      </w:pPr>
      <w:r w:rsidRPr="005A1F62">
        <w:rPr>
          <w:color w:val="000000"/>
        </w:rPr>
        <w:t>Балл может быть повышен на 0,5-1 (до уровня не выше 1), если большая часть портфеля выданных гарантий и поручительств обеспечена гарантийными депозитами принципалов и, по оценкам Агентства, отсутствуют препятствия для незамедлительного изъятия этих средств банком по регрессу после осуществления потенциальной выплаты.</w:t>
      </w:r>
    </w:p>
    <w:p w14:paraId="74F3DE28" w14:textId="0B90CAE5" w:rsidR="00D67D96" w:rsidRPr="005A1F62" w:rsidRDefault="00D67D96" w:rsidP="00C24C02">
      <w:pPr>
        <w:ind w:firstLine="360"/>
        <w:jc w:val="both"/>
        <w:rPr>
          <w:color w:val="000000"/>
        </w:rPr>
      </w:pPr>
      <w:r w:rsidRPr="005A1F62">
        <w:rPr>
          <w:color w:val="000000"/>
        </w:rPr>
        <w:t>Штрафы и бонусы по перечисленным выше основаниям могут суммироваться. При этом итоговый балл не может находит</w:t>
      </w:r>
      <w:r w:rsidR="00C7069E" w:rsidRPr="005A1F62">
        <w:rPr>
          <w:color w:val="000000"/>
        </w:rPr>
        <w:t>ь</w:t>
      </w:r>
      <w:r w:rsidRPr="005A1F62">
        <w:rPr>
          <w:color w:val="000000"/>
        </w:rPr>
        <w:t>ся вне диапазона от -1 до 1.</w:t>
      </w:r>
    </w:p>
    <w:p w14:paraId="376EA24D" w14:textId="77777777" w:rsidR="002836D2" w:rsidRPr="005A1F62" w:rsidRDefault="002836D2" w:rsidP="00DC2FED">
      <w:pPr>
        <w:tabs>
          <w:tab w:val="left" w:pos="709"/>
        </w:tabs>
        <w:ind w:firstLine="567"/>
        <w:jc w:val="both"/>
        <w:rPr>
          <w:bCs/>
        </w:rPr>
      </w:pPr>
    </w:p>
    <w:p w14:paraId="319A32E1" w14:textId="77777777" w:rsidR="009B681E" w:rsidRPr="005A1F62" w:rsidRDefault="009B681E" w:rsidP="00B73C6D">
      <w:pPr>
        <w:pStyle w:val="3"/>
        <w:numPr>
          <w:ilvl w:val="1"/>
          <w:numId w:val="58"/>
        </w:numPr>
        <w:tabs>
          <w:tab w:val="left" w:pos="709"/>
        </w:tabs>
        <w:spacing w:before="0" w:after="0"/>
        <w:ind w:left="0" w:firstLine="567"/>
        <w:rPr>
          <w:rFonts w:ascii="Times New Roman" w:hAnsi="Times New Roman" w:cs="Times New Roman"/>
        </w:rPr>
      </w:pPr>
      <w:bookmarkStart w:id="161" w:name="_Toc277183410"/>
      <w:bookmarkStart w:id="162" w:name="_Toc343776107"/>
      <w:bookmarkStart w:id="163" w:name="_Toc459363760"/>
      <w:bookmarkStart w:id="164" w:name="_Toc44433463"/>
      <w:r w:rsidRPr="005A1F62">
        <w:rPr>
          <w:rFonts w:ascii="Times New Roman" w:hAnsi="Times New Roman" w:cs="Times New Roman"/>
        </w:rPr>
        <w:t>Прибыльность операций</w:t>
      </w:r>
      <w:bookmarkEnd w:id="161"/>
      <w:bookmarkEnd w:id="162"/>
      <w:bookmarkEnd w:id="163"/>
      <w:r w:rsidR="00EA2FE9" w:rsidRPr="005A1F62">
        <w:rPr>
          <w:rStyle w:val="a9"/>
          <w:rFonts w:ascii="Times New Roman" w:hAnsi="Times New Roman" w:cs="Times New Roman"/>
        </w:rPr>
        <w:footnoteReference w:id="23"/>
      </w:r>
      <w:bookmarkEnd w:id="164"/>
    </w:p>
    <w:p w14:paraId="22D085DF" w14:textId="77777777" w:rsidR="00364531" w:rsidRPr="005A1F62" w:rsidRDefault="00364531" w:rsidP="00DC2FED">
      <w:pPr>
        <w:tabs>
          <w:tab w:val="left" w:pos="709"/>
        </w:tabs>
        <w:ind w:firstLine="567"/>
        <w:jc w:val="both"/>
        <w:rPr>
          <w:u w:val="single"/>
        </w:rPr>
      </w:pPr>
    </w:p>
    <w:p w14:paraId="78E2CD37" w14:textId="1C7DD7E7" w:rsidR="00673472" w:rsidRPr="005A1F62" w:rsidRDefault="009B681E" w:rsidP="00DC2FED">
      <w:pPr>
        <w:tabs>
          <w:tab w:val="left" w:pos="709"/>
        </w:tabs>
        <w:ind w:firstLine="567"/>
        <w:jc w:val="both"/>
      </w:pPr>
      <w:r w:rsidRPr="005A1F62">
        <w:rPr>
          <w:u w:val="single"/>
        </w:rPr>
        <w:t>Цель оценки</w:t>
      </w:r>
      <w:r w:rsidR="00197D90" w:rsidRPr="005A1F62">
        <w:rPr>
          <w:u w:val="single"/>
        </w:rPr>
        <w:t>:</w:t>
      </w:r>
      <w:r w:rsidR="00197D90" w:rsidRPr="005A1F62">
        <w:t xml:space="preserve"> о</w:t>
      </w:r>
      <w:r w:rsidRPr="005A1F62">
        <w:t xml:space="preserve">пределить способность </w:t>
      </w:r>
      <w:r w:rsidR="00673472" w:rsidRPr="005A1F62">
        <w:t xml:space="preserve">банка </w:t>
      </w:r>
      <w:r w:rsidRPr="005A1F62">
        <w:t>генерировать стабильный положительный финансовый результат и соответствие финансового результата требуемой инвесторами доходности на капитал в банковском секторе.</w:t>
      </w:r>
    </w:p>
    <w:p w14:paraId="04B0401E" w14:textId="2FC4A550" w:rsidR="00C015C7" w:rsidRPr="005A1F62" w:rsidRDefault="00895B17" w:rsidP="00DC2FED">
      <w:pPr>
        <w:tabs>
          <w:tab w:val="left" w:pos="709"/>
        </w:tabs>
        <w:ind w:firstLine="567"/>
        <w:jc w:val="both"/>
      </w:pPr>
      <w:r w:rsidRPr="005A1F62">
        <w:t>Низкий уровень рентабельности капитала негативно влияет на возможности по капитализации получае</w:t>
      </w:r>
      <w:r w:rsidR="005C7BD0" w:rsidRPr="005A1F62">
        <w:t>мой прибыли. Кроме того, высокие доходы</w:t>
      </w:r>
      <w:r w:rsidRPr="005A1F62">
        <w:t xml:space="preserve"> от волатильных компонентов в структуре финансового результата </w:t>
      </w:r>
      <w:r w:rsidR="00924FF0" w:rsidRPr="005A1F62">
        <w:t xml:space="preserve">банка </w:t>
      </w:r>
      <w:r w:rsidRPr="005A1F62">
        <w:t>негативно оценива</w:t>
      </w:r>
      <w:r w:rsidR="00725C6C" w:rsidRPr="005A1F62">
        <w:t>ю</w:t>
      </w:r>
      <w:r w:rsidRPr="005A1F62">
        <w:t xml:space="preserve">тся </w:t>
      </w:r>
      <w:r w:rsidR="00793246" w:rsidRPr="005A1F62">
        <w:t>А</w:t>
      </w:r>
      <w:r w:rsidRPr="005A1F62">
        <w:t xml:space="preserve">гентством, поскольку </w:t>
      </w:r>
      <w:r w:rsidR="00673472" w:rsidRPr="005A1F62">
        <w:t>затрудня</w:t>
      </w:r>
      <w:r w:rsidR="00725C6C" w:rsidRPr="005A1F62">
        <w:t>ю</w:t>
      </w:r>
      <w:r w:rsidR="00673472" w:rsidRPr="005A1F62">
        <w:t>т</w:t>
      </w:r>
      <w:r w:rsidRPr="005A1F62">
        <w:t xml:space="preserve"> прогнозирова</w:t>
      </w:r>
      <w:r w:rsidR="00673472" w:rsidRPr="005A1F62">
        <w:t xml:space="preserve">ние </w:t>
      </w:r>
      <w:r w:rsidRPr="005A1F62">
        <w:t>финансовы</w:t>
      </w:r>
      <w:r w:rsidR="00673472" w:rsidRPr="005A1F62">
        <w:t>х</w:t>
      </w:r>
      <w:r w:rsidRPr="005A1F62">
        <w:t xml:space="preserve"> поток</w:t>
      </w:r>
      <w:r w:rsidR="00673472" w:rsidRPr="005A1F62">
        <w:t>ов</w:t>
      </w:r>
      <w:r w:rsidRPr="005A1F62">
        <w:t xml:space="preserve"> банка.</w:t>
      </w:r>
    </w:p>
    <w:p w14:paraId="595FDC00" w14:textId="77777777" w:rsidR="00364531" w:rsidRPr="005A1F62" w:rsidRDefault="00364531" w:rsidP="00DC2FED">
      <w:pPr>
        <w:tabs>
          <w:tab w:val="left" w:pos="709"/>
        </w:tabs>
        <w:ind w:firstLine="567"/>
        <w:rPr>
          <w:u w:val="single"/>
        </w:rPr>
      </w:pPr>
    </w:p>
    <w:p w14:paraId="67A03B99" w14:textId="34AC8465" w:rsidR="009B681E" w:rsidRPr="005A1F62" w:rsidRDefault="009B681E" w:rsidP="00DC2FED">
      <w:pPr>
        <w:tabs>
          <w:tab w:val="left" w:pos="709"/>
        </w:tabs>
        <w:ind w:firstLine="567"/>
        <w:rPr>
          <w:u w:val="single"/>
        </w:rPr>
      </w:pPr>
      <w:r w:rsidRPr="005A1F62">
        <w:rPr>
          <w:u w:val="single"/>
        </w:rPr>
        <w:t>Алгоритм выставления оценки</w:t>
      </w:r>
    </w:p>
    <w:p w14:paraId="337F1B4D" w14:textId="70644E2D" w:rsidR="00B92584" w:rsidRPr="005A1F62" w:rsidRDefault="00B92584" w:rsidP="00B92584">
      <w:pPr>
        <w:tabs>
          <w:tab w:val="left" w:pos="709"/>
        </w:tabs>
        <w:ind w:firstLine="567"/>
        <w:jc w:val="both"/>
      </w:pPr>
      <w:r w:rsidRPr="005A1F62">
        <w:t xml:space="preserve">Для </w:t>
      </w:r>
      <w:r w:rsidR="004C360E" w:rsidRPr="005A1F62">
        <w:t xml:space="preserve">всех </w:t>
      </w:r>
      <w:r w:rsidRPr="005A1F62">
        <w:t>банков с универсальной лицензией</w:t>
      </w:r>
      <w:r w:rsidR="004C360E" w:rsidRPr="005A1F62">
        <w:t>, а также для банков с базовой лицензией, имеющих отчетность по МСФО за последние два года,</w:t>
      </w:r>
      <w:r w:rsidRPr="005A1F62">
        <w:t xml:space="preserve"> оценка прибыльности и эффективности операций</w:t>
      </w:r>
      <w:r w:rsidRPr="005A1F62">
        <w:rPr>
          <w:b/>
        </w:rPr>
        <w:t xml:space="preserve"> </w:t>
      </w:r>
      <w:r w:rsidRPr="005A1F62">
        <w:t>определяется как взвешенная сумма</w:t>
      </w:r>
      <w:r w:rsidRPr="005A1F62">
        <w:rPr>
          <w:b/>
        </w:rPr>
        <w:t xml:space="preserve"> </w:t>
      </w:r>
      <w:r w:rsidRPr="005A1F62">
        <w:t>следующих показателей:</w:t>
      </w:r>
    </w:p>
    <w:p w14:paraId="2E4722DA" w14:textId="77777777" w:rsidR="00B92584" w:rsidRPr="005A1F62" w:rsidRDefault="00B92584" w:rsidP="00B73C6D">
      <w:pPr>
        <w:numPr>
          <w:ilvl w:val="0"/>
          <w:numId w:val="77"/>
        </w:numPr>
        <w:tabs>
          <w:tab w:val="left" w:pos="709"/>
        </w:tabs>
        <w:ind w:left="1281" w:hanging="357"/>
        <w:jc w:val="both"/>
      </w:pPr>
      <w:r w:rsidRPr="005A1F62">
        <w:t>средняя прибыльность по МСФО за последние два года;</w:t>
      </w:r>
    </w:p>
    <w:p w14:paraId="7A10E2C7" w14:textId="77777777" w:rsidR="00B92584" w:rsidRPr="005A1F62" w:rsidRDefault="00B92584" w:rsidP="00B73C6D">
      <w:pPr>
        <w:numPr>
          <w:ilvl w:val="0"/>
          <w:numId w:val="77"/>
        </w:numPr>
        <w:tabs>
          <w:tab w:val="left" w:pos="709"/>
        </w:tabs>
        <w:ind w:left="1281" w:hanging="357"/>
        <w:jc w:val="both"/>
      </w:pPr>
      <w:r w:rsidRPr="005A1F62">
        <w:t>прибыльность по РСБУ за последние полтора года;</w:t>
      </w:r>
    </w:p>
    <w:p w14:paraId="08AF1E81" w14:textId="2B110370" w:rsidR="00BA1353" w:rsidRPr="005A1F62" w:rsidRDefault="00B92584" w:rsidP="00B73C6D">
      <w:pPr>
        <w:numPr>
          <w:ilvl w:val="0"/>
          <w:numId w:val="77"/>
        </w:numPr>
        <w:tabs>
          <w:tab w:val="left" w:pos="709"/>
        </w:tabs>
        <w:ind w:left="1281" w:hanging="357"/>
        <w:jc w:val="both"/>
      </w:pPr>
      <w:r w:rsidRPr="005A1F62">
        <w:t xml:space="preserve">структурные показатели финансового </w:t>
      </w:r>
      <w:proofErr w:type="gramStart"/>
      <w:r w:rsidRPr="005A1F62">
        <w:t>результата</w:t>
      </w:r>
      <w:r w:rsidR="008307A2" w:rsidRPr="005A1F62">
        <w:t xml:space="preserve"> :</w:t>
      </w:r>
      <w:proofErr w:type="gramEnd"/>
    </w:p>
    <w:p w14:paraId="55E1D3BD" w14:textId="5FAF3391" w:rsidR="00BA1353" w:rsidRPr="005A1F62" w:rsidRDefault="00BA1353" w:rsidP="00B73C6D">
      <w:pPr>
        <w:numPr>
          <w:ilvl w:val="1"/>
          <w:numId w:val="77"/>
        </w:numPr>
        <w:tabs>
          <w:tab w:val="left" w:pos="709"/>
        </w:tabs>
        <w:ind w:left="1922" w:hanging="431"/>
        <w:jc w:val="both"/>
      </w:pPr>
      <w:r w:rsidRPr="005A1F62">
        <w:t>отношение расходов, связанных с обеспечением деятельности, к средним активам;</w:t>
      </w:r>
    </w:p>
    <w:p w14:paraId="74D8E779" w14:textId="26F19A22" w:rsidR="00B92584" w:rsidRPr="005A1F62" w:rsidRDefault="00B73C6D" w:rsidP="00B73C6D">
      <w:pPr>
        <w:tabs>
          <w:tab w:val="left" w:pos="709"/>
        </w:tabs>
        <w:ind w:left="1491"/>
        <w:jc w:val="both"/>
      </w:pPr>
      <w:r w:rsidRPr="005A1F62">
        <w:t xml:space="preserve">3.2. </w:t>
      </w:r>
      <w:bookmarkStart w:id="165" w:name="_Hlk43308710"/>
      <w:r w:rsidR="00BA1353" w:rsidRPr="005A1F62">
        <w:t xml:space="preserve">отношение </w:t>
      </w:r>
      <w:r w:rsidR="0094721B" w:rsidRPr="005A1F62">
        <w:t xml:space="preserve">расходов, связанных с обеспечением деятельности, </w:t>
      </w:r>
      <w:r w:rsidR="00BA1353" w:rsidRPr="005A1F62">
        <w:t>к чистым доходам банка</w:t>
      </w:r>
      <w:r w:rsidR="006C6519" w:rsidRPr="005A1F62">
        <w:rPr>
          <w:rStyle w:val="a9"/>
        </w:rPr>
        <w:footnoteReference w:id="24"/>
      </w:r>
      <w:r w:rsidR="0096284F" w:rsidRPr="005A1F62">
        <w:t xml:space="preserve"> до создания</w:t>
      </w:r>
      <w:r w:rsidR="00D105D6" w:rsidRPr="005A1F62">
        <w:t xml:space="preserve"> </w:t>
      </w:r>
      <w:r w:rsidR="0096284F" w:rsidRPr="005A1F62">
        <w:t>/</w:t>
      </w:r>
      <w:r w:rsidR="00D105D6" w:rsidRPr="005A1F62">
        <w:t xml:space="preserve"> </w:t>
      </w:r>
      <w:r w:rsidR="0096284F" w:rsidRPr="005A1F62">
        <w:t>восстановления резервов</w:t>
      </w:r>
      <w:r w:rsidR="00DE50DE" w:rsidRPr="005A1F62">
        <w:t xml:space="preserve"> </w:t>
      </w:r>
      <w:r w:rsidR="00BA1353" w:rsidRPr="005A1F62">
        <w:t>(</w:t>
      </w:r>
      <w:r w:rsidR="00D105D6" w:rsidRPr="005A1F62">
        <w:t xml:space="preserve">далее - </w:t>
      </w:r>
      <w:r w:rsidR="00BA1353" w:rsidRPr="005A1F62">
        <w:rPr>
          <w:lang w:val="en-US"/>
        </w:rPr>
        <w:t>CIR</w:t>
      </w:r>
      <w:r w:rsidR="00BA1353" w:rsidRPr="005A1F62">
        <w:t>)</w:t>
      </w:r>
      <w:bookmarkEnd w:id="165"/>
      <w:r w:rsidR="00BA1353" w:rsidRPr="005A1F62">
        <w:t xml:space="preserve"> по РСБУ</w:t>
      </w:r>
      <w:r w:rsidR="000911C4" w:rsidRPr="005A1F62">
        <w:rPr>
          <w:rStyle w:val="a9"/>
        </w:rPr>
        <w:footnoteReference w:id="25"/>
      </w:r>
      <w:r w:rsidR="00B92584" w:rsidRPr="005A1F62">
        <w:t>.</w:t>
      </w:r>
    </w:p>
    <w:p w14:paraId="4034FE79" w14:textId="12151353" w:rsidR="00B92584" w:rsidRPr="005A1F62" w:rsidRDefault="00B92584" w:rsidP="00B92584">
      <w:pPr>
        <w:tabs>
          <w:tab w:val="left" w:pos="709"/>
        </w:tabs>
        <w:ind w:firstLine="567"/>
        <w:jc w:val="both"/>
      </w:pPr>
      <w:r w:rsidRPr="005A1F62">
        <w:t>Для банков с базовой лицензией</w:t>
      </w:r>
      <w:r w:rsidR="004C360E" w:rsidRPr="005A1F62">
        <w:t xml:space="preserve">, у которых отсутствует отчетность по МСФО за последние два года, </w:t>
      </w:r>
      <w:r w:rsidRPr="005A1F62">
        <w:t>оценка определяется как взвешенная сумма прибыльности за последние полтора года и структурных показателей финансового результата по РСБУ.</w:t>
      </w:r>
    </w:p>
    <w:p w14:paraId="78450DE3" w14:textId="0A2858E9" w:rsidR="009B681E" w:rsidRPr="005A1F62" w:rsidRDefault="009B681E" w:rsidP="00DC2FED">
      <w:pPr>
        <w:tabs>
          <w:tab w:val="left" w:pos="709"/>
        </w:tabs>
        <w:ind w:firstLine="567"/>
        <w:jc w:val="both"/>
      </w:pPr>
      <w:r w:rsidRPr="005A1F62">
        <w:t xml:space="preserve">Балл за среднюю прибыльность по МСФО рассчитывается </w:t>
      </w:r>
      <w:r w:rsidR="00286C38" w:rsidRPr="005A1F62">
        <w:t>по средней рентабельности к</w:t>
      </w:r>
      <w:r w:rsidR="007804FF" w:rsidRPr="005A1F62">
        <w:t>апитала по МСФО за последние два</w:t>
      </w:r>
      <w:r w:rsidR="00286C38" w:rsidRPr="005A1F62">
        <w:t xml:space="preserve"> года</w:t>
      </w:r>
      <w:r w:rsidRPr="005A1F62">
        <w:t xml:space="preserve">. В расчетах используются данные годовых </w:t>
      </w:r>
      <w:r w:rsidRPr="005A1F62">
        <w:lastRenderedPageBreak/>
        <w:t>МСФО, если банк не составляет промежуточную отчетность по МСФО. Если же банк составляет промежуточную отч</w:t>
      </w:r>
      <w:r w:rsidR="00CD78CF" w:rsidRPr="005A1F62">
        <w:t>е</w:t>
      </w:r>
      <w:r w:rsidRPr="005A1F62">
        <w:t xml:space="preserve">тность по МСФО, </w:t>
      </w:r>
      <w:r w:rsidR="009E6D29" w:rsidRPr="005A1F62">
        <w:t>аналитик</w:t>
      </w:r>
      <w:r w:rsidRPr="005A1F62">
        <w:t xml:space="preserve"> </w:t>
      </w:r>
      <w:r w:rsidR="00443D2B" w:rsidRPr="005A1F62">
        <w:t xml:space="preserve">учитывает </w:t>
      </w:r>
      <w:r w:rsidRPr="005A1F62">
        <w:t>в баллах промежуточные показатели.</w:t>
      </w:r>
    </w:p>
    <w:p w14:paraId="13386890" w14:textId="70DC1085" w:rsidR="007867BB" w:rsidRPr="005A1F62" w:rsidRDefault="009B681E" w:rsidP="00DC2FED">
      <w:pPr>
        <w:tabs>
          <w:tab w:val="left" w:pos="709"/>
        </w:tabs>
        <w:ind w:firstLine="567"/>
        <w:jc w:val="both"/>
      </w:pPr>
      <w:r w:rsidRPr="005A1F62">
        <w:t xml:space="preserve">Баллы за прибыльность по РСБУ за последние </w:t>
      </w:r>
      <w:r w:rsidR="00443D2B" w:rsidRPr="005A1F62">
        <w:t>полтора</w:t>
      </w:r>
      <w:r w:rsidRPr="005A1F62">
        <w:t xml:space="preserve"> года выставляю</w:t>
      </w:r>
      <w:r w:rsidR="004B6D7D" w:rsidRPr="005A1F62">
        <w:t>тся на основе бенчмарков по двум</w:t>
      </w:r>
      <w:r w:rsidRPr="005A1F62">
        <w:t xml:space="preserve"> компонентам:</w:t>
      </w:r>
      <w:r w:rsidR="00443D2B" w:rsidRPr="005A1F62">
        <w:t xml:space="preserve"> </w:t>
      </w:r>
      <w:r w:rsidR="007867BB" w:rsidRPr="005A1F62">
        <w:t>рентабельност</w:t>
      </w:r>
      <w:r w:rsidR="00443D2B" w:rsidRPr="005A1F62">
        <w:t>ь</w:t>
      </w:r>
      <w:r w:rsidR="007867BB" w:rsidRPr="005A1F62">
        <w:t xml:space="preserve"> </w:t>
      </w:r>
      <w:r w:rsidR="001A20FB" w:rsidRPr="005A1F62">
        <w:t xml:space="preserve">балансового </w:t>
      </w:r>
      <w:r w:rsidR="007867BB" w:rsidRPr="005A1F62">
        <w:t xml:space="preserve">капитала по прибыли после налогообложения без учета волатильных компонентов (вес внутри данной группы – </w:t>
      </w:r>
      <w:r w:rsidR="007F6B8B" w:rsidRPr="005A1F62">
        <w:t>1</w:t>
      </w:r>
      <w:r w:rsidR="007867BB" w:rsidRPr="005A1F62">
        <w:t xml:space="preserve">0%), </w:t>
      </w:r>
      <w:r w:rsidR="00443D2B" w:rsidRPr="005A1F62">
        <w:t xml:space="preserve">рентабельность </w:t>
      </w:r>
      <w:r w:rsidR="001A20FB" w:rsidRPr="005A1F62">
        <w:t xml:space="preserve">балансового </w:t>
      </w:r>
      <w:r w:rsidR="007867BB" w:rsidRPr="005A1F62">
        <w:t xml:space="preserve">капитала по прибыли после налогообложения (вес – </w:t>
      </w:r>
      <w:r w:rsidR="004B6D7D" w:rsidRPr="005A1F62">
        <w:t>90</w:t>
      </w:r>
      <w:r w:rsidR="007867BB" w:rsidRPr="005A1F62">
        <w:t>%).</w:t>
      </w:r>
    </w:p>
    <w:p w14:paraId="32401E47" w14:textId="268A1539" w:rsidR="00CE6130" w:rsidRPr="005A1F62" w:rsidRDefault="00CE6130" w:rsidP="00CE6130">
      <w:pPr>
        <w:tabs>
          <w:tab w:val="left" w:pos="709"/>
        </w:tabs>
        <w:ind w:firstLine="567"/>
        <w:jc w:val="both"/>
      </w:pPr>
      <w:bookmarkStart w:id="166" w:name="_Hlk43308883"/>
      <w:r w:rsidRPr="005A1F62">
        <w:t xml:space="preserve">Для банков, находящихся на санации (до начала выполнения </w:t>
      </w:r>
      <w:r w:rsidR="00D94512" w:rsidRPr="005A1F62">
        <w:t>норматива</w:t>
      </w:r>
      <w:r w:rsidR="00A03B41" w:rsidRPr="005A1F62">
        <w:t xml:space="preserve"> достаточности капитала Н1.0</w:t>
      </w:r>
      <w:r w:rsidRPr="005A1F62">
        <w:t>), вместо рентабельности капитала, как по МСФО, так и по РСБУ, рассчитывается рентабельность валовых (с учетом резервов на возможные потери) активов.</w:t>
      </w:r>
    </w:p>
    <w:bookmarkEnd w:id="166"/>
    <w:p w14:paraId="6051B487" w14:textId="77777777" w:rsidR="009B681E" w:rsidRPr="005A1F62" w:rsidRDefault="009B681E" w:rsidP="00DC2FED">
      <w:pPr>
        <w:tabs>
          <w:tab w:val="left" w:pos="709"/>
        </w:tabs>
        <w:ind w:firstLine="567"/>
        <w:jc w:val="both"/>
      </w:pPr>
      <w:r w:rsidRPr="005A1F62">
        <w:t>Методологическое пояснение</w:t>
      </w:r>
    </w:p>
    <w:p w14:paraId="39879368" w14:textId="77777777" w:rsidR="009B681E" w:rsidRPr="005A1F62" w:rsidRDefault="009B681E" w:rsidP="00DC2FED">
      <w:pPr>
        <w:tabs>
          <w:tab w:val="left" w:pos="709"/>
        </w:tabs>
        <w:ind w:firstLine="567"/>
      </w:pPr>
      <w:r w:rsidRPr="005A1F62">
        <w:t xml:space="preserve">Все компоненты финансового результата делятся на </w:t>
      </w:r>
      <w:r w:rsidR="005C7BD0" w:rsidRPr="005A1F62">
        <w:t>две</w:t>
      </w:r>
      <w:r w:rsidR="00443D2B" w:rsidRPr="005A1F62">
        <w:t xml:space="preserve"> </w:t>
      </w:r>
      <w:r w:rsidRPr="005A1F62">
        <w:t>категории:</w:t>
      </w:r>
    </w:p>
    <w:p w14:paraId="212ED9FF" w14:textId="77777777" w:rsidR="009B681E" w:rsidRPr="005A1F62" w:rsidRDefault="009B681E" w:rsidP="00B73C6D">
      <w:pPr>
        <w:pStyle w:val="afb"/>
        <w:numPr>
          <w:ilvl w:val="0"/>
          <w:numId w:val="63"/>
        </w:numPr>
        <w:jc w:val="both"/>
      </w:pPr>
      <w:r w:rsidRPr="005A1F62">
        <w:t>стабильные (</w:t>
      </w:r>
      <w:r w:rsidR="001954A8" w:rsidRPr="005A1F62">
        <w:t xml:space="preserve">в том числе </w:t>
      </w:r>
      <w:r w:rsidRPr="005A1F62">
        <w:t>чистые процентные и комиссионные доходы);</w:t>
      </w:r>
    </w:p>
    <w:p w14:paraId="1D6DBD9E" w14:textId="77777777" w:rsidR="009B681E" w:rsidRPr="005A1F62" w:rsidRDefault="005C7BD0" w:rsidP="00B73C6D">
      <w:pPr>
        <w:pStyle w:val="afb"/>
        <w:numPr>
          <w:ilvl w:val="0"/>
          <w:numId w:val="63"/>
        </w:numPr>
        <w:jc w:val="both"/>
      </w:pPr>
      <w:r w:rsidRPr="005A1F62">
        <w:t xml:space="preserve">нестабильные </w:t>
      </w:r>
      <w:r w:rsidR="009B681E" w:rsidRPr="005A1F62">
        <w:t>(</w:t>
      </w:r>
      <w:r w:rsidR="001954A8" w:rsidRPr="005A1F62">
        <w:t xml:space="preserve">в том числе </w:t>
      </w:r>
      <w:r w:rsidR="009B681E" w:rsidRPr="005A1F62">
        <w:t>чистые разовые доходы, доходы от операций с иностранной валютой</w:t>
      </w:r>
      <w:r w:rsidRPr="005A1F62">
        <w:t xml:space="preserve"> и ее переоценки, доходы от операций с ценными бумагами и их переоценки).</w:t>
      </w:r>
    </w:p>
    <w:p w14:paraId="013ABDD6" w14:textId="3822F3E8" w:rsidR="007867BB" w:rsidRPr="005A1F62" w:rsidRDefault="007867BB" w:rsidP="00DC2FED">
      <w:pPr>
        <w:tabs>
          <w:tab w:val="left" w:pos="709"/>
        </w:tabs>
        <w:ind w:firstLine="567"/>
        <w:jc w:val="both"/>
      </w:pPr>
      <w:r w:rsidRPr="005A1F62">
        <w:t xml:space="preserve">В весе оценки за структурные показатели финансового результата с </w:t>
      </w:r>
      <w:r w:rsidR="00443D2B" w:rsidRPr="005A1F62">
        <w:t xml:space="preserve">весом </w:t>
      </w:r>
      <w:r w:rsidRPr="005A1F62">
        <w:t xml:space="preserve">30% учитывается оценка за отношение расходов, связанных с обеспечением деятельности, к средним активам, а с весом </w:t>
      </w:r>
      <w:r w:rsidR="00443D2B" w:rsidRPr="005A1F62">
        <w:t xml:space="preserve">70% </w:t>
      </w:r>
      <w:r w:rsidRPr="005A1F62">
        <w:t xml:space="preserve">учитывается </w:t>
      </w:r>
      <w:r w:rsidR="00DE50DE" w:rsidRPr="005A1F62">
        <w:t xml:space="preserve">оценка за коэффициент </w:t>
      </w:r>
      <w:bookmarkStart w:id="167" w:name="_Hlk43308664"/>
      <w:r w:rsidR="00DE50DE" w:rsidRPr="005A1F62">
        <w:rPr>
          <w:lang w:val="en-US"/>
        </w:rPr>
        <w:t>CIR</w:t>
      </w:r>
      <w:bookmarkEnd w:id="167"/>
      <w:r w:rsidRPr="005A1F62">
        <w:t>.</w:t>
      </w:r>
    </w:p>
    <w:p w14:paraId="74612CFE" w14:textId="5DA0DED2" w:rsidR="009B681E" w:rsidRPr="005A1F62" w:rsidRDefault="00EA200D" w:rsidP="00DC2FED">
      <w:pPr>
        <w:tabs>
          <w:tab w:val="left" w:pos="709"/>
        </w:tabs>
        <w:ind w:firstLine="567"/>
        <w:jc w:val="both"/>
      </w:pPr>
      <w:r w:rsidRPr="005A1F62">
        <w:t>А</w:t>
      </w:r>
      <w:r w:rsidR="009E6D29" w:rsidRPr="005A1F62">
        <w:t>налитик</w:t>
      </w:r>
      <w:r w:rsidR="009B681E" w:rsidRPr="005A1F62">
        <w:t xml:space="preserve"> имеет</w:t>
      </w:r>
      <w:r w:rsidR="008A4124" w:rsidRPr="005A1F62">
        <w:t xml:space="preserve"> право скорректировать баллы за прибыльность и </w:t>
      </w:r>
      <w:r w:rsidR="009B681E" w:rsidRPr="005A1F62">
        <w:t>структурные показатели финансового результата</w:t>
      </w:r>
      <w:r w:rsidR="001954A8" w:rsidRPr="005A1F62">
        <w:t xml:space="preserve"> исходя из экспертной оценки стабильности компонентов доходов и расходов. Например</w:t>
      </w:r>
      <w:r w:rsidR="009B681E" w:rsidRPr="005A1F62">
        <w:t>, если заметная часть расходов, связанных с обеспечением деятельности кредитной организации, фактически является инвестициями (в ИТ-обеспечение, развитие сети и пр.), которые могут быть быстро и без ущерба основной деятельности банка приостановлены.</w:t>
      </w:r>
      <w:bookmarkStart w:id="168" w:name="_Toc351042303"/>
      <w:bookmarkStart w:id="169" w:name="_Toc351049912"/>
      <w:bookmarkStart w:id="170" w:name="_Toc354832072"/>
      <w:bookmarkStart w:id="171" w:name="_Toc354832442"/>
      <w:r w:rsidRPr="005A1F62">
        <w:t xml:space="preserve"> </w:t>
      </w:r>
      <w:r w:rsidR="004A71EA" w:rsidRPr="005A1F62">
        <w:t>Р</w:t>
      </w:r>
      <w:r w:rsidR="009B681E" w:rsidRPr="005A1F62">
        <w:t>асходы по выбытию имущества не вход</w:t>
      </w:r>
      <w:r w:rsidR="004A71EA" w:rsidRPr="005A1F62">
        <w:t>я</w:t>
      </w:r>
      <w:r w:rsidR="009B681E" w:rsidRPr="005A1F62">
        <w:t>т в расчет расходов, связанных с обеспечением деятельности, т</w:t>
      </w:r>
      <w:r w:rsidR="00443D2B" w:rsidRPr="005A1F62">
        <w:t>ак как</w:t>
      </w:r>
      <w:r w:rsidR="009B681E" w:rsidRPr="005A1F62">
        <w:t xml:space="preserve"> не </w:t>
      </w:r>
      <w:r w:rsidR="00503A29" w:rsidRPr="005A1F62">
        <w:t xml:space="preserve">носят </w:t>
      </w:r>
      <w:r w:rsidR="009B681E" w:rsidRPr="005A1F62">
        <w:t>стабильный характер (в противном случае в периоды больших списаний</w:t>
      </w:r>
      <w:r w:rsidR="00443D2B" w:rsidRPr="005A1F62">
        <w:t xml:space="preserve"> </w:t>
      </w:r>
      <w:r w:rsidR="009B681E" w:rsidRPr="005A1F62">
        <w:t>/</w:t>
      </w:r>
      <w:r w:rsidR="00443D2B" w:rsidRPr="005A1F62">
        <w:t xml:space="preserve"> </w:t>
      </w:r>
      <w:r w:rsidR="009B681E" w:rsidRPr="005A1F62">
        <w:t>переуступки прав требований расходы, связанные с обеспечением деятельности, были бы искажены).</w:t>
      </w:r>
      <w:bookmarkEnd w:id="168"/>
      <w:bookmarkEnd w:id="169"/>
      <w:bookmarkEnd w:id="170"/>
      <w:bookmarkEnd w:id="171"/>
    </w:p>
    <w:p w14:paraId="00FC0B48" w14:textId="2FF3E07A" w:rsidR="00B433F5" w:rsidRPr="005A1F62" w:rsidRDefault="008307A2" w:rsidP="008307A2">
      <w:pPr>
        <w:tabs>
          <w:tab w:val="left" w:pos="709"/>
        </w:tabs>
        <w:ind w:firstLine="567"/>
        <w:jc w:val="both"/>
      </w:pPr>
      <w:bookmarkStart w:id="172" w:name="_Hlk43308981"/>
      <w:r w:rsidRPr="005A1F62">
        <w:t xml:space="preserve">Рентабельность капитала </w:t>
      </w:r>
      <w:r w:rsidRPr="005A1F62">
        <w:t xml:space="preserve">(активов для банков на санации) </w:t>
      </w:r>
      <w:r w:rsidRPr="005A1F62">
        <w:t xml:space="preserve">корректируется </w:t>
      </w:r>
      <w:r w:rsidR="00B433F5" w:rsidRPr="005A1F62">
        <w:t>на ожидаемые в течение периода, не превышающего 12 месяцев, расходы, связанные с обесценением проблемных активов</w:t>
      </w:r>
      <w:r w:rsidR="00641B78" w:rsidRPr="005A1F62">
        <w:t>, а также расходы, вызываемые</w:t>
      </w:r>
      <w:r w:rsidR="001C30AD" w:rsidRPr="005A1F62">
        <w:t xml:space="preserve"> реализацией некредитных рисков (валютных, процентных, фондовых, правовых)</w:t>
      </w:r>
      <w:r w:rsidR="00B433F5" w:rsidRPr="005A1F62">
        <w:t xml:space="preserve">, в том периоде, в котором </w:t>
      </w:r>
      <w:r w:rsidR="00793246" w:rsidRPr="005A1F62">
        <w:t>А</w:t>
      </w:r>
      <w:r w:rsidR="00B433F5" w:rsidRPr="005A1F62">
        <w:t>гентство считает соответствующий риск (кредитный или иной) фактически реализованным (</w:t>
      </w:r>
      <w:r w:rsidR="00EA200D" w:rsidRPr="005A1F62">
        <w:t xml:space="preserve">при этом </w:t>
      </w:r>
      <w:r w:rsidR="00B433F5" w:rsidRPr="005A1F62">
        <w:t xml:space="preserve">фактически произошедшее обесценение активов не отражено в отчетности в виде начисления резервов на возможные потери). Превентивный учет отложенного давления на капитал и финансовый результат за счет обесценения активов основывается на профессиональном суждении </w:t>
      </w:r>
      <w:r w:rsidR="007F7204" w:rsidRPr="005A1F62">
        <w:t>А</w:t>
      </w:r>
      <w:r w:rsidR="00B433F5" w:rsidRPr="005A1F62">
        <w:t>гентства относительно степени обесценения тех или иных активов и (или) реализации определенных рисков, которое формируется объективными предпосылками, полученными в ходе мониторинга банковского сектора, деятельности его отдельных участников и регулирования.</w:t>
      </w:r>
    </w:p>
    <w:p w14:paraId="5F253D34" w14:textId="09144368" w:rsidR="008307A2" w:rsidRPr="005A1F62" w:rsidRDefault="008307A2" w:rsidP="00447AEA">
      <w:pPr>
        <w:tabs>
          <w:tab w:val="left" w:pos="709"/>
        </w:tabs>
        <w:ind w:firstLine="567"/>
        <w:jc w:val="both"/>
      </w:pPr>
      <w:bookmarkStart w:id="173" w:name="_Hlk43139206"/>
      <w:r w:rsidRPr="005A1F62">
        <w:t>Отдельные компоненты</w:t>
      </w:r>
      <w:r w:rsidR="00447AEA" w:rsidRPr="005A1F62">
        <w:t xml:space="preserve"> </w:t>
      </w:r>
      <w:r w:rsidRPr="005A1F62">
        <w:t xml:space="preserve">показателей рентабельности могут быть </w:t>
      </w:r>
      <w:r w:rsidR="00447AEA" w:rsidRPr="005A1F62">
        <w:t xml:space="preserve">рассчитаны с учетом </w:t>
      </w:r>
      <w:r w:rsidRPr="005A1F62">
        <w:t>ожидаемых</w:t>
      </w:r>
      <w:r w:rsidR="00447AEA" w:rsidRPr="005A1F62">
        <w:t xml:space="preserve"> в течение ближайших 12 месяцев, </w:t>
      </w:r>
      <w:r w:rsidRPr="005A1F62">
        <w:t xml:space="preserve">либо произошедших, но еще не </w:t>
      </w:r>
      <w:r w:rsidR="00447AEA" w:rsidRPr="005A1F62">
        <w:t xml:space="preserve">отраженных в отчетности объекта рейтинга, </w:t>
      </w:r>
      <w:r w:rsidRPr="005A1F62">
        <w:t>изменений в макроэкономической ситуации и</w:t>
      </w:r>
      <w:r w:rsidR="00447AEA" w:rsidRPr="005A1F62">
        <w:t xml:space="preserve"> (</w:t>
      </w:r>
      <w:r w:rsidRPr="005A1F62">
        <w:t>или</w:t>
      </w:r>
      <w:r w:rsidR="00447AEA" w:rsidRPr="005A1F62">
        <w:t>)</w:t>
      </w:r>
      <w:r w:rsidRPr="005A1F62">
        <w:t xml:space="preserve"> </w:t>
      </w:r>
      <w:r w:rsidR="00447AEA" w:rsidRPr="005A1F62">
        <w:t>бизнес-модели банка</w:t>
      </w:r>
      <w:r w:rsidRPr="005A1F62">
        <w:t>.</w:t>
      </w:r>
    </w:p>
    <w:bookmarkEnd w:id="173"/>
    <w:bookmarkEnd w:id="172"/>
    <w:p w14:paraId="60497477" w14:textId="77777777" w:rsidR="00B433F5" w:rsidRPr="005A1F62" w:rsidRDefault="00B433F5" w:rsidP="00DC2FED">
      <w:pPr>
        <w:tabs>
          <w:tab w:val="left" w:pos="709"/>
        </w:tabs>
        <w:ind w:firstLine="567"/>
        <w:jc w:val="both"/>
      </w:pPr>
    </w:p>
    <w:p w14:paraId="7D05D29E" w14:textId="77777777" w:rsidR="009B681E" w:rsidRPr="005A1F62" w:rsidRDefault="009B681E" w:rsidP="00B73C6D">
      <w:pPr>
        <w:pStyle w:val="3"/>
        <w:numPr>
          <w:ilvl w:val="1"/>
          <w:numId w:val="58"/>
        </w:numPr>
        <w:tabs>
          <w:tab w:val="left" w:pos="709"/>
        </w:tabs>
        <w:spacing w:before="0" w:after="0"/>
        <w:ind w:left="0" w:firstLine="567"/>
        <w:rPr>
          <w:rFonts w:ascii="Times New Roman" w:hAnsi="Times New Roman" w:cs="Times New Roman"/>
        </w:rPr>
      </w:pPr>
      <w:bookmarkStart w:id="174" w:name="_Toc277183411"/>
      <w:bookmarkStart w:id="175" w:name="_Toc343776108"/>
      <w:bookmarkStart w:id="176" w:name="_Toc459363761"/>
      <w:bookmarkStart w:id="177" w:name="_Toc44433464"/>
      <w:r w:rsidRPr="005A1F62">
        <w:rPr>
          <w:rFonts w:ascii="Times New Roman" w:hAnsi="Times New Roman" w:cs="Times New Roman"/>
        </w:rPr>
        <w:t>Структура ресурсной баз</w:t>
      </w:r>
      <w:bookmarkEnd w:id="174"/>
      <w:bookmarkEnd w:id="175"/>
      <w:r w:rsidRPr="005A1F62">
        <w:rPr>
          <w:rFonts w:ascii="Times New Roman" w:hAnsi="Times New Roman" w:cs="Times New Roman"/>
        </w:rPr>
        <w:t>ы</w:t>
      </w:r>
      <w:bookmarkEnd w:id="176"/>
      <w:r w:rsidR="003C430B" w:rsidRPr="005A1F62">
        <w:rPr>
          <w:rStyle w:val="a9"/>
          <w:rFonts w:ascii="Times New Roman" w:hAnsi="Times New Roman" w:cs="Times New Roman"/>
        </w:rPr>
        <w:footnoteReference w:id="26"/>
      </w:r>
      <w:bookmarkEnd w:id="177"/>
    </w:p>
    <w:p w14:paraId="0C3CE62A" w14:textId="77777777" w:rsidR="00364531" w:rsidRPr="005A1F62" w:rsidRDefault="00364531" w:rsidP="00DC2FED">
      <w:pPr>
        <w:tabs>
          <w:tab w:val="left" w:pos="709"/>
        </w:tabs>
        <w:ind w:firstLine="567"/>
        <w:jc w:val="both"/>
        <w:rPr>
          <w:u w:val="single"/>
        </w:rPr>
      </w:pPr>
    </w:p>
    <w:p w14:paraId="0CBAE0F4" w14:textId="72E20EB2" w:rsidR="00673472" w:rsidRPr="005A1F62" w:rsidRDefault="00895B17" w:rsidP="00DC2FED">
      <w:pPr>
        <w:tabs>
          <w:tab w:val="left" w:pos="709"/>
        </w:tabs>
        <w:ind w:firstLine="567"/>
        <w:jc w:val="both"/>
      </w:pPr>
      <w:r w:rsidRPr="005A1F62">
        <w:rPr>
          <w:u w:val="single"/>
        </w:rPr>
        <w:lastRenderedPageBreak/>
        <w:t>Цель оценки</w:t>
      </w:r>
      <w:r w:rsidR="001C244C" w:rsidRPr="005A1F62">
        <w:rPr>
          <w:u w:val="single"/>
        </w:rPr>
        <w:t>:</w:t>
      </w:r>
      <w:r w:rsidR="001C244C" w:rsidRPr="005A1F62">
        <w:t xml:space="preserve"> о</w:t>
      </w:r>
      <w:r w:rsidR="00673472" w:rsidRPr="005A1F62">
        <w:t>ценить риски, связанные с недостаточной диверсификацией ресурсной базы и ее нестабильностью, в т</w:t>
      </w:r>
      <w:r w:rsidR="00443D2B" w:rsidRPr="005A1F62">
        <w:t xml:space="preserve">ом </w:t>
      </w:r>
      <w:r w:rsidR="00673472" w:rsidRPr="005A1F62">
        <w:t>ч</w:t>
      </w:r>
      <w:r w:rsidR="00443D2B" w:rsidRPr="005A1F62">
        <w:t xml:space="preserve">исле </w:t>
      </w:r>
      <w:r w:rsidR="00673472" w:rsidRPr="005A1F62">
        <w:t>из-за крупных выплат.</w:t>
      </w:r>
    </w:p>
    <w:p w14:paraId="7854B2E0" w14:textId="0AA87B08" w:rsidR="00286473" w:rsidRPr="005A1F62" w:rsidRDefault="00895B17" w:rsidP="00DC2FED">
      <w:pPr>
        <w:tabs>
          <w:tab w:val="left" w:pos="709"/>
        </w:tabs>
        <w:ind w:firstLine="567"/>
        <w:jc w:val="both"/>
      </w:pPr>
      <w:r w:rsidRPr="005A1F62">
        <w:t xml:space="preserve">Высокая концентрация пассивов на одной группе кредиторов негативно оценивается </w:t>
      </w:r>
      <w:r w:rsidR="00793246" w:rsidRPr="005A1F62">
        <w:t>А</w:t>
      </w:r>
      <w:r w:rsidRPr="005A1F62">
        <w:t xml:space="preserve">гентством, так как ухудшение финансового положения данной группы кредиторов может выразиться в значительных колебаниях ресурсной базы </w:t>
      </w:r>
      <w:r w:rsidR="00673472" w:rsidRPr="005A1F62">
        <w:t>б</w:t>
      </w:r>
      <w:r w:rsidRPr="005A1F62">
        <w:t xml:space="preserve">анка и снижении показателей ликвидности. Негативно оценивается зависимость ресурсной базы от одного источника пассивов (прежде всего средств физических лиц), поскольку это повышает чувствительность банка к массированному оттоку средств со счетов в случае появления негативной публичной информации о состоянии банковской системы в целом, банков региона или самого </w:t>
      </w:r>
      <w:r w:rsidR="00673472" w:rsidRPr="005A1F62">
        <w:t>б</w:t>
      </w:r>
      <w:r w:rsidRPr="005A1F62">
        <w:t xml:space="preserve">анка. Значительные крупные выплаты могут привести к резким колебаниям ликвидности, что также негативно оценивается </w:t>
      </w:r>
      <w:r w:rsidR="00793246" w:rsidRPr="005A1F62">
        <w:t>А</w:t>
      </w:r>
      <w:r w:rsidRPr="005A1F62">
        <w:t>гентством.</w:t>
      </w:r>
      <w:r w:rsidR="00CD78CF" w:rsidRPr="005A1F62">
        <w:t xml:space="preserve"> </w:t>
      </w:r>
      <w:r w:rsidR="00F75DD0" w:rsidRPr="005A1F62">
        <w:t xml:space="preserve">Повышенная нестабильность средств клиентов на счетах в </w:t>
      </w:r>
      <w:r w:rsidR="00443D2B" w:rsidRPr="005A1F62">
        <w:t xml:space="preserve">банке </w:t>
      </w:r>
      <w:r w:rsidR="00F75DD0" w:rsidRPr="005A1F62">
        <w:t xml:space="preserve">сужает возможности доходного размещения средств и требует поддержания значительной подушки ликвидности, что негативно сказывается на показателях рентабельности </w:t>
      </w:r>
      <w:r w:rsidR="00443D2B" w:rsidRPr="005A1F62">
        <w:t>банка</w:t>
      </w:r>
      <w:r w:rsidR="00F75DD0" w:rsidRPr="005A1F62">
        <w:t>.</w:t>
      </w:r>
      <w:r w:rsidR="00286473" w:rsidRPr="005A1F62">
        <w:t xml:space="preserve"> Агентством негативно </w:t>
      </w:r>
      <w:r w:rsidR="001C244C" w:rsidRPr="005A1F62">
        <w:t xml:space="preserve">оцениваются </w:t>
      </w:r>
      <w:r w:rsidR="00286473" w:rsidRPr="005A1F62">
        <w:t>как отрицательная динамика привлеченных средств, влекущая сокращение ресурсной базы и, соответственно, запаса ликвидности,</w:t>
      </w:r>
      <w:r w:rsidR="00262006" w:rsidRPr="005A1F62">
        <w:t xml:space="preserve"> </w:t>
      </w:r>
      <w:r w:rsidR="00286473" w:rsidRPr="005A1F62">
        <w:t xml:space="preserve">так и избыточные темпы прироста ресурсов, генерирующие риск единовременного роста стоимости фондирования, неопределенность в отношении активов, в которые размещаются средства, и </w:t>
      </w:r>
      <w:r w:rsidR="001C244C" w:rsidRPr="005A1F62">
        <w:t xml:space="preserve">вероятность </w:t>
      </w:r>
      <w:r w:rsidR="00286473" w:rsidRPr="005A1F62">
        <w:t>их обесценения, риск регулятивного воздействия в связи с агрессивной политикой по привлечению средств клиентов.</w:t>
      </w:r>
    </w:p>
    <w:p w14:paraId="34DB7B49" w14:textId="77777777" w:rsidR="002836D2" w:rsidRPr="005A1F62" w:rsidRDefault="002836D2" w:rsidP="00DC2FED">
      <w:pPr>
        <w:tabs>
          <w:tab w:val="left" w:pos="709"/>
        </w:tabs>
        <w:ind w:firstLine="567"/>
        <w:jc w:val="both"/>
      </w:pPr>
    </w:p>
    <w:p w14:paraId="645F2B17" w14:textId="77777777" w:rsidR="00673472" w:rsidRPr="005A1F62" w:rsidRDefault="00673472" w:rsidP="00DC2FED">
      <w:pPr>
        <w:tabs>
          <w:tab w:val="left" w:pos="709"/>
        </w:tabs>
        <w:ind w:firstLine="567"/>
        <w:jc w:val="both"/>
        <w:rPr>
          <w:i/>
          <w:u w:val="single"/>
        </w:rPr>
      </w:pPr>
      <w:r w:rsidRPr="005A1F62">
        <w:rPr>
          <w:i/>
          <w:u w:val="single"/>
        </w:rPr>
        <w:t xml:space="preserve">Алгоритм </w:t>
      </w:r>
      <w:r w:rsidR="00443D2B" w:rsidRPr="005A1F62">
        <w:rPr>
          <w:i/>
          <w:u w:val="single"/>
        </w:rPr>
        <w:t>выставления оценки</w:t>
      </w:r>
    </w:p>
    <w:p w14:paraId="32050AF7" w14:textId="45FF4875" w:rsidR="007867BB" w:rsidRPr="005A1F62" w:rsidRDefault="007867BB" w:rsidP="00DC2FED">
      <w:pPr>
        <w:tabs>
          <w:tab w:val="left" w:pos="709"/>
        </w:tabs>
        <w:ind w:firstLine="567"/>
        <w:jc w:val="both"/>
      </w:pPr>
      <w:r w:rsidRPr="005A1F62">
        <w:t>Балл за структуру ресурсной базы складывается и</w:t>
      </w:r>
      <w:r w:rsidR="00056AA9" w:rsidRPr="005A1F62">
        <w:t>з</w:t>
      </w:r>
      <w:r w:rsidRPr="005A1F62">
        <w:t xml:space="preserve"> оценок за диверсификацию ресурсной базы (вес – </w:t>
      </w:r>
      <w:r w:rsidR="006C6519" w:rsidRPr="005A1F62">
        <w:t>4,0</w:t>
      </w:r>
      <w:r w:rsidRPr="005A1F62">
        <w:t>%</w:t>
      </w:r>
      <w:r w:rsidR="005F2993" w:rsidRPr="005A1F62">
        <w:t xml:space="preserve"> или </w:t>
      </w:r>
      <w:r w:rsidR="006C6519" w:rsidRPr="005A1F62">
        <w:t>4,5</w:t>
      </w:r>
      <w:r w:rsidR="00C83BFF" w:rsidRPr="005A1F62">
        <w:t>%, если не выполняется критерий для оценки стоимости фондирования</w:t>
      </w:r>
      <w:r w:rsidRPr="005A1F62">
        <w:t xml:space="preserve">), стабильность ресурсной базы (вес </w:t>
      </w:r>
      <w:r w:rsidR="00443D2B" w:rsidRPr="005A1F62">
        <w:t>–</w:t>
      </w:r>
      <w:r w:rsidRPr="005A1F62">
        <w:t xml:space="preserve"> 2</w:t>
      </w:r>
      <w:r w:rsidR="00845631" w:rsidRPr="005A1F62">
        <w:t>,5</w:t>
      </w:r>
      <w:r w:rsidRPr="005A1F62">
        <w:t>%</w:t>
      </w:r>
      <w:r w:rsidR="00C83BFF" w:rsidRPr="005A1F62">
        <w:t xml:space="preserve"> или 4,0%, если не выполняется критерий для оценки стоимости фондирования</w:t>
      </w:r>
      <w:r w:rsidRPr="005A1F62">
        <w:t xml:space="preserve">), </w:t>
      </w:r>
      <w:r w:rsidR="00F474B9" w:rsidRPr="005A1F62">
        <w:t>стоимост</w:t>
      </w:r>
      <w:r w:rsidR="00A00D16" w:rsidRPr="005A1F62">
        <w:t>ь</w:t>
      </w:r>
      <w:r w:rsidR="00F474B9" w:rsidRPr="005A1F62">
        <w:t xml:space="preserve"> </w:t>
      </w:r>
      <w:r w:rsidR="00654323" w:rsidRPr="005A1F62">
        <w:t xml:space="preserve">фондирования (вес – </w:t>
      </w:r>
      <w:r w:rsidR="005F2993" w:rsidRPr="005A1F62">
        <w:t>3</w:t>
      </w:r>
      <w:r w:rsidR="00C530C1" w:rsidRPr="005A1F62">
        <w:t>,0</w:t>
      </w:r>
      <w:r w:rsidR="00654323" w:rsidRPr="005A1F62">
        <w:t>%</w:t>
      </w:r>
      <w:r w:rsidR="00C530C1" w:rsidRPr="005A1F62">
        <w:t xml:space="preserve"> или 0,0%</w:t>
      </w:r>
      <w:r w:rsidR="00654323" w:rsidRPr="005A1F62">
        <w:t>),</w:t>
      </w:r>
      <w:r w:rsidR="00056AA9" w:rsidRPr="005A1F62">
        <w:t xml:space="preserve"> </w:t>
      </w:r>
      <w:r w:rsidR="00A00D16" w:rsidRPr="005A1F62">
        <w:t xml:space="preserve">влияние </w:t>
      </w:r>
      <w:r w:rsidRPr="005A1F62">
        <w:t xml:space="preserve">крупных выплат на финансовые показатели деятельности банка (вес – </w:t>
      </w:r>
      <w:r w:rsidR="005F2993" w:rsidRPr="005A1F62">
        <w:t>2</w:t>
      </w:r>
      <w:r w:rsidR="00C83BFF" w:rsidRPr="005A1F62">
        <w:t>,0</w:t>
      </w:r>
      <w:r w:rsidRPr="005A1F62">
        <w:t>%</w:t>
      </w:r>
      <w:r w:rsidR="005F2993" w:rsidRPr="005A1F62">
        <w:t xml:space="preserve"> или 3</w:t>
      </w:r>
      <w:r w:rsidR="00C83BFF" w:rsidRPr="005A1F62">
        <w:t>,0%, если не выполняется критерий для оценки стоимости фондирования</w:t>
      </w:r>
      <w:r w:rsidRPr="005A1F62">
        <w:t>)</w:t>
      </w:r>
      <w:r w:rsidR="005F2993" w:rsidRPr="005A1F62">
        <w:t xml:space="preserve">. Диверсификация и </w:t>
      </w:r>
      <w:r w:rsidRPr="005A1F62">
        <w:t>стабильность ресурсной базы</w:t>
      </w:r>
      <w:r w:rsidR="005F2993" w:rsidRPr="005A1F62">
        <w:t>, а также стоимость фондирования</w:t>
      </w:r>
      <w:r w:rsidRPr="005A1F62">
        <w:t xml:space="preserve"> относятся к показателям с «длинным хвостом</w:t>
      </w:r>
      <w:r w:rsidR="00A00D16" w:rsidRPr="005A1F62">
        <w:t xml:space="preserve">»; </w:t>
      </w:r>
      <w:r w:rsidRPr="005A1F62">
        <w:t xml:space="preserve">влияние крупных выплат и доступность источников допликвидности </w:t>
      </w:r>
      <w:r w:rsidR="00A00D16" w:rsidRPr="005A1F62">
        <w:t xml:space="preserve">оцениваются </w:t>
      </w:r>
      <w:r w:rsidRPr="005A1F62">
        <w:t>по данным на последнюю отчетную дату.</w:t>
      </w:r>
    </w:p>
    <w:p w14:paraId="06827801" w14:textId="686FC1A5" w:rsidR="007867BB" w:rsidRPr="005A1F62" w:rsidRDefault="007867BB" w:rsidP="00DC2FED">
      <w:pPr>
        <w:tabs>
          <w:tab w:val="left" w:pos="709"/>
        </w:tabs>
        <w:ind w:firstLine="567"/>
        <w:jc w:val="both"/>
      </w:pPr>
      <w:r w:rsidRPr="005A1F62">
        <w:t xml:space="preserve">Балл за диверсификацию ресурсной базы </w:t>
      </w:r>
      <w:r w:rsidR="00056AA9" w:rsidRPr="005A1F62">
        <w:t>определяется по минимальной</w:t>
      </w:r>
      <w:r w:rsidR="00262006" w:rsidRPr="005A1F62">
        <w:t xml:space="preserve"> </w:t>
      </w:r>
      <w:r w:rsidRPr="005A1F62">
        <w:t>из оцен</w:t>
      </w:r>
      <w:r w:rsidR="00056AA9" w:rsidRPr="005A1F62">
        <w:t>ок</w:t>
      </w:r>
      <w:r w:rsidRPr="005A1F62">
        <w:t xml:space="preserve"> за диверсификацию ресурсной базы по клиентам (определяется как минимальная из оценок за долю 10 крупнейших кредиторов</w:t>
      </w:r>
      <w:r w:rsidR="0006153A" w:rsidRPr="005A1F62">
        <w:t xml:space="preserve"> </w:t>
      </w:r>
      <w:r w:rsidRPr="005A1F62">
        <w:t>/</w:t>
      </w:r>
      <w:r w:rsidR="0006153A" w:rsidRPr="005A1F62">
        <w:t xml:space="preserve"> </w:t>
      </w:r>
      <w:r w:rsidR="0046682E" w:rsidRPr="005A1F62">
        <w:t xml:space="preserve">групп кредиторов в </w:t>
      </w:r>
      <w:r w:rsidRPr="005A1F62">
        <w:t xml:space="preserve">пассивах и за долю </w:t>
      </w:r>
      <w:r w:rsidR="0046682E" w:rsidRPr="005A1F62">
        <w:t xml:space="preserve">крупнейшего кредитора в </w:t>
      </w:r>
      <w:r w:rsidRPr="005A1F62">
        <w:t xml:space="preserve">пассивах), а также </w:t>
      </w:r>
      <w:r w:rsidR="00107BB1" w:rsidRPr="005A1F62">
        <w:t xml:space="preserve">по оценке </w:t>
      </w:r>
      <w:r w:rsidRPr="005A1F62">
        <w:t>за диверсификацию ресурсной базы по источникам (минимальная из оценок за долю крупнейшего и</w:t>
      </w:r>
      <w:r w:rsidR="00DE10EF" w:rsidRPr="005A1F62">
        <w:t xml:space="preserve">сточника фондирования в </w:t>
      </w:r>
      <w:r w:rsidRPr="005A1F62">
        <w:t xml:space="preserve">пассивах и за долю выпущенных ценных бумаг, включая средства, отраженные как депозиты от </w:t>
      </w:r>
      <w:r w:rsidRPr="005A1F62">
        <w:rPr>
          <w:lang w:val="en-US"/>
        </w:rPr>
        <w:t>SPV</w:t>
      </w:r>
      <w:r w:rsidR="00DE10EF" w:rsidRPr="005A1F62">
        <w:t xml:space="preserve">, в </w:t>
      </w:r>
      <w:r w:rsidRPr="005A1F62">
        <w:t>пассивах).</w:t>
      </w:r>
    </w:p>
    <w:p w14:paraId="564282C6" w14:textId="42E6C394" w:rsidR="009B681E" w:rsidRPr="005A1F62" w:rsidRDefault="001F6B70" w:rsidP="00DC2FED">
      <w:pPr>
        <w:tabs>
          <w:tab w:val="left" w:pos="709"/>
        </w:tabs>
        <w:ind w:firstLine="567"/>
        <w:jc w:val="both"/>
        <w:rPr>
          <w:iCs/>
        </w:rPr>
      </w:pPr>
      <w:bookmarkStart w:id="178" w:name="_Hlk508207370"/>
      <w:r w:rsidRPr="005A1F62">
        <w:rPr>
          <w:iCs/>
        </w:rPr>
        <w:t xml:space="preserve">Балл за диверсификацию ресурсной базы по клиентам может быть дополнительно понижен </w:t>
      </w:r>
      <w:r w:rsidR="009B681E" w:rsidRPr="005A1F62">
        <w:rPr>
          <w:iCs/>
        </w:rPr>
        <w:t xml:space="preserve">(не более чем на </w:t>
      </w:r>
      <w:r w:rsidR="0054104E" w:rsidRPr="005A1F62">
        <w:rPr>
          <w:iCs/>
        </w:rPr>
        <w:t>1</w:t>
      </w:r>
      <w:r w:rsidR="00107BB1" w:rsidRPr="005A1F62">
        <w:rPr>
          <w:iCs/>
        </w:rPr>
        <w:t>,</w:t>
      </w:r>
      <w:r w:rsidR="008046B9" w:rsidRPr="005A1F62">
        <w:rPr>
          <w:iCs/>
        </w:rPr>
        <w:t xml:space="preserve"> до уровня не </w:t>
      </w:r>
      <w:r w:rsidR="00542E6A" w:rsidRPr="005A1F62">
        <w:rPr>
          <w:iCs/>
        </w:rPr>
        <w:t>ниже</w:t>
      </w:r>
      <w:r w:rsidR="008046B9" w:rsidRPr="005A1F62">
        <w:rPr>
          <w:iCs/>
        </w:rPr>
        <w:t xml:space="preserve"> </w:t>
      </w:r>
      <w:r w:rsidR="00504B3E" w:rsidRPr="005A1F62">
        <w:rPr>
          <w:iCs/>
        </w:rPr>
        <w:t>-</w:t>
      </w:r>
      <w:r w:rsidR="008046B9" w:rsidRPr="005A1F62">
        <w:rPr>
          <w:iCs/>
        </w:rPr>
        <w:t>1</w:t>
      </w:r>
      <w:r w:rsidRPr="005A1F62">
        <w:rPr>
          <w:iCs/>
        </w:rPr>
        <w:t xml:space="preserve">), если вероятность оттока средств крупнейших кредиторов в среднесрочной перспективе оценивается как высокая и может привести к дефициту ликвидности. Если же риски оттока средств крупнейших </w:t>
      </w:r>
      <w:r w:rsidR="00A218E5" w:rsidRPr="005A1F62">
        <w:rPr>
          <w:iCs/>
        </w:rPr>
        <w:t>кред</w:t>
      </w:r>
      <w:r w:rsidRPr="005A1F62">
        <w:rPr>
          <w:iCs/>
        </w:rPr>
        <w:t>иторов оцениваются как минимальные (например, крупнейшие кредиторы являются связанными с банком)</w:t>
      </w:r>
      <w:r w:rsidR="00A218E5" w:rsidRPr="005A1F62">
        <w:rPr>
          <w:iCs/>
        </w:rPr>
        <w:t xml:space="preserve">, балл может быть повышен (не более чем на </w:t>
      </w:r>
      <w:r w:rsidR="0054104E" w:rsidRPr="005A1F62">
        <w:rPr>
          <w:iCs/>
        </w:rPr>
        <w:t>1</w:t>
      </w:r>
      <w:r w:rsidR="00107BB1" w:rsidRPr="005A1F62">
        <w:rPr>
          <w:iCs/>
        </w:rPr>
        <w:t>,</w:t>
      </w:r>
      <w:r w:rsidR="008046B9" w:rsidRPr="005A1F62">
        <w:rPr>
          <w:iCs/>
        </w:rPr>
        <w:t xml:space="preserve"> до уровня не выше 1</w:t>
      </w:r>
      <w:r w:rsidR="00A218E5" w:rsidRPr="005A1F62">
        <w:rPr>
          <w:iCs/>
        </w:rPr>
        <w:t>).</w:t>
      </w:r>
    </w:p>
    <w:bookmarkEnd w:id="178"/>
    <w:p w14:paraId="509FB98D" w14:textId="77777777" w:rsidR="004600E2" w:rsidRPr="005A1F62" w:rsidRDefault="009B681E" w:rsidP="00DC2FED">
      <w:pPr>
        <w:tabs>
          <w:tab w:val="left" w:pos="709"/>
        </w:tabs>
        <w:ind w:firstLine="567"/>
        <w:jc w:val="both"/>
      </w:pPr>
      <w:r w:rsidRPr="005A1F62">
        <w:t xml:space="preserve">Оценка стабильности ресурсной базы (анализ уже произошедших колебаний ресурсной базы) </w:t>
      </w:r>
      <w:r w:rsidR="0006153A" w:rsidRPr="005A1F62">
        <w:t xml:space="preserve">определяется </w:t>
      </w:r>
      <w:r w:rsidRPr="005A1F62">
        <w:t>как миним</w:t>
      </w:r>
      <w:r w:rsidR="004600E2" w:rsidRPr="005A1F62">
        <w:t>ум из следующих оценок:</w:t>
      </w:r>
    </w:p>
    <w:p w14:paraId="1A9E24FA" w14:textId="77777777" w:rsidR="004600E2" w:rsidRPr="005A1F62" w:rsidRDefault="004600E2" w:rsidP="00D44657">
      <w:pPr>
        <w:numPr>
          <w:ilvl w:val="0"/>
          <w:numId w:val="43"/>
        </w:numPr>
        <w:jc w:val="both"/>
      </w:pPr>
      <w:r w:rsidRPr="005A1F62">
        <w:t>оценка динамики привлеченных средств за последние 12 месяцев;</w:t>
      </w:r>
    </w:p>
    <w:p w14:paraId="3FFD3AA0" w14:textId="77777777" w:rsidR="004600E2" w:rsidRPr="005A1F62" w:rsidRDefault="004600E2" w:rsidP="00D44657">
      <w:pPr>
        <w:numPr>
          <w:ilvl w:val="0"/>
          <w:numId w:val="43"/>
        </w:numPr>
        <w:jc w:val="both"/>
      </w:pPr>
      <w:r w:rsidRPr="005A1F62">
        <w:t>взвешенные по долям средств ЮЛ и ФЛ, включая ИП, в общей сумме привлеченных от них средств оценки:</w:t>
      </w:r>
    </w:p>
    <w:p w14:paraId="70BEE19E" w14:textId="77777777" w:rsidR="004600E2" w:rsidRPr="005A1F62" w:rsidRDefault="004600E2" w:rsidP="00D44657">
      <w:pPr>
        <w:numPr>
          <w:ilvl w:val="1"/>
          <w:numId w:val="43"/>
        </w:numPr>
        <w:tabs>
          <w:tab w:val="left" w:pos="709"/>
        </w:tabs>
        <w:jc w:val="both"/>
      </w:pPr>
      <w:r w:rsidRPr="005A1F62">
        <w:t>оценка динамики привлеченных средств ЮЛ за последние 12 месяцев;</w:t>
      </w:r>
    </w:p>
    <w:p w14:paraId="65E24DE7" w14:textId="77777777" w:rsidR="004600E2" w:rsidRPr="005A1F62" w:rsidRDefault="004600E2" w:rsidP="00D44657">
      <w:pPr>
        <w:numPr>
          <w:ilvl w:val="1"/>
          <w:numId w:val="43"/>
        </w:numPr>
        <w:tabs>
          <w:tab w:val="left" w:pos="709"/>
        </w:tabs>
        <w:jc w:val="both"/>
      </w:pPr>
      <w:r w:rsidRPr="005A1F62">
        <w:lastRenderedPageBreak/>
        <w:t>минимум из оценок динамики привлеченных средств ФЛ, включая ИП:</w:t>
      </w:r>
    </w:p>
    <w:p w14:paraId="35D37926" w14:textId="77777777" w:rsidR="004600E2" w:rsidRPr="005A1F62" w:rsidRDefault="004600E2" w:rsidP="00D44657">
      <w:pPr>
        <w:numPr>
          <w:ilvl w:val="1"/>
          <w:numId w:val="43"/>
        </w:numPr>
        <w:tabs>
          <w:tab w:val="left" w:pos="709"/>
        </w:tabs>
        <w:jc w:val="both"/>
      </w:pPr>
      <w:r w:rsidRPr="005A1F62">
        <w:t>оценка динамики привлеченных средств ФЛ, включая ИП, за последние 12 месяцев;</w:t>
      </w:r>
    </w:p>
    <w:p w14:paraId="0CDB85AB" w14:textId="77777777" w:rsidR="004B6D7D" w:rsidRPr="005A1F62" w:rsidRDefault="004B6D7D" w:rsidP="00D44657">
      <w:pPr>
        <w:numPr>
          <w:ilvl w:val="1"/>
          <w:numId w:val="43"/>
        </w:numPr>
        <w:tabs>
          <w:tab w:val="left" w:pos="709"/>
        </w:tabs>
        <w:jc w:val="both"/>
      </w:pPr>
      <w:r w:rsidRPr="005A1F62">
        <w:t>оценка максимального за последние 12 месяцев месячного прироста средств ФЛ, включая ИП.</w:t>
      </w:r>
    </w:p>
    <w:p w14:paraId="5CA3A2F2" w14:textId="77F1552C" w:rsidR="009B681E" w:rsidRPr="005A1F62" w:rsidRDefault="009B681E" w:rsidP="00DC2FED">
      <w:pPr>
        <w:tabs>
          <w:tab w:val="left" w:pos="709"/>
        </w:tabs>
        <w:ind w:firstLine="567"/>
        <w:jc w:val="both"/>
      </w:pPr>
      <w:r w:rsidRPr="005A1F62">
        <w:t xml:space="preserve">Балл за стабильность ресурсной базы снижается на </w:t>
      </w:r>
      <w:r w:rsidR="00EF653F" w:rsidRPr="005A1F62">
        <w:t>0,5-2</w:t>
      </w:r>
      <w:r w:rsidR="002677F1" w:rsidRPr="005A1F62">
        <w:t xml:space="preserve"> (до уровня не ниже -1)</w:t>
      </w:r>
      <w:r w:rsidRPr="005A1F62">
        <w:t>, если:</w:t>
      </w:r>
    </w:p>
    <w:p w14:paraId="0CAF161A" w14:textId="4E7C58FD" w:rsidR="009B681E" w:rsidRPr="005A1F62" w:rsidRDefault="0006153A" w:rsidP="00D44657">
      <w:pPr>
        <w:pStyle w:val="afb"/>
        <w:numPr>
          <w:ilvl w:val="0"/>
          <w:numId w:val="64"/>
        </w:numPr>
        <w:jc w:val="both"/>
      </w:pPr>
      <w:r w:rsidRPr="005A1F62">
        <w:t xml:space="preserve">отмечены </w:t>
      </w:r>
      <w:r w:rsidR="009B681E" w:rsidRPr="005A1F62">
        <w:t xml:space="preserve">ненулевые остатки или обороты по счетам 47418, 90904, 318, 317 </w:t>
      </w:r>
      <w:r w:rsidR="00443D2B" w:rsidRPr="005A1F62">
        <w:t xml:space="preserve">формы 101 </w:t>
      </w:r>
      <w:r w:rsidR="009B681E" w:rsidRPr="005A1F62">
        <w:t>(такие факты могут рассматриваться как стресс-фактор ресурсной базы, см. раздел «Стресс-факторы»);</w:t>
      </w:r>
    </w:p>
    <w:p w14:paraId="33EFA469" w14:textId="77777777" w:rsidR="009B681E" w:rsidRPr="005A1F62" w:rsidRDefault="0006153A" w:rsidP="00D44657">
      <w:pPr>
        <w:pStyle w:val="afb"/>
        <w:numPr>
          <w:ilvl w:val="0"/>
          <w:numId w:val="64"/>
        </w:numPr>
        <w:jc w:val="both"/>
      </w:pPr>
      <w:r w:rsidRPr="005A1F62">
        <w:t xml:space="preserve">дефицит </w:t>
      </w:r>
      <w:r w:rsidR="009B681E" w:rsidRPr="005A1F62">
        <w:t>ликвидности привел к формированию крупных остатков и (или) оборотов по счету 476 «Неисполненные обязательства по договорам на привлечение средств клиентов»;</w:t>
      </w:r>
    </w:p>
    <w:p w14:paraId="627F04B0" w14:textId="1A352A0F" w:rsidR="009C1EB4" w:rsidRPr="005A1F62" w:rsidRDefault="0006153A" w:rsidP="00D44657">
      <w:pPr>
        <w:pStyle w:val="afb"/>
        <w:numPr>
          <w:ilvl w:val="0"/>
          <w:numId w:val="64"/>
        </w:numPr>
        <w:jc w:val="both"/>
      </w:pPr>
      <w:r w:rsidRPr="005A1F62">
        <w:t xml:space="preserve">есть </w:t>
      </w:r>
      <w:r w:rsidR="009B681E" w:rsidRPr="005A1F62">
        <w:t>основания полагать, что ре</w:t>
      </w:r>
      <w:r w:rsidR="00131E37" w:rsidRPr="005A1F62">
        <w:t>зкие колебания остатков и (или) значительные обороты по счетам 30220 «Незавершенные переводы денежных средств, списанных с банковских счетов клиентов</w:t>
      </w:r>
      <w:r w:rsidR="00673499" w:rsidRPr="005A1F62">
        <w:t>»</w:t>
      </w:r>
      <w:r w:rsidR="00131E37" w:rsidRPr="005A1F62">
        <w:t xml:space="preserve">, 31301 и </w:t>
      </w:r>
      <w:r w:rsidR="009B681E" w:rsidRPr="005A1F62">
        <w:t>31401</w:t>
      </w:r>
      <w:r w:rsidR="00131E37" w:rsidRPr="005A1F62">
        <w:t xml:space="preserve"> «Кредиты, полученные при недостатке средств на корреспондентском счете («овердрафт»)</w:t>
      </w:r>
      <w:r w:rsidR="00107BB1" w:rsidRPr="005A1F62">
        <w:t>»</w:t>
      </w:r>
      <w:r w:rsidR="009B681E" w:rsidRPr="005A1F62">
        <w:t>, 60305</w:t>
      </w:r>
      <w:r w:rsidR="00131E37" w:rsidRPr="005A1F62">
        <w:t xml:space="preserve"> «Обязательства по выплате краткосрочных вознаграждений работникам»</w:t>
      </w:r>
      <w:r w:rsidR="009B681E" w:rsidRPr="005A1F62">
        <w:t>, 31201, 31202, 32901</w:t>
      </w:r>
      <w:r w:rsidR="00131E37" w:rsidRPr="005A1F62">
        <w:t xml:space="preserve"> (краткосрочное привлечение средств от Банка России) связаны с </w:t>
      </w:r>
      <w:r w:rsidR="009B681E" w:rsidRPr="005A1F62">
        <w:t>дефицитом ликвидности</w:t>
      </w:r>
      <w:r w:rsidR="001F6B70" w:rsidRPr="005A1F62">
        <w:t xml:space="preserve"> и не являются «техническими»</w:t>
      </w:r>
      <w:r w:rsidR="009B681E" w:rsidRPr="005A1F62">
        <w:t>.</w:t>
      </w:r>
    </w:p>
    <w:p w14:paraId="4E81009E" w14:textId="77777777" w:rsidR="008D7A72" w:rsidRPr="005A1F62" w:rsidRDefault="002677F1" w:rsidP="00DC2FED">
      <w:pPr>
        <w:tabs>
          <w:tab w:val="left" w:pos="709"/>
        </w:tabs>
        <w:ind w:firstLine="567"/>
        <w:jc w:val="both"/>
      </w:pPr>
      <w:r w:rsidRPr="005A1F62">
        <w:t xml:space="preserve">Балл за стабильность ресурсной базы может быть повышен на </w:t>
      </w:r>
      <w:r w:rsidR="008D7A72" w:rsidRPr="005A1F62">
        <w:t>0,5 (до уровня не выше 1) в следующих случаях:</w:t>
      </w:r>
    </w:p>
    <w:p w14:paraId="1B3BAC91" w14:textId="53A6D865" w:rsidR="002677F1" w:rsidRPr="005A1F62" w:rsidRDefault="008D7A72" w:rsidP="00D44657">
      <w:pPr>
        <w:pStyle w:val="afb"/>
        <w:numPr>
          <w:ilvl w:val="0"/>
          <w:numId w:val="69"/>
        </w:numPr>
        <w:tabs>
          <w:tab w:val="left" w:pos="709"/>
        </w:tabs>
        <w:jc w:val="both"/>
      </w:pPr>
      <w:r w:rsidRPr="005A1F62">
        <w:t>Н</w:t>
      </w:r>
      <w:r w:rsidR="005B0A69" w:rsidRPr="005A1F62">
        <w:t>егативное влияние на оценку обусловлено волатильностью средств на расчетных счетах юридических лиц, связанной с их о</w:t>
      </w:r>
      <w:r w:rsidR="00F43CB4" w:rsidRPr="005A1F62">
        <w:t xml:space="preserve">перационной деятельностью (динамика среднего хронологического остатка средств соответствует диапазону бенчмарков для положительной оценки). При этом банк не фондирует краткосрочными пассивами активные операции большей срочности, а периодические чистые оттоки средств клиентов </w:t>
      </w:r>
      <w:r w:rsidR="004B76A8" w:rsidRPr="005A1F62">
        <w:t>не приводят к дефициту ликвидности и значительному ухудшению сбалансированности активов и пассивов по срокам.</w:t>
      </w:r>
    </w:p>
    <w:p w14:paraId="42C87EA5" w14:textId="7622BBCA" w:rsidR="004C64E8" w:rsidRPr="005A1F62" w:rsidRDefault="004C64E8" w:rsidP="00D44657">
      <w:pPr>
        <w:pStyle w:val="afb"/>
        <w:numPr>
          <w:ilvl w:val="0"/>
          <w:numId w:val="69"/>
        </w:numPr>
        <w:tabs>
          <w:tab w:val="left" w:pos="709"/>
        </w:tabs>
        <w:jc w:val="both"/>
      </w:pPr>
      <w:r w:rsidRPr="005A1F62">
        <w:t>Негативное влияние на оценку обусловлено сокращением пассивов одного источника, которое было компенсировано ростом пассивов другого источника, при этом указанное изменение соотношения источник</w:t>
      </w:r>
      <w:r w:rsidR="00A83FCB" w:rsidRPr="005A1F62">
        <w:t xml:space="preserve">ов фондирования было плановым, </w:t>
      </w:r>
      <w:r w:rsidRPr="005A1F62">
        <w:t>не ухудшило сбалансированнос</w:t>
      </w:r>
      <w:r w:rsidR="00A83FCB" w:rsidRPr="005A1F62">
        <w:t xml:space="preserve">ть активов и пассивов по срокам и существенно не увеличило стоимость фондирования </w:t>
      </w:r>
      <w:r w:rsidRPr="005A1F62">
        <w:t>(</w:t>
      </w:r>
      <w:r w:rsidR="00A83FCB" w:rsidRPr="005A1F62">
        <w:t>например, в рамках внутригруппового фондирования привлечение средств от аффилированных юридических лиц заменено на привлечение межбанковских кредитов от аффилированного банка).</w:t>
      </w:r>
    </w:p>
    <w:p w14:paraId="4DEFF2B5" w14:textId="005D6D6D" w:rsidR="00AD3C85" w:rsidRPr="005A1F62" w:rsidRDefault="00AD3C85" w:rsidP="00DC2FED">
      <w:pPr>
        <w:tabs>
          <w:tab w:val="left" w:pos="709"/>
        </w:tabs>
        <w:ind w:firstLine="567"/>
        <w:jc w:val="both"/>
      </w:pPr>
      <w:r w:rsidRPr="005A1F62">
        <w:t>Балл за стоимость фондирования представляет собой сумму взвешенных баллов за стоимость привлеченных средств ФЛ, стоимость привлеченных средств ЮЛ (кроме кредитных организаций и держателей облигаций и векселей), стоимость прочих привлеченных средств, в частности средств Банка России (кредитов, депозитов и средств в рамках сделок РЕПО), средств других кредитных организаций на счетах ЛОРО и привлеченных межбанковских депозитов и кредитов, средств, привлеченных за счет выпуска облигаций и векселей. Сумма перечисленных источников фондирования представляет собой базу, по доле соответствующего источника в которой взвешивается оценка стоимости фондирования за его счет в целях определения балла за субфактор «стоимость фондирования».</w:t>
      </w:r>
    </w:p>
    <w:p w14:paraId="4D4F08A6" w14:textId="02E8549A" w:rsidR="00AD3C85" w:rsidRPr="005A1F62" w:rsidRDefault="00AD3C85" w:rsidP="00DC2FED">
      <w:pPr>
        <w:tabs>
          <w:tab w:val="left" w:pos="709"/>
        </w:tabs>
        <w:ind w:firstLine="567"/>
        <w:jc w:val="both"/>
      </w:pPr>
      <w:r w:rsidRPr="005A1F62">
        <w:t xml:space="preserve">Баллы за стоимость привлеченных средств ФЛ, стоимость привлеченных средств ЮЛ (кроме кредитных организаций и держателей облигаций и векселей) и стоимость прочих </w:t>
      </w:r>
      <w:r w:rsidRPr="005A1F62">
        <w:lastRenderedPageBreak/>
        <w:t>привлеченных средств представляют собой непрерывные линейные оценки стоимости фондирования за квартал с переводом в годовое выражение.</w:t>
      </w:r>
    </w:p>
    <w:p w14:paraId="7542D40A" w14:textId="27FFB022" w:rsidR="00220D52" w:rsidRPr="005A1F62" w:rsidRDefault="00220D52" w:rsidP="00DC2FED">
      <w:pPr>
        <w:ind w:firstLine="567"/>
        <w:jc w:val="both"/>
      </w:pPr>
      <w:r w:rsidRPr="005A1F62">
        <w:t>В случае нерепрезентативности бенчмарков для валютной и (или) срочной структуры ресурсной базы, балл за стоимость фондирования может быть понижен или повышен не более чем на 1</w:t>
      </w:r>
      <w:r w:rsidR="00107BB1" w:rsidRPr="005A1F62">
        <w:t>,</w:t>
      </w:r>
      <w:r w:rsidRPr="005A1F62">
        <w:t xml:space="preserve"> до уровня не ниже -1 и не выше 1 соответственно.</w:t>
      </w:r>
    </w:p>
    <w:p w14:paraId="152FF8ED" w14:textId="5F749CF7" w:rsidR="00AD3C85" w:rsidRPr="005A1F62" w:rsidRDefault="00AD3C85" w:rsidP="00DC2FED">
      <w:pPr>
        <w:tabs>
          <w:tab w:val="left" w:pos="709"/>
        </w:tabs>
        <w:ind w:firstLine="567"/>
        <w:jc w:val="both"/>
      </w:pPr>
      <w:r w:rsidRPr="005A1F62">
        <w:t xml:space="preserve">Вес итогового балла за стоимость фондирования устанавливается равным нулю (субфактор не оценивается), если доля базы привлеченных средств, стоимость которых оценивается в рамках субфактора, </w:t>
      </w:r>
      <w:r w:rsidR="00DC3750" w:rsidRPr="005A1F62">
        <w:t xml:space="preserve">в </w:t>
      </w:r>
      <w:r w:rsidR="000D0858" w:rsidRPr="005A1F62">
        <w:t>пассивах</w:t>
      </w:r>
      <w:r w:rsidRPr="005A1F62">
        <w:t xml:space="preserve"> меньше </w:t>
      </w:r>
      <w:r w:rsidR="00EE3007" w:rsidRPr="005A1F62">
        <w:t>20</w:t>
      </w:r>
      <w:r w:rsidRPr="005A1F62">
        <w:t>%.</w:t>
      </w:r>
    </w:p>
    <w:p w14:paraId="6C6D6274" w14:textId="062AF935" w:rsidR="009B681E" w:rsidRPr="005A1F62" w:rsidRDefault="009B681E" w:rsidP="00DC2FED">
      <w:pPr>
        <w:tabs>
          <w:tab w:val="left" w:pos="709"/>
        </w:tabs>
        <w:ind w:firstLine="567"/>
        <w:jc w:val="both"/>
      </w:pPr>
      <w:r w:rsidRPr="005A1F62">
        <w:t xml:space="preserve">Оценка влияния крупных выплат (анализ ожидаемых колебаний ресурсной базы) </w:t>
      </w:r>
      <w:r w:rsidR="00E56FDB" w:rsidRPr="005A1F62">
        <w:t xml:space="preserve">определяется </w:t>
      </w:r>
      <w:r w:rsidR="00107BB1" w:rsidRPr="005A1F62">
        <w:t>по таблице.</w:t>
      </w:r>
    </w:p>
    <w:p w14:paraId="3B66EB7C" w14:textId="77777777" w:rsidR="009B681E" w:rsidRPr="005A1F62" w:rsidRDefault="009B681E" w:rsidP="00DC2FED">
      <w:pPr>
        <w:tabs>
          <w:tab w:val="left" w:pos="709"/>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8300"/>
      </w:tblGrid>
      <w:tr w:rsidR="00364531" w:rsidRPr="005A1F62" w14:paraId="07573FA2" w14:textId="77777777" w:rsidTr="00364531">
        <w:tc>
          <w:tcPr>
            <w:tcW w:w="0" w:type="auto"/>
            <w:shd w:val="clear" w:color="auto" w:fill="auto"/>
            <w:vAlign w:val="center"/>
          </w:tcPr>
          <w:p w14:paraId="7664CAE3" w14:textId="77777777" w:rsidR="009B681E" w:rsidRPr="005A1F62" w:rsidRDefault="009B681E" w:rsidP="00DC2FED">
            <w:pPr>
              <w:tabs>
                <w:tab w:val="left" w:pos="709"/>
              </w:tabs>
              <w:rPr>
                <w:b/>
              </w:rPr>
            </w:pPr>
            <w:r w:rsidRPr="005A1F62">
              <w:rPr>
                <w:b/>
              </w:rPr>
              <w:t>Оценка</w:t>
            </w:r>
          </w:p>
        </w:tc>
        <w:tc>
          <w:tcPr>
            <w:tcW w:w="8300" w:type="dxa"/>
            <w:shd w:val="clear" w:color="auto" w:fill="auto"/>
            <w:vAlign w:val="center"/>
          </w:tcPr>
          <w:p w14:paraId="13C85450" w14:textId="77777777" w:rsidR="009B681E" w:rsidRPr="005A1F62" w:rsidRDefault="009B681E" w:rsidP="00DC2FED">
            <w:pPr>
              <w:tabs>
                <w:tab w:val="left" w:pos="709"/>
              </w:tabs>
              <w:rPr>
                <w:b/>
                <w:lang w:val="en-US"/>
              </w:rPr>
            </w:pPr>
            <w:r w:rsidRPr="005A1F62">
              <w:rPr>
                <w:b/>
              </w:rPr>
              <w:t>Условия присвоения оценки</w:t>
            </w:r>
          </w:p>
        </w:tc>
      </w:tr>
      <w:tr w:rsidR="00364531" w:rsidRPr="005A1F62" w14:paraId="49C9704E" w14:textId="77777777" w:rsidTr="00364531">
        <w:tc>
          <w:tcPr>
            <w:tcW w:w="0" w:type="auto"/>
            <w:shd w:val="clear" w:color="auto" w:fill="auto"/>
            <w:vAlign w:val="center"/>
          </w:tcPr>
          <w:p w14:paraId="3930D0AA" w14:textId="77777777" w:rsidR="00EC39E9" w:rsidRPr="005A1F62" w:rsidRDefault="00EC39E9" w:rsidP="00EC39E9">
            <w:pPr>
              <w:tabs>
                <w:tab w:val="left" w:pos="709"/>
              </w:tabs>
              <w:jc w:val="center"/>
            </w:pPr>
            <w:r w:rsidRPr="005A1F62">
              <w:t>1</w:t>
            </w:r>
          </w:p>
        </w:tc>
        <w:tc>
          <w:tcPr>
            <w:tcW w:w="8300" w:type="dxa"/>
            <w:shd w:val="clear" w:color="auto" w:fill="auto"/>
          </w:tcPr>
          <w:p w14:paraId="20C1E70C" w14:textId="2565E672" w:rsidR="00EC39E9" w:rsidRPr="005A1F62" w:rsidRDefault="00EC39E9" w:rsidP="00EC39E9">
            <w:pPr>
              <w:numPr>
                <w:ilvl w:val="0"/>
                <w:numId w:val="2"/>
              </w:numPr>
              <w:tabs>
                <w:tab w:val="left" w:pos="709"/>
              </w:tabs>
              <w:ind w:left="0" w:firstLine="0"/>
              <w:jc w:val="both"/>
            </w:pPr>
            <w:r w:rsidRPr="005A1F62">
              <w:t>Нет крупных выплат (рассматриваются обязательства в размере от 2% пассивов, которые с высокой вероятностью будут предъявлены к погашению в предстоящие 15 месяцев: погашение субординированного кредита, погашение облигаций, в том числе досрочное по оферте и т. п.; возможное изъятие с расчетных счетов и счетов до востребования не учитывается, такие счета прямо учтены в расчете Н2; не учитываются также выплаты в ближайший месяц, так как они уже учтены в оценке норматива Н3)</w:t>
            </w:r>
          </w:p>
        </w:tc>
      </w:tr>
      <w:tr w:rsidR="00364531" w:rsidRPr="005A1F62" w14:paraId="2FE6194B" w14:textId="77777777" w:rsidTr="00364531">
        <w:tc>
          <w:tcPr>
            <w:tcW w:w="0" w:type="auto"/>
            <w:shd w:val="clear" w:color="auto" w:fill="auto"/>
            <w:vAlign w:val="center"/>
          </w:tcPr>
          <w:p w14:paraId="4FE63BF9" w14:textId="77777777" w:rsidR="00EC39E9" w:rsidRPr="005A1F62" w:rsidRDefault="00EC39E9" w:rsidP="00EC39E9">
            <w:pPr>
              <w:tabs>
                <w:tab w:val="left" w:pos="709"/>
              </w:tabs>
              <w:jc w:val="center"/>
            </w:pPr>
            <w:r w:rsidRPr="005A1F62">
              <w:t>0,5</w:t>
            </w:r>
          </w:p>
        </w:tc>
        <w:tc>
          <w:tcPr>
            <w:tcW w:w="8300" w:type="dxa"/>
            <w:shd w:val="clear" w:color="auto" w:fill="auto"/>
          </w:tcPr>
          <w:p w14:paraId="215E0B59" w14:textId="6E2BA965" w:rsidR="00EC39E9" w:rsidRPr="005A1F62" w:rsidRDefault="00EC39E9" w:rsidP="00EC39E9">
            <w:pPr>
              <w:numPr>
                <w:ilvl w:val="0"/>
                <w:numId w:val="2"/>
              </w:numPr>
              <w:tabs>
                <w:tab w:val="left" w:pos="709"/>
              </w:tabs>
              <w:ind w:left="0" w:firstLine="0"/>
              <w:jc w:val="both"/>
            </w:pPr>
            <w:r w:rsidRPr="005A1F62">
              <w:t>Есть крупные выплаты, но их реализация не окажет существенного негативного влияния на запас ликвидности банка</w:t>
            </w:r>
          </w:p>
        </w:tc>
      </w:tr>
      <w:tr w:rsidR="00364531" w:rsidRPr="005A1F62" w14:paraId="6445DDDF" w14:textId="77777777" w:rsidTr="00364531">
        <w:tc>
          <w:tcPr>
            <w:tcW w:w="0" w:type="auto"/>
            <w:shd w:val="clear" w:color="auto" w:fill="auto"/>
            <w:vAlign w:val="center"/>
          </w:tcPr>
          <w:p w14:paraId="2965226C" w14:textId="77777777" w:rsidR="00EC39E9" w:rsidRPr="005A1F62" w:rsidRDefault="00EC39E9" w:rsidP="00EC39E9">
            <w:pPr>
              <w:tabs>
                <w:tab w:val="left" w:pos="709"/>
              </w:tabs>
              <w:jc w:val="center"/>
            </w:pPr>
            <w:r w:rsidRPr="005A1F62">
              <w:t>0</w:t>
            </w:r>
          </w:p>
        </w:tc>
        <w:tc>
          <w:tcPr>
            <w:tcW w:w="8300" w:type="dxa"/>
            <w:shd w:val="clear" w:color="auto" w:fill="auto"/>
          </w:tcPr>
          <w:p w14:paraId="48BF0C40" w14:textId="6671F0E2" w:rsidR="00EC39E9" w:rsidRPr="005A1F62" w:rsidRDefault="00EC39E9" w:rsidP="00EC39E9">
            <w:pPr>
              <w:numPr>
                <w:ilvl w:val="0"/>
                <w:numId w:val="2"/>
              </w:numPr>
              <w:tabs>
                <w:tab w:val="left" w:pos="709"/>
              </w:tabs>
              <w:ind w:left="0" w:firstLine="0"/>
              <w:jc w:val="both"/>
            </w:pPr>
            <w:r w:rsidRPr="005A1F62">
              <w:t>Есть крупные выплаты, их реализация окажет заметное негативное влияние на запас ликвидности банка, но при этом не приведет к существенному сжатию бизнеса банка</w:t>
            </w:r>
          </w:p>
        </w:tc>
      </w:tr>
      <w:tr w:rsidR="00364531" w:rsidRPr="005A1F62" w14:paraId="062B6812" w14:textId="77777777" w:rsidTr="00364531">
        <w:tc>
          <w:tcPr>
            <w:tcW w:w="0" w:type="auto"/>
            <w:shd w:val="clear" w:color="auto" w:fill="auto"/>
            <w:vAlign w:val="center"/>
          </w:tcPr>
          <w:p w14:paraId="675DA00E" w14:textId="77777777" w:rsidR="00EC39E9" w:rsidRPr="005A1F62" w:rsidRDefault="00EC39E9" w:rsidP="00EC39E9">
            <w:pPr>
              <w:tabs>
                <w:tab w:val="left" w:pos="709"/>
              </w:tabs>
              <w:jc w:val="center"/>
            </w:pPr>
            <w:r w:rsidRPr="005A1F62">
              <w:t>-0,5</w:t>
            </w:r>
          </w:p>
        </w:tc>
        <w:tc>
          <w:tcPr>
            <w:tcW w:w="8300" w:type="dxa"/>
            <w:shd w:val="clear" w:color="auto" w:fill="auto"/>
          </w:tcPr>
          <w:p w14:paraId="4061E217" w14:textId="590D9837" w:rsidR="00EC39E9" w:rsidRPr="005A1F62" w:rsidRDefault="00EC39E9" w:rsidP="00EC39E9">
            <w:pPr>
              <w:numPr>
                <w:ilvl w:val="0"/>
                <w:numId w:val="2"/>
              </w:numPr>
              <w:tabs>
                <w:tab w:val="left" w:pos="709"/>
              </w:tabs>
              <w:ind w:left="0" w:firstLine="0"/>
              <w:jc w:val="both"/>
            </w:pPr>
            <w:r w:rsidRPr="005A1F62">
              <w:t>Есть крупные выплаты, их реализация окажет заметное негативное влияние на запас ликвидности банка и приведет к существенному сжатию бизнеса банка</w:t>
            </w:r>
          </w:p>
        </w:tc>
      </w:tr>
      <w:tr w:rsidR="00364531" w:rsidRPr="005A1F62" w14:paraId="42871FA5" w14:textId="77777777" w:rsidTr="00364531">
        <w:tc>
          <w:tcPr>
            <w:tcW w:w="0" w:type="auto"/>
            <w:shd w:val="clear" w:color="auto" w:fill="auto"/>
            <w:vAlign w:val="center"/>
          </w:tcPr>
          <w:p w14:paraId="4A443A9A" w14:textId="77777777" w:rsidR="00EC39E9" w:rsidRPr="005A1F62" w:rsidRDefault="00EC39E9" w:rsidP="00EC39E9">
            <w:pPr>
              <w:tabs>
                <w:tab w:val="left" w:pos="709"/>
              </w:tabs>
              <w:jc w:val="center"/>
            </w:pPr>
            <w:r w:rsidRPr="005A1F62">
              <w:t>-1</w:t>
            </w:r>
          </w:p>
        </w:tc>
        <w:tc>
          <w:tcPr>
            <w:tcW w:w="8300" w:type="dxa"/>
            <w:shd w:val="clear" w:color="auto" w:fill="auto"/>
          </w:tcPr>
          <w:p w14:paraId="36890B66" w14:textId="5CDE2E2C" w:rsidR="00EC39E9" w:rsidRPr="005A1F62" w:rsidRDefault="00EC39E9" w:rsidP="00EC39E9">
            <w:pPr>
              <w:numPr>
                <w:ilvl w:val="0"/>
                <w:numId w:val="2"/>
              </w:numPr>
              <w:tabs>
                <w:tab w:val="left" w:pos="709"/>
              </w:tabs>
              <w:ind w:left="0" w:firstLine="0"/>
              <w:jc w:val="both"/>
            </w:pPr>
            <w:r w:rsidRPr="005A1F62">
              <w:t xml:space="preserve">Есть крупные выплаты, их реализация приведет к исчерпанию запаса ликвидности банка </w:t>
            </w:r>
            <w:r w:rsidR="00DF69DC" w:rsidRPr="005A1F62">
              <w:t>и (</w:t>
            </w:r>
            <w:r w:rsidRPr="005A1F62">
              <w:t>или</w:t>
            </w:r>
            <w:r w:rsidR="00DF69DC" w:rsidRPr="005A1F62">
              <w:t>)</w:t>
            </w:r>
            <w:r w:rsidRPr="005A1F62">
              <w:t xml:space="preserve"> нарушению обязательных нормативов ликвидности</w:t>
            </w:r>
          </w:p>
        </w:tc>
      </w:tr>
    </w:tbl>
    <w:p w14:paraId="54D5E3BE" w14:textId="77777777" w:rsidR="009B681E" w:rsidRPr="005A1F62" w:rsidRDefault="009B681E" w:rsidP="00DC2FED">
      <w:pPr>
        <w:tabs>
          <w:tab w:val="left" w:pos="709"/>
        </w:tabs>
        <w:jc w:val="both"/>
        <w:rPr>
          <w:i/>
          <w:color w:val="000080"/>
        </w:rPr>
      </w:pPr>
    </w:p>
    <w:p w14:paraId="2B7E98A7" w14:textId="4DFA6A95" w:rsidR="008C798C" w:rsidRPr="005A1F62" w:rsidRDefault="009B681E" w:rsidP="008C798C">
      <w:pPr>
        <w:tabs>
          <w:tab w:val="left" w:pos="709"/>
        </w:tabs>
        <w:ind w:firstLine="567"/>
        <w:jc w:val="both"/>
      </w:pPr>
      <w:r w:rsidRPr="005A1F62">
        <w:t xml:space="preserve">Особое внимание необходимо уделять ситуациям, когда у банка значительный объем </w:t>
      </w:r>
      <w:r w:rsidR="0064582D" w:rsidRPr="005A1F62">
        <w:t>«</w:t>
      </w:r>
      <w:r w:rsidRPr="005A1F62">
        <w:t>коротких</w:t>
      </w:r>
      <w:r w:rsidR="0064582D" w:rsidRPr="005A1F62">
        <w:t>»</w:t>
      </w:r>
      <w:r w:rsidRPr="005A1F62">
        <w:t xml:space="preserve"> векселей (в т</w:t>
      </w:r>
      <w:r w:rsidR="0006153A" w:rsidRPr="005A1F62">
        <w:t xml:space="preserve">ом </w:t>
      </w:r>
      <w:r w:rsidRPr="005A1F62">
        <w:t>ч</w:t>
      </w:r>
      <w:r w:rsidR="0006153A" w:rsidRPr="005A1F62">
        <w:t xml:space="preserve">исле </w:t>
      </w:r>
      <w:r w:rsidR="00296C97" w:rsidRPr="005A1F62">
        <w:t>«</w:t>
      </w:r>
      <w:r w:rsidRPr="005A1F62">
        <w:t>до востребования</w:t>
      </w:r>
      <w:r w:rsidR="00296C97" w:rsidRPr="005A1F62">
        <w:t>»</w:t>
      </w:r>
      <w:r w:rsidRPr="005A1F62">
        <w:t xml:space="preserve">), при этом их обращение неподконтрольно </w:t>
      </w:r>
      <w:r w:rsidR="0006153A" w:rsidRPr="005A1F62">
        <w:t xml:space="preserve">банку </w:t>
      </w:r>
      <w:r w:rsidRPr="005A1F62">
        <w:t xml:space="preserve">(он не знает текущих векселедержателей). Опасность значительного объема кратко- и среднесрочных векселей повышает риск концентрации обязательств банка у недружественных структур. В отличие от облигаций обращение векселей осуществляется, как правило, на внебиржевом рынке, поэтому их скупку недружественными по отношению </w:t>
      </w:r>
      <w:r w:rsidR="0006153A" w:rsidRPr="005A1F62">
        <w:t xml:space="preserve">банку </w:t>
      </w:r>
      <w:r w:rsidRPr="005A1F62">
        <w:t>структурами значительно сложнее отследить.</w:t>
      </w:r>
      <w:r w:rsidR="002F721F" w:rsidRPr="005A1F62">
        <w:t xml:space="preserve"> </w:t>
      </w:r>
      <w:r w:rsidR="0064582D" w:rsidRPr="005A1F62">
        <w:t>К</w:t>
      </w:r>
      <w:r w:rsidR="002F721F" w:rsidRPr="005A1F62">
        <w:t xml:space="preserve">ак </w:t>
      </w:r>
      <w:r w:rsidR="0006153A" w:rsidRPr="005A1F62">
        <w:t xml:space="preserve">одна </w:t>
      </w:r>
      <w:r w:rsidR="002F721F" w:rsidRPr="005A1F62">
        <w:t xml:space="preserve">крупная выплата </w:t>
      </w:r>
      <w:r w:rsidR="0006153A" w:rsidRPr="005A1F62">
        <w:t xml:space="preserve">могут </w:t>
      </w:r>
      <w:r w:rsidR="002F721F" w:rsidRPr="005A1F62">
        <w:t>рассматриваться несколько</w:t>
      </w:r>
      <w:r w:rsidR="0064582D" w:rsidRPr="005A1F62">
        <w:t xml:space="preserve"> выплат, которые должны быть совершены</w:t>
      </w:r>
      <w:r w:rsidR="00C703DE" w:rsidRPr="005A1F62">
        <w:t xml:space="preserve"> в короткий промежуток времени</w:t>
      </w:r>
      <w:r w:rsidR="0064582D" w:rsidRPr="005A1F62">
        <w:t>.</w:t>
      </w:r>
    </w:p>
    <w:p w14:paraId="0CB0E8F6" w14:textId="07F19E62" w:rsidR="00611D78" w:rsidRPr="005A1F62" w:rsidRDefault="00611D78" w:rsidP="00611D78">
      <w:pPr>
        <w:tabs>
          <w:tab w:val="left" w:pos="709"/>
        </w:tabs>
        <w:ind w:firstLine="567"/>
        <w:jc w:val="both"/>
        <w:rPr>
          <w:bCs/>
        </w:rPr>
      </w:pPr>
      <w:bookmarkStart w:id="179" w:name="_Hlk531603"/>
      <w:r w:rsidRPr="005A1F62">
        <w:rPr>
          <w:bCs/>
        </w:rPr>
        <w:t>В целях оценки наличия крупных выплат могут быть сгруппированы обязательства по вкладам физических лиц, размер каждого из которых превышает страховой лимит по программе обязательного страхования вкладов (1,4 млн руб.). Если совокупная величина таких вкладов превышает 2% пассивов банка, то совокупность этих обязательств может рассматриваться как потенциальная крупная выплата. При этом принимаются во внимание порядок и условия досрочного изъятия средств.</w:t>
      </w:r>
    </w:p>
    <w:p w14:paraId="427A6229" w14:textId="088C62A4" w:rsidR="0012414C" w:rsidRPr="005A1F62" w:rsidRDefault="006D0BC9" w:rsidP="00DC2FED">
      <w:pPr>
        <w:tabs>
          <w:tab w:val="left" w:pos="709"/>
        </w:tabs>
        <w:ind w:firstLine="567"/>
        <w:jc w:val="both"/>
        <w:rPr>
          <w:bCs/>
        </w:rPr>
      </w:pPr>
      <w:r w:rsidRPr="005A1F62">
        <w:rPr>
          <w:bCs/>
        </w:rPr>
        <w:t xml:space="preserve">По аналогии </w:t>
      </w:r>
      <w:r w:rsidR="0012414C" w:rsidRPr="005A1F62">
        <w:rPr>
          <w:bCs/>
        </w:rPr>
        <w:t xml:space="preserve">с описанным выше принципом </w:t>
      </w:r>
      <w:r w:rsidRPr="005A1F62">
        <w:rPr>
          <w:bCs/>
        </w:rPr>
        <w:t xml:space="preserve">в качестве крупных выплат могут рассматриваться совокупности иных обязательств, которые могут быть сгруппированы по тем или иным признакам и с повышенной вероятностью могут быть изъяты одномоментно или в течение непродолжительного периода времени. Например, это могут быть </w:t>
      </w:r>
      <w:r w:rsidRPr="005A1F62">
        <w:rPr>
          <w:bCs/>
        </w:rPr>
        <w:lastRenderedPageBreak/>
        <w:t>обязательства перед рядом связанных друг с другом лиц, даже если они не отнесены к одной группе кредиторов в отчетности.</w:t>
      </w:r>
    </w:p>
    <w:p w14:paraId="6AD4B973" w14:textId="6D8B7D27" w:rsidR="00882798" w:rsidRPr="005A1F62" w:rsidRDefault="00882798" w:rsidP="00DC2FED">
      <w:pPr>
        <w:tabs>
          <w:tab w:val="left" w:pos="709"/>
        </w:tabs>
        <w:ind w:firstLine="567"/>
        <w:jc w:val="both"/>
        <w:rPr>
          <w:bCs/>
        </w:rPr>
      </w:pPr>
      <w:bookmarkStart w:id="180" w:name="_Hlk532084"/>
      <w:bookmarkEnd w:id="179"/>
      <w:r w:rsidRPr="005A1F62">
        <w:rPr>
          <w:bCs/>
        </w:rPr>
        <w:t xml:space="preserve">В качестве потенциальных источников крупных выплат также могут рассматриваться внебалансовые условные обязательства кредитного характера, в частности условные обязательства по выданным гарантиям, вероятность выплат по которым оценена как повышенная, исходя из оценки финансового состояния принципалов и перспектив выполнения принципалами гарантированных </w:t>
      </w:r>
      <w:r w:rsidR="00C7612B" w:rsidRPr="005A1F62">
        <w:rPr>
          <w:bCs/>
        </w:rPr>
        <w:t>обязательств</w:t>
      </w:r>
      <w:r w:rsidRPr="005A1F62">
        <w:rPr>
          <w:bCs/>
        </w:rPr>
        <w:t xml:space="preserve"> перед бенефициарами.</w:t>
      </w:r>
    </w:p>
    <w:bookmarkEnd w:id="180"/>
    <w:p w14:paraId="7CF97F8A" w14:textId="77777777" w:rsidR="002836D2" w:rsidRPr="005A1F62" w:rsidRDefault="002836D2" w:rsidP="00DC2FED">
      <w:pPr>
        <w:tabs>
          <w:tab w:val="left" w:pos="709"/>
        </w:tabs>
        <w:ind w:firstLine="567"/>
        <w:jc w:val="both"/>
        <w:rPr>
          <w:b/>
        </w:rPr>
      </w:pPr>
    </w:p>
    <w:p w14:paraId="2C0B1956" w14:textId="77777777" w:rsidR="009B681E" w:rsidRPr="005A1F62" w:rsidRDefault="009B681E" w:rsidP="00B73C6D">
      <w:pPr>
        <w:pStyle w:val="3"/>
        <w:numPr>
          <w:ilvl w:val="1"/>
          <w:numId w:val="58"/>
        </w:numPr>
        <w:tabs>
          <w:tab w:val="left" w:pos="709"/>
        </w:tabs>
        <w:spacing w:before="0" w:after="0"/>
        <w:ind w:left="0" w:firstLine="567"/>
        <w:rPr>
          <w:rFonts w:ascii="Times New Roman" w:hAnsi="Times New Roman" w:cs="Times New Roman"/>
        </w:rPr>
      </w:pPr>
      <w:bookmarkStart w:id="181" w:name="_Toc277183412"/>
      <w:bookmarkStart w:id="182" w:name="_Toc343776111"/>
      <w:bookmarkStart w:id="183" w:name="_Toc459363762"/>
      <w:bookmarkStart w:id="184" w:name="_Toc44433465"/>
      <w:r w:rsidRPr="005A1F62">
        <w:rPr>
          <w:rFonts w:ascii="Times New Roman" w:hAnsi="Times New Roman" w:cs="Times New Roman"/>
        </w:rPr>
        <w:t>Ликвидность</w:t>
      </w:r>
      <w:bookmarkEnd w:id="181"/>
      <w:bookmarkEnd w:id="182"/>
      <w:bookmarkEnd w:id="183"/>
      <w:r w:rsidR="003C430B" w:rsidRPr="005A1F62">
        <w:rPr>
          <w:rStyle w:val="a9"/>
          <w:rFonts w:ascii="Times New Roman" w:hAnsi="Times New Roman" w:cs="Times New Roman"/>
        </w:rPr>
        <w:footnoteReference w:id="27"/>
      </w:r>
      <w:bookmarkEnd w:id="184"/>
    </w:p>
    <w:p w14:paraId="0B004781" w14:textId="77777777" w:rsidR="00364531" w:rsidRPr="005A1F62" w:rsidRDefault="00364531" w:rsidP="00DC2FED">
      <w:pPr>
        <w:tabs>
          <w:tab w:val="left" w:pos="709"/>
        </w:tabs>
        <w:ind w:firstLine="567"/>
        <w:jc w:val="both"/>
        <w:rPr>
          <w:u w:val="single"/>
        </w:rPr>
      </w:pPr>
    </w:p>
    <w:p w14:paraId="2EC0AE0D" w14:textId="4FEE7B62" w:rsidR="00673472" w:rsidRPr="005A1F62" w:rsidRDefault="009B681E" w:rsidP="00DC2FED">
      <w:pPr>
        <w:tabs>
          <w:tab w:val="left" w:pos="709"/>
        </w:tabs>
        <w:ind w:firstLine="567"/>
        <w:jc w:val="both"/>
      </w:pPr>
      <w:r w:rsidRPr="005A1F62">
        <w:rPr>
          <w:u w:val="single"/>
        </w:rPr>
        <w:t>Цель оценки</w:t>
      </w:r>
      <w:r w:rsidR="005324BB" w:rsidRPr="005A1F62">
        <w:rPr>
          <w:u w:val="single"/>
        </w:rPr>
        <w:t>:</w:t>
      </w:r>
      <w:r w:rsidR="005324BB" w:rsidRPr="005A1F62">
        <w:t xml:space="preserve"> о</w:t>
      </w:r>
      <w:r w:rsidR="006D1A23" w:rsidRPr="005A1F62">
        <w:t>пределить</w:t>
      </w:r>
      <w:r w:rsidRPr="005A1F62">
        <w:t xml:space="preserve">, насколько </w:t>
      </w:r>
      <w:r w:rsidR="006D1A23" w:rsidRPr="005A1F62">
        <w:t xml:space="preserve">банк </w:t>
      </w:r>
      <w:r w:rsidRPr="005A1F62">
        <w:t>в состоянии поддерживать необходимый уровень ликвидности, а также эффективно планировать баланс ликвидност</w:t>
      </w:r>
      <w:r w:rsidR="00146668" w:rsidRPr="005A1F62">
        <w:t>и на среднесрочную перспективу.</w:t>
      </w:r>
    </w:p>
    <w:p w14:paraId="30E1E232" w14:textId="481B7AE5" w:rsidR="009B681E" w:rsidRPr="005A1F62" w:rsidRDefault="00673472" w:rsidP="00DC2FED">
      <w:pPr>
        <w:tabs>
          <w:tab w:val="left" w:pos="709"/>
        </w:tabs>
        <w:ind w:firstLine="567"/>
        <w:jc w:val="both"/>
      </w:pPr>
      <w:r w:rsidRPr="005A1F62">
        <w:t xml:space="preserve">Поддержание низкого уровня ликвидности на коротком горизонте повышает риски неисполнения обязательств банком даже при незначительных колебаниях ресурсной базы. </w:t>
      </w:r>
      <w:r w:rsidR="00C175C4" w:rsidRPr="005A1F62">
        <w:t xml:space="preserve">Помимо нормативов Н2, Н3 и Н4, приближение к которым несет повышенные регулятивные риски, </w:t>
      </w:r>
      <w:r w:rsidR="007F7204" w:rsidRPr="005A1F62">
        <w:t>А</w:t>
      </w:r>
      <w:r w:rsidR="00C175C4" w:rsidRPr="005A1F62">
        <w:t xml:space="preserve">гентство оценивает также скорректированные показатели ликвидности. Оценка скорректированной ликвидности позволяет устранить эффект различий в подходах банков к расчету нормативов, так как часть банков уменьшают знаменатель нормативов </w:t>
      </w:r>
      <w:r w:rsidR="004C1445" w:rsidRPr="005A1F62">
        <w:t xml:space="preserve">на </w:t>
      </w:r>
      <w:r w:rsidR="00C175C4" w:rsidRPr="005A1F62">
        <w:t xml:space="preserve">величину минимальных совокупных клиентских остатков, а часть – нет. </w:t>
      </w:r>
      <w:r w:rsidR="00B74DB7" w:rsidRPr="005A1F62">
        <w:t>Негативно оценивается высокий уровень иммобилизации капитала вложениями в имущество</w:t>
      </w:r>
      <w:r w:rsidR="005F18A9" w:rsidRPr="005A1F62">
        <w:t xml:space="preserve"> и</w:t>
      </w:r>
      <w:r w:rsidR="00CD78CF" w:rsidRPr="005A1F62">
        <w:t xml:space="preserve"> </w:t>
      </w:r>
      <w:r w:rsidR="00B74DB7" w:rsidRPr="005A1F62">
        <w:t xml:space="preserve">низколиквидные активы. В таком случае затруднено и использование капитала для покрытия потерь по кредитным рискам, так как при необходимости срочной реализации имущества </w:t>
      </w:r>
      <w:r w:rsidR="006D1A23" w:rsidRPr="005A1F62">
        <w:t xml:space="preserve">банк </w:t>
      </w:r>
      <w:r w:rsidR="00B74DB7" w:rsidRPr="005A1F62">
        <w:t>может столкнуться с тем, что его рыночная стоимость окаже</w:t>
      </w:r>
      <w:r w:rsidR="00A31AAA" w:rsidRPr="005A1F62">
        <w:t>т</w:t>
      </w:r>
      <w:r w:rsidR="00130CD3" w:rsidRPr="005A1F62">
        <w:t>ся существенно ниже балансовой. Для системно значимых банков оценивается уровень нормативов краткосрочной ликвидности и чистого стабильного фондирования.</w:t>
      </w:r>
    </w:p>
    <w:p w14:paraId="64AF57DA" w14:textId="0DA31D62" w:rsidR="007867BB" w:rsidRPr="005A1F62" w:rsidRDefault="009A30FB" w:rsidP="00DC2FED">
      <w:pPr>
        <w:tabs>
          <w:tab w:val="left" w:pos="709"/>
        </w:tabs>
        <w:ind w:firstLine="567"/>
        <w:jc w:val="both"/>
      </w:pPr>
      <w:r w:rsidRPr="005A1F62">
        <w:t>Для банков с универсальной лицензией б</w:t>
      </w:r>
      <w:r w:rsidR="007867BB" w:rsidRPr="005A1F62">
        <w:t xml:space="preserve">алл за ликвидность складывается из оценки сбалансированности активов и пассивов на краткосрочном горизонте с весом </w:t>
      </w:r>
      <w:r w:rsidR="00E21F1D" w:rsidRPr="005A1F62">
        <w:t>8</w:t>
      </w:r>
      <w:r w:rsidR="007867BB" w:rsidRPr="005A1F62">
        <w:t>% (показатель с «непрерывным коротким хвостом») и оценки сбалансированности активов и пассивов на долгосрочном горизонте, учитываемой с весом 4% (показатель с «длинным хвостом»).</w:t>
      </w:r>
      <w:r w:rsidRPr="005A1F62">
        <w:t xml:space="preserve"> Для банков с базовой лицензией сбалансированность активов и пассивов на долгосрочном горизонте не оценивается, а оценка </w:t>
      </w:r>
      <w:r w:rsidR="005324BB" w:rsidRPr="005A1F62">
        <w:t xml:space="preserve">сбалансированности </w:t>
      </w:r>
      <w:r w:rsidRPr="005A1F62">
        <w:t xml:space="preserve">активов и пассивов на краткосрочном </w:t>
      </w:r>
      <w:r w:rsidR="00E21F1D" w:rsidRPr="005A1F62">
        <w:t>горизонте учитывается с весом 12</w:t>
      </w:r>
      <w:r w:rsidRPr="005A1F62">
        <w:t>%.</w:t>
      </w:r>
    </w:p>
    <w:p w14:paraId="4CBDD91E" w14:textId="77777777" w:rsidR="002836D2" w:rsidRPr="005A1F62" w:rsidRDefault="002836D2" w:rsidP="00DC2FED">
      <w:pPr>
        <w:tabs>
          <w:tab w:val="left" w:pos="709"/>
        </w:tabs>
        <w:ind w:firstLine="567"/>
        <w:jc w:val="both"/>
      </w:pPr>
    </w:p>
    <w:p w14:paraId="35CA2F2C" w14:textId="77777777" w:rsidR="006D1A23" w:rsidRPr="005A1F62" w:rsidRDefault="006D1A23" w:rsidP="00DC2FED">
      <w:pPr>
        <w:tabs>
          <w:tab w:val="left" w:pos="709"/>
        </w:tabs>
        <w:ind w:firstLine="567"/>
        <w:rPr>
          <w:u w:val="single"/>
        </w:rPr>
      </w:pPr>
      <w:r w:rsidRPr="005A1F62">
        <w:rPr>
          <w:u w:val="single"/>
        </w:rPr>
        <w:t>Алгоритм выставления оценки</w:t>
      </w:r>
    </w:p>
    <w:p w14:paraId="288070D2" w14:textId="3978219C" w:rsidR="009B681E" w:rsidRPr="005A1F62" w:rsidRDefault="009B681E" w:rsidP="00DC2FED">
      <w:pPr>
        <w:tabs>
          <w:tab w:val="left" w:pos="709"/>
        </w:tabs>
        <w:ind w:firstLine="567"/>
        <w:jc w:val="both"/>
        <w:rPr>
          <w:b/>
        </w:rPr>
      </w:pPr>
      <w:r w:rsidRPr="005A1F62">
        <w:rPr>
          <w:b/>
        </w:rPr>
        <w:t xml:space="preserve">Сбалансированность активов и пассивов </w:t>
      </w:r>
      <w:r w:rsidR="000B5641" w:rsidRPr="005A1F62">
        <w:rPr>
          <w:b/>
        </w:rPr>
        <w:t xml:space="preserve">по срокам </w:t>
      </w:r>
      <w:r w:rsidRPr="005A1F62">
        <w:rPr>
          <w:b/>
        </w:rPr>
        <w:t>на краткосрочном горизонте</w:t>
      </w:r>
    </w:p>
    <w:p w14:paraId="6274E6DA" w14:textId="4BDDE1DE" w:rsidR="002F721F" w:rsidRPr="005A1F62" w:rsidRDefault="00B47A1E" w:rsidP="00DC2FED">
      <w:pPr>
        <w:tabs>
          <w:tab w:val="left" w:pos="709"/>
        </w:tabs>
        <w:ind w:firstLine="567"/>
        <w:jc w:val="both"/>
      </w:pPr>
      <w:r w:rsidRPr="005A1F62">
        <w:t>Для банков с универсальной лицензией о</w:t>
      </w:r>
      <w:r w:rsidR="007867BB" w:rsidRPr="005A1F62">
        <w:t>ценка краткосрочной ликвидности оп</w:t>
      </w:r>
      <w:r w:rsidR="002A1700" w:rsidRPr="005A1F62">
        <w:t>ределяется на основе оценки четырех</w:t>
      </w:r>
      <w:r w:rsidR="007867BB" w:rsidRPr="005A1F62">
        <w:t xml:space="preserve"> показателей: </w:t>
      </w:r>
      <w:r w:rsidR="00DD2A16" w:rsidRPr="005A1F62">
        <w:t xml:space="preserve">минимальная оценка </w:t>
      </w:r>
      <w:r w:rsidR="00457308" w:rsidRPr="005A1F62">
        <w:t xml:space="preserve">за значение норматива Н2, </w:t>
      </w:r>
      <w:r w:rsidR="007867BB" w:rsidRPr="005A1F62">
        <w:t xml:space="preserve">за значение норматива Н2 без учета Овм* </w:t>
      </w:r>
      <w:r w:rsidR="00457308" w:rsidRPr="005A1F62">
        <w:t>и за устойчивость запаса ликвидности к досрочному изъятию средств (доля привлеченных средств срочностью свыше одного дня</w:t>
      </w:r>
      <w:r w:rsidR="00456CB4" w:rsidRPr="005A1F62">
        <w:t xml:space="preserve"> за исключением субординированных депозитов</w:t>
      </w:r>
      <w:r w:rsidR="00D77698" w:rsidRPr="005A1F62">
        <w:t xml:space="preserve"> (кредитов) и иных средств без возможности досрочного изъятия на оцениваемом горизонте, </w:t>
      </w:r>
      <w:r w:rsidR="00457308" w:rsidRPr="005A1F62">
        <w:t>досрочное изъятие которых за день приведет к нарушению норматива Н2</w:t>
      </w:r>
      <w:r w:rsidR="00F718C7" w:rsidRPr="005A1F62">
        <w:t xml:space="preserve">; </w:t>
      </w:r>
      <w:r w:rsidR="007867BB" w:rsidRPr="005A1F62">
        <w:t>вес – 2</w:t>
      </w:r>
      <w:r w:rsidR="00457308" w:rsidRPr="005A1F62">
        <w:t xml:space="preserve">%); </w:t>
      </w:r>
      <w:r w:rsidR="007867BB" w:rsidRPr="005A1F62">
        <w:t>за отношение высоколиквидных активов (Лам) к привлеченным средствам</w:t>
      </w:r>
      <w:r w:rsidR="005324BB" w:rsidRPr="005A1F62">
        <w:t>,</w:t>
      </w:r>
      <w:r w:rsidR="007867BB" w:rsidRPr="005A1F62">
        <w:t xml:space="preserve"> </w:t>
      </w:r>
      <w:r w:rsidR="00456CB4" w:rsidRPr="005A1F62">
        <w:t>за исключением субординированных депозитов</w:t>
      </w:r>
      <w:r w:rsidR="00C20C7C" w:rsidRPr="005A1F62">
        <w:t xml:space="preserve"> (кредитов)</w:t>
      </w:r>
      <w:r w:rsidR="00456CB4" w:rsidRPr="005A1F62">
        <w:t xml:space="preserve">, до погашения которых остается не менее пяти лет </w:t>
      </w:r>
      <w:r w:rsidR="007867BB" w:rsidRPr="005A1F62">
        <w:t xml:space="preserve">(вес </w:t>
      </w:r>
      <w:r w:rsidR="00DD2A16" w:rsidRPr="005A1F62">
        <w:t>–</w:t>
      </w:r>
      <w:r w:rsidR="007867BB" w:rsidRPr="005A1F62">
        <w:t xml:space="preserve"> 2</w:t>
      </w:r>
      <w:r w:rsidR="00DD2A16" w:rsidRPr="005A1F62">
        <w:t xml:space="preserve">%); минимальная </w:t>
      </w:r>
      <w:r w:rsidR="008853DB" w:rsidRPr="005A1F62">
        <w:t xml:space="preserve">из следующих оценок </w:t>
      </w:r>
      <w:r w:rsidR="007867BB" w:rsidRPr="005A1F62">
        <w:t>за значение норматива Н3, за значение норматива Н3 без учета Овт*, за устойчивость запаса ликвидности к досрочному изъятию средств (доля привлеченных средств срочностью свыше 30 дней</w:t>
      </w:r>
      <w:r w:rsidR="005324BB" w:rsidRPr="005A1F62">
        <w:t>,</w:t>
      </w:r>
      <w:r w:rsidR="00456CB4" w:rsidRPr="005A1F62">
        <w:t xml:space="preserve"> за исключением </w:t>
      </w:r>
      <w:r w:rsidR="00456CB4" w:rsidRPr="005A1F62">
        <w:lastRenderedPageBreak/>
        <w:t>субординированных депозитов</w:t>
      </w:r>
      <w:r w:rsidR="00C20C7C" w:rsidRPr="005A1F62">
        <w:t xml:space="preserve"> (кредитов)</w:t>
      </w:r>
      <w:r w:rsidR="00D77698" w:rsidRPr="005A1F62">
        <w:t xml:space="preserve"> и иных средств без</w:t>
      </w:r>
      <w:r w:rsidR="00336876" w:rsidRPr="005A1F62">
        <w:t xml:space="preserve"> возможности досрочного изъятия на оцениваемом горизонте, </w:t>
      </w:r>
      <w:r w:rsidR="007867BB" w:rsidRPr="005A1F62">
        <w:t xml:space="preserve">досрочное изъятие которых за </w:t>
      </w:r>
      <w:r w:rsidR="00DD2A16" w:rsidRPr="005A1F62">
        <w:t xml:space="preserve">один </w:t>
      </w:r>
      <w:r w:rsidR="007867BB" w:rsidRPr="005A1F62">
        <w:t>месяц приведет к нарушению норматива Н3</w:t>
      </w:r>
      <w:r w:rsidR="00F718C7" w:rsidRPr="005A1F62">
        <w:t xml:space="preserve">; </w:t>
      </w:r>
      <w:r w:rsidR="008853DB" w:rsidRPr="005A1F62">
        <w:t>вес – 2%);</w:t>
      </w:r>
      <w:r w:rsidR="007867BB" w:rsidRPr="005A1F62">
        <w:t xml:space="preserve"> </w:t>
      </w:r>
      <w:r w:rsidR="00456CB4" w:rsidRPr="005A1F62">
        <w:t>за отношение ликвидных активов (Лат) к привлеченным средствам за исключением субординированных депозитов</w:t>
      </w:r>
      <w:r w:rsidR="00C20C7C" w:rsidRPr="005A1F62">
        <w:t xml:space="preserve"> (кредитов)</w:t>
      </w:r>
      <w:r w:rsidR="00456CB4" w:rsidRPr="005A1F62">
        <w:t>, до погашения которых остается не менее пяти лет</w:t>
      </w:r>
      <w:r w:rsidR="008853DB" w:rsidRPr="005A1F62">
        <w:t xml:space="preserve"> (вес – 2%)</w:t>
      </w:r>
      <w:r w:rsidR="00456CB4" w:rsidRPr="005A1F62">
        <w:t>;</w:t>
      </w:r>
      <w:r w:rsidR="00262006" w:rsidRPr="005A1F62">
        <w:t xml:space="preserve"> </w:t>
      </w:r>
      <w:r w:rsidR="007867BB" w:rsidRPr="005A1F62">
        <w:t>для системно</w:t>
      </w:r>
      <w:r w:rsidR="00C175C4" w:rsidRPr="005A1F62">
        <w:t xml:space="preserve"> </w:t>
      </w:r>
      <w:r w:rsidR="007867BB" w:rsidRPr="005A1F62">
        <w:t xml:space="preserve">значимых кредитных организаций также учитывается оценка за </w:t>
      </w:r>
      <w:r w:rsidR="00C73643" w:rsidRPr="005A1F62">
        <w:t>показатель</w:t>
      </w:r>
      <w:r w:rsidR="007867BB" w:rsidRPr="005A1F62">
        <w:t xml:space="preserve"> краткосрочной ликвидности (</w:t>
      </w:r>
      <w:r w:rsidR="00C73643" w:rsidRPr="005A1F62">
        <w:t>ПКЛ</w:t>
      </w:r>
      <w:r w:rsidR="007867BB" w:rsidRPr="005A1F62">
        <w:t>)</w:t>
      </w:r>
      <w:r w:rsidR="00C175C4" w:rsidRPr="005A1F62">
        <w:t>.</w:t>
      </w:r>
    </w:p>
    <w:p w14:paraId="39C92CBC" w14:textId="3658FB82" w:rsidR="00B47A1E" w:rsidRPr="005A1F62" w:rsidRDefault="00B47A1E" w:rsidP="00DC2FED">
      <w:pPr>
        <w:tabs>
          <w:tab w:val="left" w:pos="709"/>
        </w:tabs>
        <w:ind w:firstLine="567"/>
        <w:jc w:val="both"/>
      </w:pPr>
      <w:r w:rsidRPr="005A1F62">
        <w:t>Для банков с базов</w:t>
      </w:r>
      <w:r w:rsidR="00072F21" w:rsidRPr="005A1F62">
        <w:t>о</w:t>
      </w:r>
      <w:r w:rsidRPr="005A1F62">
        <w:t xml:space="preserve">й лицензией оценка краткосрочной ликвидности определяется на основе оценки </w:t>
      </w:r>
      <w:r w:rsidR="008853DB" w:rsidRPr="005A1F62">
        <w:t>четырех</w:t>
      </w:r>
      <w:r w:rsidRPr="005A1F62">
        <w:t xml:space="preserve"> показателей: </w:t>
      </w:r>
      <w:r w:rsidR="00072F21" w:rsidRPr="005A1F62">
        <w:t>соотношение высоколиквидных активов</w:t>
      </w:r>
      <w:r w:rsidR="00072F21" w:rsidRPr="005A1F62">
        <w:rPr>
          <w:rStyle w:val="a9"/>
        </w:rPr>
        <w:footnoteReference w:id="28"/>
      </w:r>
      <w:r w:rsidR="00072F21" w:rsidRPr="005A1F62">
        <w:t xml:space="preserve"> и привлеченных средств (за исключением привлеченных субординированных депозитов (кредитов), до погашения которых остается не менее пяти лет</w:t>
      </w:r>
      <w:r w:rsidR="00F718C7" w:rsidRPr="005A1F62">
        <w:t xml:space="preserve">; </w:t>
      </w:r>
      <w:r w:rsidR="00986307" w:rsidRPr="005A1F62">
        <w:t>вес – 3</w:t>
      </w:r>
      <w:r w:rsidR="00E476A1" w:rsidRPr="005A1F62">
        <w:t>%)</w:t>
      </w:r>
      <w:r w:rsidR="00072F21" w:rsidRPr="005A1F62">
        <w:t xml:space="preserve">, </w:t>
      </w:r>
      <w:r w:rsidRPr="005A1F62">
        <w:t xml:space="preserve">минимальная </w:t>
      </w:r>
      <w:r w:rsidR="00E476A1" w:rsidRPr="005A1F62">
        <w:t xml:space="preserve">из оценок </w:t>
      </w:r>
      <w:r w:rsidRPr="005A1F62">
        <w:t xml:space="preserve">за </w:t>
      </w:r>
      <w:r w:rsidR="00072F21" w:rsidRPr="005A1F62">
        <w:t xml:space="preserve">соотношение высоколиквидных активов и обязательств по счетам </w:t>
      </w:r>
      <w:r w:rsidR="00F718C7" w:rsidRPr="005A1F62">
        <w:t>«</w:t>
      </w:r>
      <w:r w:rsidR="00072F21" w:rsidRPr="005A1F62">
        <w:t>до востребования</w:t>
      </w:r>
      <w:r w:rsidR="00F718C7" w:rsidRPr="005A1F62">
        <w:t>»</w:t>
      </w:r>
      <w:r w:rsidR="00072F21" w:rsidRPr="005A1F62">
        <w:t xml:space="preserve"> и за устойчивость запаса ликвидности к досрочному оттоку средств (доля привлеченных средств срочностью свыше одного дня (за исключением привлеченных субординированных депозито</w:t>
      </w:r>
      <w:r w:rsidR="00336876" w:rsidRPr="005A1F62">
        <w:t xml:space="preserve">в (кредитов) и иных средств без возможности досрочного изъятия на оцениваемом горизонте, </w:t>
      </w:r>
      <w:r w:rsidR="00072F21" w:rsidRPr="005A1F62">
        <w:t>досрочное изъятие которой приведет к полному истощению запаса высоколиквидных активов</w:t>
      </w:r>
      <w:r w:rsidR="00F718C7" w:rsidRPr="005A1F62">
        <w:t xml:space="preserve">; </w:t>
      </w:r>
      <w:r w:rsidRPr="005A1F62">
        <w:t xml:space="preserve">вес – </w:t>
      </w:r>
      <w:r w:rsidR="00986307" w:rsidRPr="005A1F62">
        <w:t>3</w:t>
      </w:r>
      <w:r w:rsidRPr="005A1F62">
        <w:t xml:space="preserve">%); </w:t>
      </w:r>
      <w:r w:rsidR="008853DB" w:rsidRPr="005A1F62">
        <w:t xml:space="preserve">минимальная из оценок </w:t>
      </w:r>
      <w:r w:rsidRPr="005A1F62">
        <w:t>за значение норматива Н3, за значение норматива Н3 без учета Овт*, за устойчивость запаса ликвидности к досрочному изъятию средств (доля привлеченных средств срочностью свыше 30 дней за исключением субординированных депозитов (креди</w:t>
      </w:r>
      <w:r w:rsidR="00336876" w:rsidRPr="005A1F62">
        <w:t xml:space="preserve">тов) и иных средств без возможности досрочного изъятия на оцениваемом горизонте, </w:t>
      </w:r>
      <w:r w:rsidRPr="005A1F62">
        <w:t>досрочное изъятие которых за один месяц приведет к нарушению норматива Н3</w:t>
      </w:r>
      <w:r w:rsidR="00F718C7" w:rsidRPr="005A1F62">
        <w:t xml:space="preserve">; </w:t>
      </w:r>
      <w:r w:rsidR="008853DB" w:rsidRPr="005A1F62">
        <w:t>вес – 3%);</w:t>
      </w:r>
      <w:r w:rsidRPr="005A1F62">
        <w:t xml:space="preserve"> за отношение ликвидных активов (Лат) к привлеченным средствам за исключением субординированных депозитов (кредитов), до погашения которых остается не менее пяти лет</w:t>
      </w:r>
      <w:r w:rsidR="008853DB" w:rsidRPr="005A1F62">
        <w:t xml:space="preserve"> (вес – 3%)</w:t>
      </w:r>
      <w:r w:rsidR="00986307" w:rsidRPr="005A1F62">
        <w:t>.</w:t>
      </w:r>
    </w:p>
    <w:p w14:paraId="22B239B9" w14:textId="77777777" w:rsidR="002836D2" w:rsidRPr="005A1F62" w:rsidRDefault="002836D2" w:rsidP="00DC2FED">
      <w:pPr>
        <w:tabs>
          <w:tab w:val="left" w:pos="709"/>
        </w:tabs>
        <w:ind w:firstLine="567"/>
        <w:jc w:val="both"/>
      </w:pPr>
    </w:p>
    <w:p w14:paraId="75C60594" w14:textId="77777777" w:rsidR="009B681E" w:rsidRPr="005A1F62" w:rsidRDefault="009B681E" w:rsidP="00DC2FED">
      <w:pPr>
        <w:tabs>
          <w:tab w:val="left" w:pos="709"/>
        </w:tabs>
        <w:ind w:firstLine="567"/>
        <w:jc w:val="both"/>
        <w:rPr>
          <w:b/>
        </w:rPr>
      </w:pPr>
      <w:r w:rsidRPr="005A1F62">
        <w:rPr>
          <w:b/>
        </w:rPr>
        <w:t>Мгновенная ликвидность</w:t>
      </w:r>
    </w:p>
    <w:p w14:paraId="48D10470" w14:textId="26674DC3" w:rsidR="009B681E" w:rsidRPr="005A1F62" w:rsidRDefault="00072F21" w:rsidP="00DC2FED">
      <w:pPr>
        <w:tabs>
          <w:tab w:val="left" w:pos="709"/>
        </w:tabs>
        <w:ind w:firstLine="567"/>
        <w:jc w:val="both"/>
      </w:pPr>
      <w:r w:rsidRPr="005A1F62">
        <w:t>Для банков с универсальной лицензией б</w:t>
      </w:r>
      <w:r w:rsidR="009B681E" w:rsidRPr="005A1F62">
        <w:t xml:space="preserve">алл за мгновенную ликвидность выставляется на основе бенчмарков по нормативу мгновенной ликвидности (Н2), Н2 без учета Овм*, доле привлеченных средств срочностью свыше </w:t>
      </w:r>
      <w:r w:rsidR="00DD2A16" w:rsidRPr="005A1F62">
        <w:t xml:space="preserve">одного </w:t>
      </w:r>
      <w:r w:rsidR="009B681E" w:rsidRPr="005A1F62">
        <w:t>дня</w:t>
      </w:r>
      <w:r w:rsidR="003108D4" w:rsidRPr="005A1F62">
        <w:t xml:space="preserve"> (за исключением субординированных депозитов</w:t>
      </w:r>
      <w:r w:rsidR="00C20C7C" w:rsidRPr="005A1F62">
        <w:t xml:space="preserve"> (кредитов)</w:t>
      </w:r>
      <w:r w:rsidR="003F7312" w:rsidRPr="005A1F62">
        <w:t xml:space="preserve"> и иных средств</w:t>
      </w:r>
      <w:r w:rsidR="00BE45A0" w:rsidRPr="005A1F62">
        <w:t xml:space="preserve"> без возможности досрочного изъятия на оцениваемом горизонте</w:t>
      </w:r>
      <w:r w:rsidR="003108D4" w:rsidRPr="005A1F62">
        <w:t>)</w:t>
      </w:r>
      <w:r w:rsidR="009B681E" w:rsidRPr="005A1F62">
        <w:t xml:space="preserve">, досрочное изъятие которой за </w:t>
      </w:r>
      <w:r w:rsidR="00DD2A16" w:rsidRPr="005A1F62">
        <w:t xml:space="preserve">один </w:t>
      </w:r>
      <w:r w:rsidR="009B681E" w:rsidRPr="005A1F62">
        <w:t>день приведет к нарушению норматива Н2</w:t>
      </w:r>
      <w:r w:rsidR="004600E2" w:rsidRPr="005A1F62">
        <w:t xml:space="preserve"> (минимум из трех баллов) и отношению высоколиквидных активов (Лам) к привлеченным средствам</w:t>
      </w:r>
      <w:r w:rsidR="00C20C7C" w:rsidRPr="005A1F62">
        <w:t xml:space="preserve"> (за исключением субординированных депозитов (кредитов), до погашения которых остается не менее пяти лет)</w:t>
      </w:r>
      <w:r w:rsidR="009B681E" w:rsidRPr="005A1F62">
        <w:t>.</w:t>
      </w:r>
    </w:p>
    <w:p w14:paraId="15A41854" w14:textId="26ABCF7C" w:rsidR="00072F21" w:rsidRPr="005A1F62" w:rsidRDefault="00072F21" w:rsidP="00DC2FED">
      <w:pPr>
        <w:tabs>
          <w:tab w:val="left" w:pos="709"/>
        </w:tabs>
        <w:ind w:firstLine="567"/>
        <w:jc w:val="both"/>
      </w:pPr>
      <w:r w:rsidRPr="005A1F62">
        <w:t xml:space="preserve">Для банков с базовой лицензией балл за мгновенную ликвидность выставляется на основе бенчмарков по соотношению высоколиквидных активов и привлеченных средств (за исключением привлеченных субординированных депозитов (кредитов), до погашения которых остается не менее пяти лет), </w:t>
      </w:r>
      <w:r w:rsidR="00F718C7" w:rsidRPr="005A1F62">
        <w:t xml:space="preserve">по </w:t>
      </w:r>
      <w:r w:rsidRPr="005A1F62">
        <w:t xml:space="preserve">соотношению высоколиквидных активов и обязательств по счетам </w:t>
      </w:r>
      <w:r w:rsidR="00F718C7" w:rsidRPr="005A1F62">
        <w:t>«</w:t>
      </w:r>
      <w:r w:rsidRPr="005A1F62">
        <w:t>до востребования</w:t>
      </w:r>
      <w:r w:rsidR="00F718C7" w:rsidRPr="005A1F62">
        <w:t>»</w:t>
      </w:r>
      <w:r w:rsidRPr="005A1F62">
        <w:t>, доле привлеченных средств срочностью свыше одного дня (за исключением привлеченных субординированных депоз</w:t>
      </w:r>
      <w:r w:rsidR="003F7312" w:rsidRPr="005A1F62">
        <w:t>итов (кредитов) и иных средств</w:t>
      </w:r>
      <w:r w:rsidR="00BE45A0" w:rsidRPr="005A1F62">
        <w:t xml:space="preserve"> без возможности досрочного изъятия на оцениваемом горизонте</w:t>
      </w:r>
      <w:r w:rsidRPr="005A1F62">
        <w:t>), досрочное изъятие которой приведет к полному истощению запаса высоколиквидных активов.</w:t>
      </w:r>
    </w:p>
    <w:p w14:paraId="70E792B4" w14:textId="77777777" w:rsidR="002836D2" w:rsidRPr="005A1F62" w:rsidRDefault="002836D2" w:rsidP="00DC2FED">
      <w:pPr>
        <w:tabs>
          <w:tab w:val="left" w:pos="709"/>
        </w:tabs>
        <w:ind w:firstLine="567"/>
        <w:jc w:val="both"/>
      </w:pPr>
    </w:p>
    <w:p w14:paraId="409ED53F" w14:textId="77777777" w:rsidR="009B681E" w:rsidRPr="005A1F62" w:rsidRDefault="009B681E" w:rsidP="00DC2FED">
      <w:pPr>
        <w:tabs>
          <w:tab w:val="left" w:pos="709"/>
        </w:tabs>
        <w:ind w:firstLine="567"/>
        <w:jc w:val="both"/>
        <w:rPr>
          <w:b/>
        </w:rPr>
      </w:pPr>
      <w:r w:rsidRPr="005A1F62">
        <w:rPr>
          <w:b/>
        </w:rPr>
        <w:t>Текущая ликвидность</w:t>
      </w:r>
    </w:p>
    <w:p w14:paraId="2867A91B" w14:textId="124DC81A" w:rsidR="009B681E" w:rsidRPr="005A1F62" w:rsidRDefault="009B681E" w:rsidP="00DC2FED">
      <w:pPr>
        <w:tabs>
          <w:tab w:val="left" w:pos="709"/>
        </w:tabs>
        <w:ind w:firstLine="567"/>
        <w:jc w:val="both"/>
      </w:pPr>
      <w:r w:rsidRPr="005A1F62">
        <w:lastRenderedPageBreak/>
        <w:t>Балл за текущую ликвидность выставляется</w:t>
      </w:r>
      <w:r w:rsidR="00CD78CF" w:rsidRPr="005A1F62">
        <w:t xml:space="preserve"> </w:t>
      </w:r>
      <w:r w:rsidRPr="005A1F62">
        <w:t>на основе бенчмарков по нормативу текущей ликвидности (Н3),</w:t>
      </w:r>
      <w:r w:rsidR="00C175C4" w:rsidRPr="005A1F62">
        <w:t xml:space="preserve"> </w:t>
      </w:r>
      <w:r w:rsidR="00DD2A16" w:rsidRPr="005A1F62">
        <w:t xml:space="preserve">скорректированному </w:t>
      </w:r>
      <w:r w:rsidRPr="005A1F62">
        <w:t>норматив</w:t>
      </w:r>
      <w:r w:rsidR="00DD2A16" w:rsidRPr="005A1F62">
        <w:t>у</w:t>
      </w:r>
      <w:r w:rsidRPr="005A1F62">
        <w:t xml:space="preserve"> текущей ликвидности (Н3 без учета Овт*), доле привлеченных средств срочностью свыше 30 дней</w:t>
      </w:r>
      <w:r w:rsidR="003108D4" w:rsidRPr="005A1F62">
        <w:t xml:space="preserve"> (за исключением субординированных депозитов</w:t>
      </w:r>
      <w:r w:rsidR="00C20C7C" w:rsidRPr="005A1F62">
        <w:t xml:space="preserve"> (кредитов)</w:t>
      </w:r>
      <w:r w:rsidR="00170119" w:rsidRPr="005A1F62">
        <w:t xml:space="preserve"> и иных </w:t>
      </w:r>
      <w:r w:rsidR="0056389D" w:rsidRPr="005A1F62">
        <w:t>средств</w:t>
      </w:r>
      <w:r w:rsidR="00170119" w:rsidRPr="005A1F62">
        <w:t xml:space="preserve"> без возможности досрочного изъятия на оцениваемом горизонте</w:t>
      </w:r>
      <w:r w:rsidR="003108D4" w:rsidRPr="005A1F62">
        <w:t>)</w:t>
      </w:r>
      <w:r w:rsidRPr="005A1F62">
        <w:t>, досрочное изъятие которой за один месяц приведет к нарушению норматива Н3</w:t>
      </w:r>
      <w:r w:rsidR="003108D4" w:rsidRPr="005A1F62">
        <w:t>, отношению ликвидных активов (Лат) к привлеченным средствам</w:t>
      </w:r>
      <w:r w:rsidR="001768E2" w:rsidRPr="005A1F62">
        <w:t xml:space="preserve"> </w:t>
      </w:r>
      <w:r w:rsidR="00C20C7C" w:rsidRPr="005A1F62">
        <w:t xml:space="preserve">(за исключением субординированных депозитов (кредитов), до погашения которых остается не менее пяти лет) </w:t>
      </w:r>
      <w:r w:rsidRPr="005A1F62">
        <w:t>и, если банк по действующему указанию ЦБ РФ относится к системно</w:t>
      </w:r>
      <w:r w:rsidR="00DD2A16" w:rsidRPr="005A1F62">
        <w:t xml:space="preserve"> </w:t>
      </w:r>
      <w:r w:rsidRPr="005A1F62">
        <w:t xml:space="preserve">значимым кредитным организациям, по </w:t>
      </w:r>
      <w:r w:rsidR="00B87681" w:rsidRPr="005A1F62">
        <w:t xml:space="preserve">показателю </w:t>
      </w:r>
      <w:r w:rsidRPr="005A1F62">
        <w:t>краткосрочно</w:t>
      </w:r>
      <w:r w:rsidR="008853DB" w:rsidRPr="005A1F62">
        <w:t>й ликвидности (</w:t>
      </w:r>
      <w:r w:rsidR="00B87681" w:rsidRPr="005A1F62">
        <w:t>ПКЛ</w:t>
      </w:r>
      <w:r w:rsidR="008853DB" w:rsidRPr="005A1F62">
        <w:t>).</w:t>
      </w:r>
    </w:p>
    <w:p w14:paraId="2BCF34C5" w14:textId="3661BE9B" w:rsidR="009B681E" w:rsidRPr="005A1F62" w:rsidRDefault="009E6D29" w:rsidP="00DC2FED">
      <w:pPr>
        <w:tabs>
          <w:tab w:val="left" w:pos="709"/>
        </w:tabs>
        <w:ind w:firstLine="567"/>
        <w:jc w:val="both"/>
      </w:pPr>
      <w:r w:rsidRPr="005A1F62">
        <w:t>Аналитик</w:t>
      </w:r>
      <w:r w:rsidR="001768E2" w:rsidRPr="005A1F62">
        <w:t xml:space="preserve"> может</w:t>
      </w:r>
      <w:r w:rsidR="009B681E" w:rsidRPr="005A1F62">
        <w:t xml:space="preserve"> </w:t>
      </w:r>
      <w:r w:rsidR="001768E2" w:rsidRPr="005A1F62">
        <w:t xml:space="preserve">скорректировать </w:t>
      </w:r>
      <w:r w:rsidR="009B681E" w:rsidRPr="005A1F62">
        <w:t xml:space="preserve">оценку (не более чем на </w:t>
      </w:r>
      <w:r w:rsidR="0054104E" w:rsidRPr="005A1F62">
        <w:t>1</w:t>
      </w:r>
      <w:r w:rsidR="00F718C7" w:rsidRPr="005A1F62">
        <w:t xml:space="preserve"> балл</w:t>
      </w:r>
      <w:r w:rsidR="009B681E" w:rsidRPr="005A1F62">
        <w:t>), анализируя:</w:t>
      </w:r>
    </w:p>
    <w:p w14:paraId="472839BD" w14:textId="77777777" w:rsidR="009B681E" w:rsidRPr="005A1F62" w:rsidRDefault="00DD2A16" w:rsidP="00B73C6D">
      <w:pPr>
        <w:pStyle w:val="afb"/>
        <w:numPr>
          <w:ilvl w:val="0"/>
          <w:numId w:val="65"/>
        </w:numPr>
        <w:jc w:val="both"/>
      </w:pPr>
      <w:r w:rsidRPr="005A1F62">
        <w:t xml:space="preserve">соотношение </w:t>
      </w:r>
      <w:r w:rsidR="009B681E" w:rsidRPr="005A1F62">
        <w:t xml:space="preserve">оборотов по корреспондентскому счету в ЦБ РФ за месяц и активов банка (аномально низкое соотношение – ниже 50% – </w:t>
      </w:r>
      <w:r w:rsidR="00895828" w:rsidRPr="005A1F62">
        <w:t xml:space="preserve">может свидетельствовать </w:t>
      </w:r>
      <w:r w:rsidR="009B681E" w:rsidRPr="005A1F62">
        <w:t>о низкой деловой активности банка);</w:t>
      </w:r>
    </w:p>
    <w:p w14:paraId="6D3BEF22" w14:textId="77777777" w:rsidR="009B681E" w:rsidRPr="005A1F62" w:rsidRDefault="00DD2A16" w:rsidP="00B73C6D">
      <w:pPr>
        <w:pStyle w:val="afb"/>
        <w:numPr>
          <w:ilvl w:val="0"/>
          <w:numId w:val="65"/>
        </w:numPr>
        <w:jc w:val="both"/>
      </w:pPr>
      <w:r w:rsidRPr="005A1F62">
        <w:t xml:space="preserve">соотношение </w:t>
      </w:r>
      <w:r w:rsidR="009B681E" w:rsidRPr="005A1F62">
        <w:t>оборотов и остатков по счетам, отражающим кредитные операции (аномально низкое соотношение свидетельствует о низкой оборачиваемости кредитов, возможно</w:t>
      </w:r>
      <w:r w:rsidRPr="005A1F62">
        <w:t>,</w:t>
      </w:r>
      <w:r w:rsidR="009B681E" w:rsidRPr="005A1F62">
        <w:t xml:space="preserve"> об их плохом качестве; высокая оборачиваемость позволяет быстро аккумулировать ликвидность, остановив выдачу кредитов).</w:t>
      </w:r>
    </w:p>
    <w:p w14:paraId="73E36279" w14:textId="0EE0DCC0" w:rsidR="009B681E" w:rsidRPr="005A1F62" w:rsidRDefault="009B681E" w:rsidP="00DC2FED">
      <w:pPr>
        <w:tabs>
          <w:tab w:val="left" w:pos="709"/>
        </w:tabs>
        <w:ind w:firstLine="567"/>
        <w:jc w:val="both"/>
      </w:pPr>
      <w:r w:rsidRPr="005A1F62">
        <w:t>За высокий объем внебалансовых обязательств кредитного характера</w:t>
      </w:r>
      <w:r w:rsidR="009A5D21" w:rsidRPr="005A1F62">
        <w:t xml:space="preserve"> </w:t>
      </w:r>
      <w:r w:rsidRPr="005A1F62">
        <w:t>может корректироваться балл за мгновенную и</w:t>
      </w:r>
      <w:r w:rsidR="00C175C4" w:rsidRPr="005A1F62">
        <w:t xml:space="preserve"> (или)</w:t>
      </w:r>
      <w:r w:rsidRPr="005A1F62">
        <w:t xml:space="preserve"> текущую ликвидность, </w:t>
      </w:r>
      <w:r w:rsidR="00C175C4" w:rsidRPr="005A1F62">
        <w:t xml:space="preserve">при этом </w:t>
      </w:r>
      <w:r w:rsidRPr="005A1F62">
        <w:t xml:space="preserve">корректировка </w:t>
      </w:r>
      <w:r w:rsidR="00C175C4" w:rsidRPr="005A1F62">
        <w:t xml:space="preserve">аналитика должна учитывать </w:t>
      </w:r>
      <w:r w:rsidRPr="005A1F62">
        <w:t xml:space="preserve">в </w:t>
      </w:r>
      <w:r w:rsidR="00DD2A16" w:rsidRPr="005A1F62">
        <w:t xml:space="preserve">том числе </w:t>
      </w:r>
      <w:r w:rsidRPr="005A1F62">
        <w:t>и качество внебалансовых обязательств.</w:t>
      </w:r>
    </w:p>
    <w:p w14:paraId="5BA95F42" w14:textId="40F3CAD5" w:rsidR="00DE50DE" w:rsidRPr="005A1F62" w:rsidRDefault="00B233DF" w:rsidP="00DC2FED">
      <w:pPr>
        <w:tabs>
          <w:tab w:val="left" w:pos="709"/>
        </w:tabs>
        <w:ind w:firstLine="567"/>
        <w:jc w:val="both"/>
      </w:pPr>
      <w:bookmarkStart w:id="185" w:name="_Hlk506992711"/>
      <w:r w:rsidRPr="005A1F62">
        <w:t xml:space="preserve">Агентство может корректировать величину высоколиквидных </w:t>
      </w:r>
      <w:r w:rsidR="00170119" w:rsidRPr="005A1F62">
        <w:t xml:space="preserve">и ликвидных активов (Лам и Лат), обязательств </w:t>
      </w:r>
      <w:r w:rsidR="00BD7124" w:rsidRPr="005A1F62">
        <w:t>«</w:t>
      </w:r>
      <w:r w:rsidR="00170119" w:rsidRPr="005A1F62">
        <w:t xml:space="preserve">до </w:t>
      </w:r>
      <w:r w:rsidR="00BD7124" w:rsidRPr="005A1F62">
        <w:t xml:space="preserve">востребования» </w:t>
      </w:r>
      <w:r w:rsidR="00170119" w:rsidRPr="005A1F62">
        <w:t xml:space="preserve">и со сроком исполнения в ближайший день, обязательств </w:t>
      </w:r>
      <w:r w:rsidR="00BD7124" w:rsidRPr="005A1F62">
        <w:t>«</w:t>
      </w:r>
      <w:r w:rsidR="00170119" w:rsidRPr="005A1F62">
        <w:t>до востребования</w:t>
      </w:r>
      <w:r w:rsidR="00BD7124" w:rsidRPr="005A1F62">
        <w:t>»</w:t>
      </w:r>
      <w:r w:rsidR="00170119" w:rsidRPr="005A1F62">
        <w:t xml:space="preserve"> и со сроком исполнения в ближайшие 30 дней (Овм и Овт) </w:t>
      </w:r>
      <w:r w:rsidRPr="005A1F62">
        <w:t>исходя из экономической сущности компонентов, формирующих эти активы</w:t>
      </w:r>
      <w:r w:rsidR="00170119" w:rsidRPr="005A1F62">
        <w:t xml:space="preserve"> и обязательства</w:t>
      </w:r>
      <w:r w:rsidRPr="005A1F62">
        <w:t xml:space="preserve">. </w:t>
      </w:r>
      <w:r w:rsidR="00283AF3" w:rsidRPr="005A1F62">
        <w:t>Например, е</w:t>
      </w:r>
      <w:r w:rsidRPr="005A1F62">
        <w:t>сли в состав Лам и (или) Лат включены активы, реальная срочность которых не соответствует критериям включения в Лам и (или) Лат (например, из-за систематических пролонгаций), эти активы исключаются из соответствующих показателей ликвидности.</w:t>
      </w:r>
      <w:r w:rsidR="00170119" w:rsidRPr="005A1F62">
        <w:t xml:space="preserve"> Аналогичным образом </w:t>
      </w:r>
      <w:r w:rsidR="00040A55" w:rsidRPr="005A1F62">
        <w:t>Овм и Овт могут быть увеличены на не учтенные в них обязател</w:t>
      </w:r>
      <w:r w:rsidR="00BD7124" w:rsidRPr="005A1F62">
        <w:t>ь</w:t>
      </w:r>
      <w:r w:rsidR="00040A55" w:rsidRPr="005A1F62">
        <w:t xml:space="preserve">ства с большим сроком исполнения, которые предусматривают возможность досрочного изъятия, и </w:t>
      </w:r>
      <w:r w:rsidR="00BD7124" w:rsidRPr="005A1F62">
        <w:t xml:space="preserve">вероятность </w:t>
      </w:r>
      <w:r w:rsidR="00040A55" w:rsidRPr="005A1F62">
        <w:t>такого изъятия оценена Агентством как высокая</w:t>
      </w:r>
      <w:bookmarkStart w:id="186" w:name="_Hlk43309250"/>
      <w:r w:rsidR="00040A55" w:rsidRPr="005A1F62">
        <w:t>.</w:t>
      </w:r>
      <w:r w:rsidR="00DE50DE" w:rsidRPr="005A1F62">
        <w:t xml:space="preserve"> </w:t>
      </w:r>
      <w:bookmarkStart w:id="187" w:name="_Hlk44413602"/>
      <w:r w:rsidR="00DE50DE" w:rsidRPr="005A1F62">
        <w:t>Также Агентство может корректировать величину высоколиквидных и ликвидных активов на основе возможностей банка по привлечению дополнительной ликвидности на соответствующем временном горизонте. Доступный объем дополнительной ликвидности, используемый для корректировки Лам и Лат, определяется как взвешенная сумма неиспользованных лимитов (максимально возможный объем привлечения за вычетом уже привлеченных средств) по различным инструментам соответствующей срочности</w:t>
      </w:r>
      <w:r w:rsidR="00B45175" w:rsidRPr="005A1F62">
        <w:t>, не входящих при этом в состав корректируемой величины высоколиквидных или ликвидных активов</w:t>
      </w:r>
      <w:r w:rsidR="00DE50DE" w:rsidRPr="005A1F62">
        <w:t xml:space="preserve">. </w:t>
      </w:r>
      <w:bookmarkEnd w:id="187"/>
      <w:r w:rsidR="00DE50DE" w:rsidRPr="005A1F62">
        <w:t>Взвешивание производится с использованием коэффициентов из таблицы, приведенной ниже (часть коэффициентов определяется аналитиком с учетом предоставленных документов, информации о контрагентах и прочих факторов).</w:t>
      </w:r>
    </w:p>
    <w:bookmarkEnd w:id="186"/>
    <w:p w14:paraId="6A07466C" w14:textId="495C3B7E" w:rsidR="00920579" w:rsidRPr="005A1F62" w:rsidRDefault="00920579" w:rsidP="00920579">
      <w:pPr>
        <w:tabs>
          <w:tab w:val="left" w:pos="709"/>
        </w:tabs>
        <w:ind w:firstLine="567"/>
        <w:jc w:val="both"/>
      </w:pPr>
    </w:p>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937"/>
      </w:tblGrid>
      <w:tr w:rsidR="00920579" w:rsidRPr="005A1F62" w14:paraId="4F0075C6" w14:textId="77777777" w:rsidTr="00612403">
        <w:trPr>
          <w:trHeight w:val="20"/>
        </w:trPr>
        <w:tc>
          <w:tcPr>
            <w:tcW w:w="4433" w:type="dxa"/>
            <w:shd w:val="clear" w:color="auto" w:fill="D9D9D9" w:themeFill="background1" w:themeFillShade="D9"/>
            <w:vAlign w:val="center"/>
          </w:tcPr>
          <w:p w14:paraId="34259280" w14:textId="77777777" w:rsidR="00920579" w:rsidRPr="005A1F62" w:rsidRDefault="00920579" w:rsidP="00612403">
            <w:pPr>
              <w:tabs>
                <w:tab w:val="left" w:pos="709"/>
              </w:tabs>
              <w:jc w:val="both"/>
            </w:pPr>
            <w:bookmarkStart w:id="188" w:name="_Hlk43309320"/>
            <w:r w:rsidRPr="005A1F62">
              <w:t>Источник допликвидности</w:t>
            </w:r>
          </w:p>
        </w:tc>
        <w:tc>
          <w:tcPr>
            <w:tcW w:w="4937" w:type="dxa"/>
            <w:shd w:val="clear" w:color="auto" w:fill="D9D9D9" w:themeFill="background1" w:themeFillShade="D9"/>
          </w:tcPr>
          <w:p w14:paraId="2071F63E" w14:textId="77777777" w:rsidR="00920579" w:rsidRPr="005A1F62" w:rsidRDefault="00920579" w:rsidP="00612403">
            <w:pPr>
              <w:tabs>
                <w:tab w:val="left" w:pos="709"/>
              </w:tabs>
              <w:jc w:val="both"/>
            </w:pPr>
            <w:r w:rsidRPr="005A1F62">
              <w:t>Коэффициент (вероятность фактического привлечения в объеме неиспользованного лимита)</w:t>
            </w:r>
          </w:p>
        </w:tc>
      </w:tr>
      <w:tr w:rsidR="00920579" w:rsidRPr="005A1F62" w14:paraId="6B9ACD59" w14:textId="77777777" w:rsidTr="00612403">
        <w:trPr>
          <w:trHeight w:val="20"/>
        </w:trPr>
        <w:tc>
          <w:tcPr>
            <w:tcW w:w="4433" w:type="dxa"/>
            <w:shd w:val="clear" w:color="auto" w:fill="auto"/>
            <w:vAlign w:val="center"/>
          </w:tcPr>
          <w:p w14:paraId="5FB3112F" w14:textId="77777777" w:rsidR="00920579" w:rsidRPr="005A1F62" w:rsidRDefault="00920579" w:rsidP="00612403">
            <w:pPr>
              <w:tabs>
                <w:tab w:val="left" w:pos="709"/>
              </w:tabs>
              <w:jc w:val="both"/>
            </w:pPr>
            <w:r w:rsidRPr="005A1F62">
              <w:t xml:space="preserve">Беззалоговые кредиты Банка России </w:t>
            </w:r>
          </w:p>
        </w:tc>
        <w:tc>
          <w:tcPr>
            <w:tcW w:w="4937" w:type="dxa"/>
            <w:shd w:val="clear" w:color="auto" w:fill="auto"/>
          </w:tcPr>
          <w:p w14:paraId="73A71342" w14:textId="77777777" w:rsidR="00920579" w:rsidRPr="005A1F62" w:rsidRDefault="00920579" w:rsidP="00612403">
            <w:pPr>
              <w:tabs>
                <w:tab w:val="left" w:pos="709"/>
              </w:tabs>
              <w:jc w:val="both"/>
            </w:pPr>
            <w:r w:rsidRPr="005A1F62">
              <w:t>0,9</w:t>
            </w:r>
          </w:p>
        </w:tc>
      </w:tr>
      <w:tr w:rsidR="00920579" w:rsidRPr="005A1F62" w14:paraId="5D81193F" w14:textId="77777777" w:rsidTr="00612403">
        <w:trPr>
          <w:trHeight w:val="20"/>
        </w:trPr>
        <w:tc>
          <w:tcPr>
            <w:tcW w:w="4433" w:type="dxa"/>
            <w:shd w:val="clear" w:color="auto" w:fill="auto"/>
            <w:vAlign w:val="center"/>
          </w:tcPr>
          <w:p w14:paraId="2CC4D1A2" w14:textId="77777777" w:rsidR="00920579" w:rsidRPr="005A1F62" w:rsidRDefault="00920579" w:rsidP="00612403">
            <w:pPr>
              <w:tabs>
                <w:tab w:val="left" w:pos="709"/>
              </w:tabs>
              <w:jc w:val="both"/>
            </w:pPr>
            <w:r w:rsidRPr="005A1F62">
              <w:lastRenderedPageBreak/>
              <w:t>Беззалоговые кредиты других банков (исключая кредиты от банков под общим контролем)</w:t>
            </w:r>
          </w:p>
        </w:tc>
        <w:tc>
          <w:tcPr>
            <w:tcW w:w="4937" w:type="dxa"/>
            <w:shd w:val="clear" w:color="auto" w:fill="auto"/>
          </w:tcPr>
          <w:p w14:paraId="15AB08E6" w14:textId="77777777" w:rsidR="00920579" w:rsidRPr="005A1F62" w:rsidRDefault="00920579" w:rsidP="00612403">
            <w:pPr>
              <w:tabs>
                <w:tab w:val="left" w:pos="709"/>
              </w:tabs>
              <w:jc w:val="both"/>
            </w:pPr>
            <w:r w:rsidRPr="005A1F62">
              <w:t>0-0,5 в зависимости от оценки готовности и способности контрагентов предоставить такие кредиты</w:t>
            </w:r>
          </w:p>
        </w:tc>
      </w:tr>
      <w:tr w:rsidR="00920579" w:rsidRPr="005A1F62" w14:paraId="21E6DB97" w14:textId="77777777" w:rsidTr="00612403">
        <w:trPr>
          <w:trHeight w:val="20"/>
        </w:trPr>
        <w:tc>
          <w:tcPr>
            <w:tcW w:w="4433" w:type="dxa"/>
            <w:shd w:val="clear" w:color="auto" w:fill="auto"/>
            <w:vAlign w:val="center"/>
          </w:tcPr>
          <w:p w14:paraId="3CB280D8" w14:textId="77777777" w:rsidR="00920579" w:rsidRPr="005A1F62" w:rsidRDefault="00920579" w:rsidP="00612403">
            <w:pPr>
              <w:tabs>
                <w:tab w:val="left" w:pos="709"/>
              </w:tabs>
              <w:jc w:val="both"/>
            </w:pPr>
            <w:r w:rsidRPr="005A1F62">
              <w:t>Иные беззалоговые кредиты (исключая кредиты от связанных сторон)</w:t>
            </w:r>
          </w:p>
        </w:tc>
        <w:tc>
          <w:tcPr>
            <w:tcW w:w="4937" w:type="dxa"/>
            <w:shd w:val="clear" w:color="auto" w:fill="auto"/>
          </w:tcPr>
          <w:p w14:paraId="2705BB15" w14:textId="77777777" w:rsidR="00920579" w:rsidRPr="005A1F62" w:rsidRDefault="00920579" w:rsidP="00612403">
            <w:pPr>
              <w:tabs>
                <w:tab w:val="left" w:pos="709"/>
              </w:tabs>
              <w:jc w:val="both"/>
            </w:pPr>
            <w:r w:rsidRPr="005A1F62">
              <w:t>0-0,3 в зависимости от оценки готовности и способности контрагентов предоставить такие кредиты</w:t>
            </w:r>
          </w:p>
        </w:tc>
      </w:tr>
      <w:tr w:rsidR="00920579" w:rsidRPr="005A1F62" w14:paraId="7C7B45AD" w14:textId="77777777" w:rsidTr="00612403">
        <w:trPr>
          <w:trHeight w:val="20"/>
        </w:trPr>
        <w:tc>
          <w:tcPr>
            <w:tcW w:w="4433" w:type="dxa"/>
            <w:shd w:val="clear" w:color="auto" w:fill="auto"/>
            <w:vAlign w:val="center"/>
          </w:tcPr>
          <w:p w14:paraId="3082E3DB" w14:textId="77777777" w:rsidR="00920579" w:rsidRPr="005A1F62" w:rsidRDefault="00920579" w:rsidP="00612403">
            <w:pPr>
              <w:tabs>
                <w:tab w:val="left" w:pos="709"/>
              </w:tabs>
              <w:jc w:val="both"/>
            </w:pPr>
            <w:r w:rsidRPr="005A1F62">
              <w:t>Кредиты Банка России под залог нерыночных активов</w:t>
            </w:r>
          </w:p>
        </w:tc>
        <w:tc>
          <w:tcPr>
            <w:tcW w:w="4937" w:type="dxa"/>
            <w:shd w:val="clear" w:color="auto" w:fill="auto"/>
          </w:tcPr>
          <w:p w14:paraId="286C24A6" w14:textId="77777777" w:rsidR="00920579" w:rsidRPr="005A1F62" w:rsidRDefault="00920579" w:rsidP="00612403">
            <w:pPr>
              <w:tabs>
                <w:tab w:val="left" w:pos="709"/>
              </w:tabs>
              <w:jc w:val="both"/>
            </w:pPr>
            <w:r w:rsidRPr="005A1F62">
              <w:t>Не более 0,8, если банк имеет опыт привлечения таких кредитов;</w:t>
            </w:r>
          </w:p>
          <w:p w14:paraId="57C6B0D8" w14:textId="77777777" w:rsidR="00920579" w:rsidRPr="005A1F62" w:rsidRDefault="00920579" w:rsidP="00612403">
            <w:pPr>
              <w:tabs>
                <w:tab w:val="left" w:pos="709"/>
              </w:tabs>
              <w:jc w:val="both"/>
            </w:pPr>
            <w:r w:rsidRPr="005A1F62">
              <w:t>не более 0,5, если банк не имеет опыта привлечения таких кредитов</w:t>
            </w:r>
          </w:p>
        </w:tc>
      </w:tr>
      <w:tr w:rsidR="00920579" w:rsidRPr="005A1F62" w14:paraId="76104C5E" w14:textId="77777777" w:rsidTr="00612403">
        <w:trPr>
          <w:trHeight w:val="20"/>
        </w:trPr>
        <w:tc>
          <w:tcPr>
            <w:tcW w:w="4433" w:type="dxa"/>
            <w:shd w:val="clear" w:color="auto" w:fill="auto"/>
            <w:vAlign w:val="center"/>
          </w:tcPr>
          <w:p w14:paraId="202CFDAD" w14:textId="77777777" w:rsidR="00920579" w:rsidRPr="005A1F62" w:rsidRDefault="00920579" w:rsidP="00612403">
            <w:pPr>
              <w:tabs>
                <w:tab w:val="left" w:pos="709"/>
              </w:tabs>
              <w:jc w:val="both"/>
            </w:pPr>
            <w:r w:rsidRPr="005A1F62">
              <w:t>Иные кредиты под залог нерыночных активов, включая кредиты под залог векселей (исключая кредиты от связанных сторон)</w:t>
            </w:r>
          </w:p>
        </w:tc>
        <w:tc>
          <w:tcPr>
            <w:tcW w:w="4937" w:type="dxa"/>
            <w:shd w:val="clear" w:color="auto" w:fill="auto"/>
          </w:tcPr>
          <w:p w14:paraId="790CAB30" w14:textId="77777777" w:rsidR="00920579" w:rsidRPr="005A1F62" w:rsidRDefault="00920579" w:rsidP="00612403">
            <w:pPr>
              <w:tabs>
                <w:tab w:val="left" w:pos="709"/>
              </w:tabs>
              <w:jc w:val="both"/>
            </w:pPr>
            <w:r w:rsidRPr="005A1F62">
              <w:t>0-0,75 в зависимости от оценки готовности и способности контрагентов предоставить такие кредиты</w:t>
            </w:r>
          </w:p>
        </w:tc>
      </w:tr>
      <w:tr w:rsidR="00920579" w:rsidRPr="005A1F62" w14:paraId="2B3CC6E6" w14:textId="77777777" w:rsidTr="00612403">
        <w:trPr>
          <w:trHeight w:val="20"/>
        </w:trPr>
        <w:tc>
          <w:tcPr>
            <w:tcW w:w="4433" w:type="dxa"/>
            <w:shd w:val="clear" w:color="auto" w:fill="auto"/>
            <w:vAlign w:val="center"/>
          </w:tcPr>
          <w:p w14:paraId="6A4E9CC5" w14:textId="77777777" w:rsidR="00920579" w:rsidRPr="005A1F62" w:rsidRDefault="00920579" w:rsidP="00612403">
            <w:pPr>
              <w:tabs>
                <w:tab w:val="left" w:pos="709"/>
              </w:tabs>
              <w:jc w:val="both"/>
            </w:pPr>
            <w:r w:rsidRPr="005A1F62">
              <w:t>Кредиты под залог ценных бумаг, включая векселя, и привлечение в рамках сделок репо с ценными бумагами (исключая кредиты от связанных сторон)</w:t>
            </w:r>
          </w:p>
        </w:tc>
        <w:tc>
          <w:tcPr>
            <w:tcW w:w="4937" w:type="dxa"/>
            <w:shd w:val="clear" w:color="auto" w:fill="auto"/>
          </w:tcPr>
          <w:p w14:paraId="64E11DB0" w14:textId="62E22635" w:rsidR="00920579" w:rsidRPr="005A1F62" w:rsidRDefault="00920579" w:rsidP="00612403">
            <w:pPr>
              <w:tabs>
                <w:tab w:val="left" w:pos="709"/>
              </w:tabs>
              <w:jc w:val="both"/>
            </w:pPr>
            <w:r w:rsidRPr="005A1F62">
              <w:t xml:space="preserve">0-0,9 в зависимости от подверженности ценных бумаг </w:t>
            </w:r>
            <w:r w:rsidR="00BD49A4" w:rsidRPr="005A1F62">
              <w:t xml:space="preserve">кредитным и </w:t>
            </w:r>
            <w:r w:rsidRPr="005A1F62">
              <w:t>фондовым рискам</w:t>
            </w:r>
          </w:p>
        </w:tc>
      </w:tr>
      <w:tr w:rsidR="00920579" w:rsidRPr="005A1F62" w14:paraId="39F2BCA4" w14:textId="77777777" w:rsidTr="00612403">
        <w:trPr>
          <w:trHeight w:val="20"/>
        </w:trPr>
        <w:tc>
          <w:tcPr>
            <w:tcW w:w="4433" w:type="dxa"/>
            <w:shd w:val="clear" w:color="auto" w:fill="auto"/>
            <w:vAlign w:val="center"/>
          </w:tcPr>
          <w:p w14:paraId="55A736DA" w14:textId="77777777" w:rsidR="00920579" w:rsidRPr="005A1F62" w:rsidRDefault="00920579" w:rsidP="00612403">
            <w:pPr>
              <w:tabs>
                <w:tab w:val="left" w:pos="709"/>
              </w:tabs>
              <w:jc w:val="both"/>
            </w:pPr>
            <w:r w:rsidRPr="005A1F62">
              <w:t>Иные источники (в том числе безвозмездная помощь собственников банка, которая будет с очень высокой вероятностью оказана в ближайший месяц, и кредиты связанных сторон и под их поручительство)</w:t>
            </w:r>
          </w:p>
        </w:tc>
        <w:tc>
          <w:tcPr>
            <w:tcW w:w="4937" w:type="dxa"/>
            <w:shd w:val="clear" w:color="auto" w:fill="auto"/>
          </w:tcPr>
          <w:p w14:paraId="0AF0261C" w14:textId="77777777" w:rsidR="00920579" w:rsidRPr="005A1F62" w:rsidRDefault="00920579" w:rsidP="00612403">
            <w:pPr>
              <w:tabs>
                <w:tab w:val="left" w:pos="709"/>
              </w:tabs>
              <w:jc w:val="both"/>
            </w:pPr>
            <w:r w:rsidRPr="005A1F62">
              <w:t>0-0,75 в зависимости от оценки готовности и способности контрагентов предоставить такие кредиты</w:t>
            </w:r>
          </w:p>
        </w:tc>
      </w:tr>
    </w:tbl>
    <w:p w14:paraId="303BA975" w14:textId="77777777" w:rsidR="00920579" w:rsidRPr="005A1F62" w:rsidRDefault="00920579" w:rsidP="00920579">
      <w:pPr>
        <w:tabs>
          <w:tab w:val="left" w:pos="709"/>
        </w:tabs>
        <w:jc w:val="both"/>
      </w:pPr>
    </w:p>
    <w:p w14:paraId="7BE0CB16" w14:textId="77777777" w:rsidR="00920579" w:rsidRPr="005A1F62" w:rsidRDefault="00920579" w:rsidP="00920579">
      <w:pPr>
        <w:tabs>
          <w:tab w:val="left" w:pos="709"/>
        </w:tabs>
        <w:ind w:firstLine="567"/>
        <w:jc w:val="both"/>
      </w:pPr>
      <w:r w:rsidRPr="005A1F62">
        <w:t>Для определения уровней дисконтов дополнительно анализируются дебетовые остатки по счетам 91416 («Неиспользованные кредитные линии по получению кредитов») и 91417 («Неиспользованные лимиты по получению межбанковских средств в виде «овердрафт» и под «лимит задолженности»). В случае если заявленные банком лимиты по строке «беззалоговые кредиты других банков (исключая кредиты от банков под общим контролем)» значительно (более чем в 1,5 раза) меньше остатков по счету 91417, аналитик должен запросить расшифровку остатков по счету 91417 и исходя из нее может учитывать остатки по счету 91417 в качестве свободных бланковых лимитов.</w:t>
      </w:r>
    </w:p>
    <w:p w14:paraId="79DC062C" w14:textId="77777777" w:rsidR="00920579" w:rsidRPr="005A1F62" w:rsidRDefault="00920579" w:rsidP="00920579">
      <w:pPr>
        <w:tabs>
          <w:tab w:val="left" w:pos="709"/>
        </w:tabs>
        <w:ind w:firstLine="567"/>
        <w:jc w:val="both"/>
      </w:pPr>
      <w:r w:rsidRPr="005A1F62">
        <w:t>Остатки по счету 91416 также могут быть использованы для уточнения в случае необходимости предоставленных банком цифр по дополнительным источникам ликвидности.</w:t>
      </w:r>
    </w:p>
    <w:p w14:paraId="422D9704" w14:textId="66FA0DB6" w:rsidR="00920579" w:rsidRPr="005A1F62" w:rsidRDefault="00920579" w:rsidP="00DC2FED">
      <w:pPr>
        <w:tabs>
          <w:tab w:val="left" w:pos="709"/>
        </w:tabs>
        <w:ind w:firstLine="567"/>
        <w:jc w:val="both"/>
      </w:pPr>
      <w:r w:rsidRPr="005A1F62">
        <w:t>В иных источниках дополнительной ликвидности учитывается, в частности, заявленная поддержка со стороны собственников, вероятность предоставления которой оценивается как высокая.</w:t>
      </w:r>
    </w:p>
    <w:bookmarkEnd w:id="188"/>
    <w:p w14:paraId="61DE20F4" w14:textId="77777777" w:rsidR="002836D2" w:rsidRPr="005A1F62" w:rsidRDefault="002836D2" w:rsidP="00DC2FED">
      <w:pPr>
        <w:tabs>
          <w:tab w:val="left" w:pos="709"/>
        </w:tabs>
        <w:ind w:firstLine="567"/>
        <w:jc w:val="both"/>
      </w:pPr>
    </w:p>
    <w:bookmarkEnd w:id="185"/>
    <w:p w14:paraId="351F094B" w14:textId="113B1975" w:rsidR="009B681E" w:rsidRPr="005A1F62" w:rsidRDefault="009B681E" w:rsidP="00DC2FED">
      <w:pPr>
        <w:tabs>
          <w:tab w:val="left" w:pos="709"/>
        </w:tabs>
        <w:ind w:firstLine="567"/>
        <w:jc w:val="both"/>
        <w:rPr>
          <w:b/>
        </w:rPr>
      </w:pPr>
      <w:r w:rsidRPr="005A1F62">
        <w:rPr>
          <w:b/>
        </w:rPr>
        <w:t xml:space="preserve">Сбалансированность активов и пассивов </w:t>
      </w:r>
      <w:r w:rsidR="000B5641" w:rsidRPr="005A1F62">
        <w:rPr>
          <w:b/>
        </w:rPr>
        <w:t xml:space="preserve">по срокам </w:t>
      </w:r>
      <w:r w:rsidRPr="005A1F62">
        <w:rPr>
          <w:b/>
        </w:rPr>
        <w:t>на долгосрочном горизонте</w:t>
      </w:r>
    </w:p>
    <w:p w14:paraId="02B45D83" w14:textId="1E425FEA" w:rsidR="007867BB" w:rsidRPr="005A1F62" w:rsidRDefault="00986307" w:rsidP="00DC2FED">
      <w:pPr>
        <w:tabs>
          <w:tab w:val="left" w:pos="709"/>
        </w:tabs>
        <w:ind w:firstLine="567"/>
        <w:jc w:val="both"/>
      </w:pPr>
      <w:r w:rsidRPr="005A1F62">
        <w:t>Для б</w:t>
      </w:r>
      <w:r w:rsidR="007D14E3" w:rsidRPr="005A1F62">
        <w:t>анков с универсальной лицензией</w:t>
      </w:r>
      <w:r w:rsidRPr="005A1F62">
        <w:t xml:space="preserve"> о</w:t>
      </w:r>
      <w:r w:rsidR="007867BB" w:rsidRPr="005A1F62">
        <w:t xml:space="preserve">ценка за сбалансированность активов и пассивов на долгосрочном горизонте, имеющая вес 4% в группе показателей ликвидности, определяется как минимум из оценок за значение норматива Н4 и за значение норматива Н4, </w:t>
      </w:r>
      <w:r w:rsidR="00DD2A16" w:rsidRPr="005A1F62">
        <w:t xml:space="preserve">скорректированного </w:t>
      </w:r>
      <w:r w:rsidR="007867BB" w:rsidRPr="005A1F62">
        <w:t>на вложения в имущество и низколиквидные активы</w:t>
      </w:r>
      <w:r w:rsidR="002B333C" w:rsidRPr="005A1F62">
        <w:t>. Д</w:t>
      </w:r>
      <w:r w:rsidR="00280E2D" w:rsidRPr="005A1F62">
        <w:t xml:space="preserve">ля системно значимых банков учитывается </w:t>
      </w:r>
      <w:r w:rsidR="00BD7124" w:rsidRPr="005A1F62">
        <w:t xml:space="preserve">также </w:t>
      </w:r>
      <w:r w:rsidR="00123515" w:rsidRPr="005A1F62">
        <w:t>значение норматива чистого стабильного фондирования (НЧСФ</w:t>
      </w:r>
      <w:r w:rsidR="00280E2D" w:rsidRPr="005A1F62">
        <w:t>)</w:t>
      </w:r>
      <w:r w:rsidR="007867BB" w:rsidRPr="005A1F62">
        <w:t xml:space="preserve">. </w:t>
      </w:r>
    </w:p>
    <w:p w14:paraId="5C742735" w14:textId="6796FB89" w:rsidR="009B681E" w:rsidRPr="005A1F62" w:rsidRDefault="009E6D29" w:rsidP="00DC2FED">
      <w:pPr>
        <w:tabs>
          <w:tab w:val="left" w:pos="709"/>
        </w:tabs>
        <w:ind w:firstLine="567"/>
        <w:jc w:val="both"/>
      </w:pPr>
      <w:r w:rsidRPr="005A1F62">
        <w:t>Аналитик</w:t>
      </w:r>
      <w:r w:rsidR="009B681E" w:rsidRPr="005A1F62">
        <w:t xml:space="preserve"> также имеет право</w:t>
      </w:r>
      <w:r w:rsidR="00CD78CF" w:rsidRPr="005A1F62">
        <w:t xml:space="preserve"> </w:t>
      </w:r>
      <w:r w:rsidR="009B681E" w:rsidRPr="005A1F62">
        <w:t xml:space="preserve">скорректировать оценку за сбалансированность на длинном горизонте (вниз не более чем на </w:t>
      </w:r>
      <w:r w:rsidR="00E21E86" w:rsidRPr="005A1F62">
        <w:t>1</w:t>
      </w:r>
      <w:r w:rsidR="00EF653F" w:rsidRPr="005A1F62">
        <w:t>,5</w:t>
      </w:r>
      <w:r w:rsidR="009B681E" w:rsidRPr="005A1F62">
        <w:t>), если:</w:t>
      </w:r>
    </w:p>
    <w:p w14:paraId="6F10F412" w14:textId="77777777" w:rsidR="009B681E" w:rsidRPr="005A1F62" w:rsidRDefault="009B681E" w:rsidP="00B73C6D">
      <w:pPr>
        <w:numPr>
          <w:ilvl w:val="0"/>
          <w:numId w:val="14"/>
        </w:numPr>
        <w:tabs>
          <w:tab w:val="clear" w:pos="720"/>
          <w:tab w:val="left" w:pos="709"/>
        </w:tabs>
        <w:ind w:left="0" w:firstLine="1134"/>
        <w:jc w:val="both"/>
      </w:pPr>
      <w:r w:rsidRPr="005A1F62">
        <w:t>формально длинные депозиты имеют высокую оборачиваемость;</w:t>
      </w:r>
    </w:p>
    <w:p w14:paraId="787042E2" w14:textId="12634E11" w:rsidR="009B681E" w:rsidRPr="005A1F62" w:rsidRDefault="009B681E" w:rsidP="00B73C6D">
      <w:pPr>
        <w:numPr>
          <w:ilvl w:val="0"/>
          <w:numId w:val="14"/>
        </w:numPr>
        <w:tabs>
          <w:tab w:val="clear" w:pos="720"/>
          <w:tab w:val="left" w:pos="709"/>
        </w:tabs>
        <w:ind w:left="0" w:firstLine="1134"/>
        <w:jc w:val="both"/>
      </w:pPr>
      <w:r w:rsidRPr="005A1F62">
        <w:lastRenderedPageBreak/>
        <w:t>активно используется практика пролонгаций</w:t>
      </w:r>
      <w:r w:rsidR="00F77A85" w:rsidRPr="005A1F62">
        <w:t xml:space="preserve"> и (или) рефинансирования задолженности</w:t>
      </w:r>
      <w:r w:rsidRPr="005A1F62">
        <w:t xml:space="preserve">, при которых в отчетности отражаются кредиты до </w:t>
      </w:r>
      <w:r w:rsidR="002E5040" w:rsidRPr="005A1F62">
        <w:t xml:space="preserve">одного </w:t>
      </w:r>
      <w:r w:rsidRPr="005A1F62">
        <w:t xml:space="preserve">года, а фактически заемщик пользуется деньгами более </w:t>
      </w:r>
      <w:r w:rsidR="002E5040" w:rsidRPr="005A1F62">
        <w:t xml:space="preserve">одного </w:t>
      </w:r>
      <w:r w:rsidRPr="005A1F62">
        <w:t>года.</w:t>
      </w:r>
    </w:p>
    <w:p w14:paraId="1CF710D9" w14:textId="77777777" w:rsidR="009B681E" w:rsidRPr="005A1F62" w:rsidRDefault="009E6D29" w:rsidP="00DC2FED">
      <w:pPr>
        <w:tabs>
          <w:tab w:val="left" w:pos="709"/>
        </w:tabs>
        <w:ind w:firstLine="567"/>
        <w:jc w:val="both"/>
      </w:pPr>
      <w:r w:rsidRPr="005A1F62">
        <w:t>Аналитик</w:t>
      </w:r>
      <w:r w:rsidR="009B681E" w:rsidRPr="005A1F62">
        <w:t xml:space="preserve"> имеет право</w:t>
      </w:r>
      <w:r w:rsidR="00CD78CF" w:rsidRPr="005A1F62">
        <w:t xml:space="preserve"> </w:t>
      </w:r>
      <w:r w:rsidR="009B681E" w:rsidRPr="005A1F62">
        <w:t xml:space="preserve">скорректировать оценку за сбалансированность активов и пассивов на долгосрочном горизонте (вверх не более чем на </w:t>
      </w:r>
      <w:r w:rsidR="00EF653F" w:rsidRPr="005A1F62">
        <w:t>0,5</w:t>
      </w:r>
      <w:r w:rsidR="009B681E" w:rsidRPr="005A1F62">
        <w:t>), если:</w:t>
      </w:r>
    </w:p>
    <w:p w14:paraId="4D4E0B3B" w14:textId="77777777" w:rsidR="009B681E" w:rsidRPr="005A1F62" w:rsidRDefault="009B681E" w:rsidP="00B73C6D">
      <w:pPr>
        <w:numPr>
          <w:ilvl w:val="0"/>
          <w:numId w:val="14"/>
        </w:numPr>
        <w:tabs>
          <w:tab w:val="clear" w:pos="720"/>
          <w:tab w:val="left" w:pos="709"/>
        </w:tabs>
        <w:ind w:left="0" w:firstLine="1134"/>
        <w:jc w:val="both"/>
      </w:pPr>
      <w:r w:rsidRPr="005A1F62">
        <w:t>формально длинные кредиты имеют высокую оборачиваемость;</w:t>
      </w:r>
    </w:p>
    <w:p w14:paraId="4611AB54" w14:textId="77777777" w:rsidR="009B681E" w:rsidRPr="005A1F62" w:rsidRDefault="009B681E" w:rsidP="00B73C6D">
      <w:pPr>
        <w:numPr>
          <w:ilvl w:val="0"/>
          <w:numId w:val="14"/>
        </w:numPr>
        <w:tabs>
          <w:tab w:val="clear" w:pos="720"/>
          <w:tab w:val="left" w:pos="709"/>
        </w:tabs>
        <w:ind w:left="0" w:firstLine="1134"/>
        <w:jc w:val="both"/>
      </w:pPr>
      <w:r w:rsidRPr="005A1F62">
        <w:t>активно используется практика амортизации тела кредита (сравнительно равномерное погашение тела долга в период действия кредитного договора), а доля кредитов с «баллонами» (погашением всего тела долга в конце срока) незначительна.</w:t>
      </w:r>
    </w:p>
    <w:p w14:paraId="3E41AF96" w14:textId="1CB613FA" w:rsidR="009B681E" w:rsidRPr="005A1F62" w:rsidRDefault="00D81AF4" w:rsidP="00DC2FED">
      <w:pPr>
        <w:pStyle w:val="RAEXdefault"/>
        <w:tabs>
          <w:tab w:val="left" w:pos="709"/>
        </w:tabs>
        <w:ind w:firstLine="567"/>
        <w:rPr>
          <w:rFonts w:cs="Times New Roman"/>
          <w:lang w:val="ru-RU"/>
        </w:rPr>
      </w:pPr>
      <w:r w:rsidRPr="005A1F62">
        <w:rPr>
          <w:rFonts w:cs="Times New Roman"/>
          <w:lang w:val="ru-RU"/>
        </w:rPr>
        <w:t>Б</w:t>
      </w:r>
      <w:r w:rsidR="009B681E" w:rsidRPr="005A1F62">
        <w:rPr>
          <w:rFonts w:cs="Times New Roman"/>
          <w:lang w:val="ru-RU"/>
        </w:rPr>
        <w:t xml:space="preserve">алл за сбалансированность активов и пассивов на долгосрочном горизонте корректируется вниз за слишком длинные сроки кредитования, которые не </w:t>
      </w:r>
      <w:r w:rsidRPr="005A1F62">
        <w:rPr>
          <w:rFonts w:cs="Times New Roman"/>
          <w:lang w:val="ru-RU"/>
        </w:rPr>
        <w:t>учитывает</w:t>
      </w:r>
      <w:r w:rsidR="009B681E" w:rsidRPr="005A1F62">
        <w:rPr>
          <w:rFonts w:cs="Times New Roman"/>
          <w:lang w:val="ru-RU"/>
        </w:rPr>
        <w:t xml:space="preserve"> формальный норматив Н4.</w:t>
      </w:r>
    </w:p>
    <w:p w14:paraId="78F9DB7D" w14:textId="0FCFE21E" w:rsidR="009B681E" w:rsidRPr="005A1F62" w:rsidRDefault="009B681E" w:rsidP="00DC2FED">
      <w:pPr>
        <w:pStyle w:val="RAEXdefault"/>
        <w:tabs>
          <w:tab w:val="left" w:pos="709"/>
        </w:tabs>
        <w:ind w:firstLine="567"/>
        <w:rPr>
          <w:rFonts w:cs="Times New Roman"/>
          <w:lang w:val="ru-RU"/>
        </w:rPr>
      </w:pPr>
      <w:r w:rsidRPr="005A1F62">
        <w:rPr>
          <w:rFonts w:cs="Times New Roman"/>
          <w:lang w:val="ru-RU"/>
        </w:rPr>
        <w:t>Если одновременно выполняются следующие условия, то итогов</w:t>
      </w:r>
      <w:r w:rsidR="00FF73C9" w:rsidRPr="005A1F62">
        <w:rPr>
          <w:rFonts w:cs="Times New Roman"/>
          <w:lang w:val="ru-RU"/>
        </w:rPr>
        <w:t>ый</w:t>
      </w:r>
      <w:r w:rsidRPr="005A1F62">
        <w:rPr>
          <w:rFonts w:cs="Times New Roman"/>
          <w:lang w:val="ru-RU"/>
        </w:rPr>
        <w:t xml:space="preserve"> балл за сбалансированность на долгосрочном горизонте </w:t>
      </w:r>
      <w:r w:rsidR="00FF73C9" w:rsidRPr="005A1F62">
        <w:rPr>
          <w:rFonts w:cs="Times New Roman"/>
          <w:lang w:val="ru-RU"/>
        </w:rPr>
        <w:t xml:space="preserve">может быть понижен на </w:t>
      </w:r>
      <w:r w:rsidRPr="005A1F62">
        <w:rPr>
          <w:rFonts w:cs="Times New Roman"/>
          <w:lang w:val="ru-RU"/>
        </w:rPr>
        <w:t xml:space="preserve">0,25: </w:t>
      </w:r>
    </w:p>
    <w:p w14:paraId="24664DFC" w14:textId="77777777" w:rsidR="009B681E" w:rsidRPr="005A1F62" w:rsidRDefault="009B681E" w:rsidP="00B73C6D">
      <w:pPr>
        <w:pStyle w:val="RAEXdefault"/>
        <w:numPr>
          <w:ilvl w:val="0"/>
          <w:numId w:val="66"/>
        </w:numPr>
        <w:rPr>
          <w:rFonts w:cs="Times New Roman"/>
          <w:lang w:val="ru-RU"/>
        </w:rPr>
      </w:pPr>
      <w:r w:rsidRPr="005A1F62">
        <w:rPr>
          <w:rFonts w:cs="Times New Roman"/>
          <w:lang w:val="ru-RU"/>
        </w:rPr>
        <w:t>доля 30 крупнейших кредитов в активах более 30</w:t>
      </w:r>
      <w:r w:rsidR="002E5040" w:rsidRPr="005A1F62">
        <w:rPr>
          <w:rFonts w:cs="Times New Roman"/>
          <w:lang w:val="ru-RU"/>
        </w:rPr>
        <w:t xml:space="preserve">%; </w:t>
      </w:r>
    </w:p>
    <w:p w14:paraId="03CA94E4" w14:textId="05FD1064" w:rsidR="009B681E" w:rsidRPr="005A1F62" w:rsidRDefault="009B681E" w:rsidP="00B73C6D">
      <w:pPr>
        <w:pStyle w:val="RAEXdefault"/>
        <w:numPr>
          <w:ilvl w:val="0"/>
          <w:numId w:val="66"/>
        </w:numPr>
        <w:rPr>
          <w:rFonts w:cs="Times New Roman"/>
          <w:lang w:val="ru-RU"/>
        </w:rPr>
      </w:pPr>
      <w:r w:rsidRPr="005A1F62">
        <w:rPr>
          <w:rFonts w:cs="Times New Roman"/>
          <w:lang w:val="ru-RU"/>
        </w:rPr>
        <w:t xml:space="preserve">средняя взвешенная (по сумме кредита) срочность 30 крупнейших ссуд с учетом изменения срока погашения (пролонгации) составляет от </w:t>
      </w:r>
      <w:r w:rsidR="002E5040" w:rsidRPr="005A1F62">
        <w:rPr>
          <w:rFonts w:cs="Times New Roman"/>
          <w:lang w:val="ru-RU"/>
        </w:rPr>
        <w:t>тре</w:t>
      </w:r>
      <w:r w:rsidRPr="005A1F62">
        <w:rPr>
          <w:rFonts w:cs="Times New Roman"/>
          <w:lang w:val="ru-RU"/>
        </w:rPr>
        <w:t xml:space="preserve">х до </w:t>
      </w:r>
      <w:r w:rsidR="002E5040" w:rsidRPr="005A1F62">
        <w:rPr>
          <w:rFonts w:cs="Times New Roman"/>
          <w:lang w:val="ru-RU"/>
        </w:rPr>
        <w:t>пя</w:t>
      </w:r>
      <w:r w:rsidRPr="005A1F62">
        <w:rPr>
          <w:rFonts w:cs="Times New Roman"/>
          <w:lang w:val="ru-RU"/>
        </w:rPr>
        <w:t>ти лет.</w:t>
      </w:r>
    </w:p>
    <w:p w14:paraId="0DBEA83A" w14:textId="0767A010" w:rsidR="009B681E" w:rsidRPr="005A1F62" w:rsidRDefault="009B681E" w:rsidP="00DC2FED">
      <w:pPr>
        <w:pStyle w:val="RAEXdefault"/>
        <w:tabs>
          <w:tab w:val="left" w:pos="709"/>
        </w:tabs>
        <w:ind w:firstLine="567"/>
        <w:rPr>
          <w:rFonts w:cs="Times New Roman"/>
          <w:lang w:val="ru-RU"/>
        </w:rPr>
      </w:pPr>
      <w:r w:rsidRPr="005A1F62">
        <w:rPr>
          <w:rFonts w:cs="Times New Roman"/>
          <w:lang w:val="ru-RU"/>
        </w:rPr>
        <w:t>Если одновременно выполняются следующие условия, то итогов</w:t>
      </w:r>
      <w:r w:rsidR="00FF73C9" w:rsidRPr="005A1F62">
        <w:rPr>
          <w:rFonts w:cs="Times New Roman"/>
          <w:lang w:val="ru-RU"/>
        </w:rPr>
        <w:t>ый</w:t>
      </w:r>
      <w:r w:rsidRPr="005A1F62">
        <w:rPr>
          <w:rFonts w:cs="Times New Roman"/>
          <w:lang w:val="ru-RU"/>
        </w:rPr>
        <w:t xml:space="preserve"> балл за сбалансированность на долгосрочном горизонте </w:t>
      </w:r>
      <w:r w:rsidR="00426BEF" w:rsidRPr="005A1F62">
        <w:rPr>
          <w:rFonts w:cs="Times New Roman"/>
          <w:lang w:val="ru-RU"/>
        </w:rPr>
        <w:t>может быть понижен на</w:t>
      </w:r>
      <w:r w:rsidRPr="005A1F62">
        <w:rPr>
          <w:rFonts w:cs="Times New Roman"/>
          <w:lang w:val="ru-RU"/>
        </w:rPr>
        <w:t xml:space="preserve"> 0,5</w:t>
      </w:r>
      <w:r w:rsidR="002E5040" w:rsidRPr="005A1F62">
        <w:rPr>
          <w:rFonts w:cs="Times New Roman"/>
          <w:lang w:val="ru-RU"/>
        </w:rPr>
        <w:t>:</w:t>
      </w:r>
    </w:p>
    <w:p w14:paraId="664871CA" w14:textId="77777777" w:rsidR="009B681E" w:rsidRPr="005A1F62" w:rsidRDefault="009B681E" w:rsidP="00B73C6D">
      <w:pPr>
        <w:pStyle w:val="RAEXdefault"/>
        <w:numPr>
          <w:ilvl w:val="0"/>
          <w:numId w:val="67"/>
        </w:numPr>
        <w:tabs>
          <w:tab w:val="left" w:pos="709"/>
        </w:tabs>
        <w:rPr>
          <w:rFonts w:cs="Times New Roman"/>
          <w:lang w:val="ru-RU"/>
        </w:rPr>
      </w:pPr>
      <w:r w:rsidRPr="005A1F62">
        <w:rPr>
          <w:rFonts w:cs="Times New Roman"/>
          <w:lang w:val="ru-RU"/>
        </w:rPr>
        <w:t>доля 30 крупнейших кредитов в активах более 30</w:t>
      </w:r>
      <w:r w:rsidR="002E5040" w:rsidRPr="005A1F62">
        <w:rPr>
          <w:rFonts w:cs="Times New Roman"/>
          <w:lang w:val="ru-RU"/>
        </w:rPr>
        <w:t xml:space="preserve">%; </w:t>
      </w:r>
    </w:p>
    <w:p w14:paraId="04423F7B" w14:textId="68FDC839" w:rsidR="009B681E" w:rsidRPr="005A1F62" w:rsidRDefault="009B681E" w:rsidP="00B73C6D">
      <w:pPr>
        <w:pStyle w:val="RAEXdefault"/>
        <w:numPr>
          <w:ilvl w:val="0"/>
          <w:numId w:val="67"/>
        </w:numPr>
        <w:tabs>
          <w:tab w:val="left" w:pos="709"/>
        </w:tabs>
        <w:rPr>
          <w:rFonts w:cs="Times New Roman"/>
          <w:lang w:val="ru-RU"/>
        </w:rPr>
      </w:pPr>
      <w:r w:rsidRPr="005A1F62">
        <w:rPr>
          <w:rFonts w:cs="Times New Roman"/>
          <w:lang w:val="ru-RU"/>
        </w:rPr>
        <w:t xml:space="preserve">средняя взвешенная (по сумме кредита) срочность 30 крупнейших ссуд с учетом изменения срока погашения (пролонгации) превышает </w:t>
      </w:r>
      <w:r w:rsidR="002E5040" w:rsidRPr="005A1F62">
        <w:rPr>
          <w:rFonts w:cs="Times New Roman"/>
          <w:lang w:val="ru-RU"/>
        </w:rPr>
        <w:t xml:space="preserve">пять </w:t>
      </w:r>
      <w:r w:rsidRPr="005A1F62">
        <w:rPr>
          <w:rFonts w:cs="Times New Roman"/>
          <w:lang w:val="ru-RU"/>
        </w:rPr>
        <w:t>лет.</w:t>
      </w:r>
    </w:p>
    <w:p w14:paraId="58A6A887" w14:textId="6446466D" w:rsidR="00986307" w:rsidRPr="005A1F62" w:rsidRDefault="00986307" w:rsidP="00DC2FED">
      <w:pPr>
        <w:tabs>
          <w:tab w:val="left" w:pos="709"/>
        </w:tabs>
        <w:ind w:firstLine="567"/>
        <w:jc w:val="both"/>
      </w:pPr>
      <w:r w:rsidRPr="005A1F62">
        <w:t>Для банков с базовой лицензией сбалансированность активов и пассивов на долгосрочном горизонте не оценивается</w:t>
      </w:r>
      <w:r w:rsidR="00A536F4" w:rsidRPr="005A1F62">
        <w:t>.</w:t>
      </w:r>
    </w:p>
    <w:p w14:paraId="7708B988" w14:textId="77777777" w:rsidR="001800B8" w:rsidRPr="005A1F62" w:rsidRDefault="001800B8" w:rsidP="00DC2FED">
      <w:pPr>
        <w:tabs>
          <w:tab w:val="left" w:pos="709"/>
        </w:tabs>
        <w:ind w:firstLine="567"/>
        <w:jc w:val="both"/>
      </w:pPr>
    </w:p>
    <w:p w14:paraId="5D434DCE" w14:textId="6532062D" w:rsidR="009B681E" w:rsidRPr="005A1F62" w:rsidRDefault="009B681E" w:rsidP="00B73C6D">
      <w:pPr>
        <w:pStyle w:val="3"/>
        <w:numPr>
          <w:ilvl w:val="1"/>
          <w:numId w:val="58"/>
        </w:numPr>
        <w:tabs>
          <w:tab w:val="left" w:pos="709"/>
        </w:tabs>
        <w:spacing w:before="0" w:after="0"/>
        <w:ind w:left="0" w:firstLine="567"/>
        <w:rPr>
          <w:rFonts w:ascii="Times New Roman" w:hAnsi="Times New Roman" w:cs="Times New Roman"/>
        </w:rPr>
      </w:pPr>
      <w:bookmarkStart w:id="189" w:name="_Toc277183414"/>
      <w:bookmarkStart w:id="190" w:name="_Toc343776113"/>
      <w:bookmarkStart w:id="191" w:name="_Toc459363763"/>
      <w:bookmarkStart w:id="192" w:name="_Toc44433466"/>
      <w:r w:rsidRPr="005A1F62">
        <w:rPr>
          <w:rFonts w:ascii="Times New Roman" w:hAnsi="Times New Roman" w:cs="Times New Roman"/>
        </w:rPr>
        <w:t>Рыночные риски</w:t>
      </w:r>
      <w:bookmarkEnd w:id="189"/>
      <w:bookmarkEnd w:id="190"/>
      <w:bookmarkEnd w:id="191"/>
      <w:r w:rsidR="00EF55CE" w:rsidRPr="005A1F62">
        <w:rPr>
          <w:rStyle w:val="a9"/>
          <w:rFonts w:ascii="Times New Roman" w:hAnsi="Times New Roman" w:cs="Times New Roman"/>
        </w:rPr>
        <w:footnoteReference w:id="29"/>
      </w:r>
      <w:bookmarkEnd w:id="192"/>
    </w:p>
    <w:p w14:paraId="13CF7D35" w14:textId="77777777" w:rsidR="00364531" w:rsidRPr="005A1F62" w:rsidRDefault="00364531" w:rsidP="00DC2FED">
      <w:pPr>
        <w:tabs>
          <w:tab w:val="left" w:pos="709"/>
        </w:tabs>
        <w:ind w:firstLine="567"/>
        <w:jc w:val="both"/>
        <w:rPr>
          <w:u w:val="single"/>
        </w:rPr>
      </w:pPr>
    </w:p>
    <w:p w14:paraId="564231E9" w14:textId="6AF72D4A" w:rsidR="00C175C4" w:rsidRPr="005A1F62" w:rsidRDefault="009B681E" w:rsidP="00DC2FED">
      <w:pPr>
        <w:tabs>
          <w:tab w:val="left" w:pos="709"/>
        </w:tabs>
        <w:ind w:firstLine="567"/>
        <w:jc w:val="both"/>
      </w:pPr>
      <w:r w:rsidRPr="005A1F62">
        <w:rPr>
          <w:u w:val="single"/>
        </w:rPr>
        <w:t>Цель оценки</w:t>
      </w:r>
      <w:r w:rsidR="00BD7124" w:rsidRPr="005A1F62">
        <w:rPr>
          <w:u w:val="single"/>
        </w:rPr>
        <w:t>:</w:t>
      </w:r>
      <w:r w:rsidR="00BD7124" w:rsidRPr="005A1F62">
        <w:t xml:space="preserve"> о</w:t>
      </w:r>
      <w:r w:rsidRPr="005A1F62">
        <w:t xml:space="preserve">пределить, насколько </w:t>
      </w:r>
      <w:r w:rsidR="00EA200D" w:rsidRPr="005A1F62">
        <w:t xml:space="preserve">банк </w:t>
      </w:r>
      <w:r w:rsidRPr="005A1F62">
        <w:t>склонен к принятию рыночных рисков (процентных и валютных)</w:t>
      </w:r>
      <w:r w:rsidR="004A579D" w:rsidRPr="005A1F62">
        <w:t xml:space="preserve"> и рисков, связанных с обременением портфеля ценных бумаг</w:t>
      </w:r>
      <w:r w:rsidRPr="005A1F62">
        <w:t>.</w:t>
      </w:r>
      <w:r w:rsidR="00B74DB7" w:rsidRPr="005A1F62">
        <w:t xml:space="preserve"> </w:t>
      </w:r>
    </w:p>
    <w:p w14:paraId="4481AD0F" w14:textId="27915005" w:rsidR="00C175C4" w:rsidRPr="005A1F62" w:rsidRDefault="00B74DB7" w:rsidP="00DC2FED">
      <w:pPr>
        <w:tabs>
          <w:tab w:val="left" w:pos="709"/>
        </w:tabs>
        <w:ind w:firstLine="567"/>
        <w:jc w:val="both"/>
      </w:pPr>
      <w:r w:rsidRPr="005A1F62">
        <w:t xml:space="preserve">Значительная </w:t>
      </w:r>
      <w:r w:rsidR="002E5040" w:rsidRPr="005A1F62">
        <w:t>открытая валютная позиция (</w:t>
      </w:r>
      <w:r w:rsidRPr="005A1F62">
        <w:t>ОВП</w:t>
      </w:r>
      <w:r w:rsidR="002E5040" w:rsidRPr="005A1F62">
        <w:t>)</w:t>
      </w:r>
      <w:r w:rsidRPr="005A1F62">
        <w:t xml:space="preserve"> может привести к непрогнозируемым убыткам </w:t>
      </w:r>
      <w:r w:rsidR="002E5040" w:rsidRPr="005A1F62">
        <w:t xml:space="preserve">банка </w:t>
      </w:r>
      <w:r w:rsidRPr="005A1F62">
        <w:t>от переоценки активов, номинированных в иностранных валютах, это негативно отражается на рейтинге. Негативно на рейтинг также влияют значительные риски</w:t>
      </w:r>
      <w:r w:rsidR="00F77A85" w:rsidRPr="005A1F62">
        <w:t xml:space="preserve"> в части обремененных ценных бумаг</w:t>
      </w:r>
      <w:r w:rsidRPr="005A1F62">
        <w:t xml:space="preserve">, так как в случае резкого обесценения стоимости заложенного актива обязательства банка превысят стоимость заложенного актива, что </w:t>
      </w:r>
      <w:r w:rsidR="00C175C4" w:rsidRPr="005A1F62">
        <w:t>окажет давление</w:t>
      </w:r>
      <w:r w:rsidRPr="005A1F62">
        <w:t xml:space="preserve"> не только </w:t>
      </w:r>
      <w:r w:rsidR="00C175C4" w:rsidRPr="005A1F62">
        <w:t>на</w:t>
      </w:r>
      <w:r w:rsidRPr="005A1F62">
        <w:t xml:space="preserve"> прибыльност</w:t>
      </w:r>
      <w:r w:rsidR="00C175C4" w:rsidRPr="005A1F62">
        <w:t>ь</w:t>
      </w:r>
      <w:r w:rsidRPr="005A1F62">
        <w:t xml:space="preserve">, но и </w:t>
      </w:r>
      <w:r w:rsidR="00C175C4" w:rsidRPr="005A1F62">
        <w:t>на</w:t>
      </w:r>
      <w:r w:rsidRPr="005A1F62">
        <w:t xml:space="preserve"> ликвидност</w:t>
      </w:r>
      <w:r w:rsidR="00C175C4" w:rsidRPr="005A1F62">
        <w:t>ь</w:t>
      </w:r>
      <w:r w:rsidRPr="005A1F62">
        <w:t xml:space="preserve"> банка.</w:t>
      </w:r>
      <w:r w:rsidR="005E36C4" w:rsidRPr="005A1F62">
        <w:t xml:space="preserve"> </w:t>
      </w:r>
      <w:r w:rsidR="00C175C4" w:rsidRPr="005A1F62">
        <w:t>Реализация п</w:t>
      </w:r>
      <w:r w:rsidR="005E36C4" w:rsidRPr="005A1F62">
        <w:t>роцентны</w:t>
      </w:r>
      <w:r w:rsidR="00C175C4" w:rsidRPr="005A1F62">
        <w:t>х</w:t>
      </w:r>
      <w:r w:rsidR="005E36C4" w:rsidRPr="005A1F62">
        <w:t xml:space="preserve"> риск</w:t>
      </w:r>
      <w:r w:rsidR="00C175C4" w:rsidRPr="005A1F62">
        <w:t>ов</w:t>
      </w:r>
      <w:r w:rsidR="005E36C4" w:rsidRPr="005A1F62">
        <w:t xml:space="preserve"> </w:t>
      </w:r>
      <w:r w:rsidR="002E5040" w:rsidRPr="005A1F62">
        <w:t xml:space="preserve">может </w:t>
      </w:r>
      <w:r w:rsidR="005E36C4" w:rsidRPr="005A1F62">
        <w:t>привести к</w:t>
      </w:r>
      <w:r w:rsidR="00C175C4" w:rsidRPr="005A1F62">
        <w:t xml:space="preserve"> резкому</w:t>
      </w:r>
      <w:r w:rsidR="005E36C4" w:rsidRPr="005A1F62">
        <w:t xml:space="preserve"> падению чистой процентной маржи, что может негативно сказаться на рентабельности и капитализации банка. </w:t>
      </w:r>
      <w:r w:rsidR="00A111C1" w:rsidRPr="005A1F62">
        <w:t>При оценке процентных рисков негативно оценивается как превышение пассивов с плавающей</w:t>
      </w:r>
      <w:r w:rsidR="001A6B26" w:rsidRPr="005A1F62">
        <w:rPr>
          <w:rStyle w:val="a9"/>
        </w:rPr>
        <w:footnoteReference w:id="30"/>
      </w:r>
      <w:r w:rsidR="00A111C1" w:rsidRPr="005A1F62">
        <w:t xml:space="preserve"> процентной ставкой над соответствующими активами, так и наоборот, т</w:t>
      </w:r>
      <w:r w:rsidR="002E5040" w:rsidRPr="005A1F62">
        <w:t>о есть</w:t>
      </w:r>
      <w:r w:rsidR="00A111C1" w:rsidRPr="005A1F62">
        <w:t xml:space="preserve"> дельта между долей пассивов и активов с плавающей процентной ставкой оценивается по модулю. </w:t>
      </w:r>
      <w:r w:rsidR="00C175C4" w:rsidRPr="005A1F62">
        <w:t xml:space="preserve">При оценке валютных рисков негативно оценивается как «длинная», так и «короткая» позиция по любой валюте вне зависимости от тренда, сформировавшегося в данный момент на рынке. В случае если принятие значительного валютного риска </w:t>
      </w:r>
      <w:r w:rsidR="00C175C4" w:rsidRPr="005A1F62">
        <w:lastRenderedPageBreak/>
        <w:t>позволило получить прибыль, это позитивно оценивается в другом компоненте методики (прибыльность).</w:t>
      </w:r>
    </w:p>
    <w:p w14:paraId="3DD8E421" w14:textId="77777777" w:rsidR="009B681E" w:rsidRPr="005A1F62" w:rsidRDefault="009B681E" w:rsidP="00DC2FED">
      <w:pPr>
        <w:tabs>
          <w:tab w:val="left" w:pos="709"/>
        </w:tabs>
        <w:ind w:firstLine="567"/>
        <w:jc w:val="both"/>
        <w:rPr>
          <w:b/>
        </w:rPr>
      </w:pPr>
    </w:p>
    <w:p w14:paraId="44B48AFF" w14:textId="77777777" w:rsidR="00C175C4" w:rsidRPr="005A1F62" w:rsidRDefault="009B681E" w:rsidP="00DC2FED">
      <w:pPr>
        <w:tabs>
          <w:tab w:val="left" w:pos="709"/>
        </w:tabs>
        <w:ind w:firstLine="567"/>
        <w:jc w:val="both"/>
      </w:pPr>
      <w:r w:rsidRPr="005A1F62">
        <w:rPr>
          <w:u w:val="single"/>
        </w:rPr>
        <w:t>Алгоритм выставления оценки</w:t>
      </w:r>
    </w:p>
    <w:p w14:paraId="5D453DA3" w14:textId="7779A2D0" w:rsidR="009B681E" w:rsidRPr="005A1F62" w:rsidRDefault="007867BB" w:rsidP="00DC2FED">
      <w:pPr>
        <w:tabs>
          <w:tab w:val="left" w:pos="709"/>
        </w:tabs>
        <w:ind w:firstLine="567"/>
        <w:jc w:val="both"/>
      </w:pPr>
      <w:r w:rsidRPr="005A1F62">
        <w:t xml:space="preserve">В рамках анализа рыночных рисков рассчитываются оценки отдельно по </w:t>
      </w:r>
      <w:proofErr w:type="gramStart"/>
      <w:r w:rsidRPr="005A1F62">
        <w:t>валютным,</w:t>
      </w:r>
      <w:r w:rsidR="004A579D" w:rsidRPr="005A1F62">
        <w:t xml:space="preserve"> </w:t>
      </w:r>
      <w:r w:rsidRPr="005A1F62">
        <w:t xml:space="preserve"> процентным</w:t>
      </w:r>
      <w:proofErr w:type="gramEnd"/>
      <w:r w:rsidRPr="005A1F62">
        <w:t xml:space="preserve"> </w:t>
      </w:r>
      <w:r w:rsidR="004A579D" w:rsidRPr="005A1F62">
        <w:t xml:space="preserve">рискам </w:t>
      </w:r>
      <w:r w:rsidRPr="005A1F62">
        <w:t>(дельта между долей пассивов и активов с плавающей ставкой)</w:t>
      </w:r>
      <w:r w:rsidR="004A579D" w:rsidRPr="005A1F62">
        <w:t xml:space="preserve"> и рискам, связанны</w:t>
      </w:r>
      <w:r w:rsidR="00BD49A4" w:rsidRPr="005A1F62">
        <w:t>м</w:t>
      </w:r>
      <w:r w:rsidR="004A579D" w:rsidRPr="005A1F62">
        <w:t xml:space="preserve"> с обременением портфеля ценных бумаг</w:t>
      </w:r>
      <w:r w:rsidRPr="005A1F62">
        <w:t>. Балл за валютные риски определяется как минимальная из следующих оценок: за отношение балансирующей открытой валютной позиции в рублях к величине капитала, за отношение открытой валютной позиции по всем валютам к величине капитала, за отношение максимальной открытой валютной позиции по одной валюте к величине капитала. Итоговый балл за рыночный риск является минимальной из оценок компонентов рыночного риска, учитываемой с весом 3%. Параметры, характеризующие уровень валютных рисков</w:t>
      </w:r>
      <w:r w:rsidR="004A579D" w:rsidRPr="005A1F62">
        <w:t xml:space="preserve"> и рисков, связанных с обременением портфеля ценных бумаг</w:t>
      </w:r>
      <w:r w:rsidRPr="005A1F62">
        <w:t>, относятся к показателям с «длинным хвостом». Балл за процентные риски определяется по данным на последнюю отчетную дату.</w:t>
      </w:r>
    </w:p>
    <w:p w14:paraId="445A90B9" w14:textId="77777777" w:rsidR="00B74DB7" w:rsidRPr="005A1F62" w:rsidRDefault="00B74DB7" w:rsidP="00DC2FED">
      <w:pPr>
        <w:tabs>
          <w:tab w:val="left" w:pos="709"/>
        </w:tabs>
        <w:ind w:firstLine="567"/>
      </w:pPr>
    </w:p>
    <w:p w14:paraId="616EE25F" w14:textId="77777777" w:rsidR="009B681E" w:rsidRPr="005A1F62" w:rsidRDefault="00EA200D" w:rsidP="00DC2FED">
      <w:pPr>
        <w:tabs>
          <w:tab w:val="left" w:pos="709"/>
        </w:tabs>
        <w:ind w:firstLine="567"/>
        <w:rPr>
          <w:b/>
        </w:rPr>
      </w:pPr>
      <w:r w:rsidRPr="005A1F62">
        <w:rPr>
          <w:b/>
        </w:rPr>
        <w:t>Валютные риски</w:t>
      </w:r>
    </w:p>
    <w:p w14:paraId="75EF3631" w14:textId="1067EF24" w:rsidR="009B681E" w:rsidRPr="005A1F62" w:rsidRDefault="009B681E" w:rsidP="00DC2FED">
      <w:pPr>
        <w:tabs>
          <w:tab w:val="left" w:pos="709"/>
        </w:tabs>
        <w:ind w:firstLine="567"/>
        <w:jc w:val="both"/>
      </w:pPr>
      <w:r w:rsidRPr="005A1F62">
        <w:t>Балл по данному компоненту определяется как минимум из тр</w:t>
      </w:r>
      <w:r w:rsidR="00CD78CF" w:rsidRPr="005A1F62">
        <w:t>е</w:t>
      </w:r>
      <w:r w:rsidRPr="005A1F62">
        <w:t>х оценок</w:t>
      </w:r>
      <w:r w:rsidR="002E5040" w:rsidRPr="005A1F62">
        <w:t>:</w:t>
      </w:r>
      <w:r w:rsidRPr="005A1F62">
        <w:t xml:space="preserve"> за максимальную ОВП по одной валюте, балансирующую </w:t>
      </w:r>
      <w:r w:rsidR="00E31BCE" w:rsidRPr="005A1F62">
        <w:t xml:space="preserve">позицию </w:t>
      </w:r>
      <w:r w:rsidRPr="005A1F62">
        <w:t>в рублях и ОВП по всем валютам</w:t>
      </w:r>
      <w:r w:rsidR="00536DEC" w:rsidRPr="005A1F62">
        <w:t xml:space="preserve"> (по данны</w:t>
      </w:r>
      <w:r w:rsidR="001708D9" w:rsidRPr="005A1F62">
        <w:t>м</w:t>
      </w:r>
      <w:r w:rsidR="00536DEC" w:rsidRPr="005A1F62">
        <w:t xml:space="preserve"> формы</w:t>
      </w:r>
      <w:r w:rsidR="002E5040" w:rsidRPr="005A1F62">
        <w:t xml:space="preserve"> 634</w:t>
      </w:r>
      <w:r w:rsidR="00536DEC" w:rsidRPr="005A1F62">
        <w:t>)</w:t>
      </w:r>
      <w:r w:rsidRPr="005A1F62">
        <w:t>. Балл,</w:t>
      </w:r>
      <w:r w:rsidR="00CD78CF" w:rsidRPr="005A1F62">
        <w:t xml:space="preserve"> </w:t>
      </w:r>
      <w:r w:rsidRPr="005A1F62">
        <w:t xml:space="preserve">выставленный по бенчмаркам, </w:t>
      </w:r>
      <w:r w:rsidR="00703203" w:rsidRPr="005A1F62">
        <w:t xml:space="preserve">может </w:t>
      </w:r>
      <w:r w:rsidRPr="005A1F62">
        <w:t>корректир</w:t>
      </w:r>
      <w:r w:rsidR="00703203" w:rsidRPr="005A1F62">
        <w:t>ова</w:t>
      </w:r>
      <w:r w:rsidRPr="005A1F62">
        <w:t>т</w:t>
      </w:r>
      <w:r w:rsidR="00703203" w:rsidRPr="005A1F62">
        <w:t>ь</w:t>
      </w:r>
      <w:r w:rsidRPr="005A1F62">
        <w:t xml:space="preserve">ся </w:t>
      </w:r>
      <w:r w:rsidR="009E6D29" w:rsidRPr="005A1F62">
        <w:t>аналитик</w:t>
      </w:r>
      <w:r w:rsidRPr="005A1F62">
        <w:t>ом:</w:t>
      </w:r>
    </w:p>
    <w:p w14:paraId="74FEF447" w14:textId="0BA11E7C" w:rsidR="009B681E" w:rsidRPr="005A1F62" w:rsidRDefault="002E5040" w:rsidP="00B73C6D">
      <w:pPr>
        <w:pStyle w:val="afb"/>
        <w:numPr>
          <w:ilvl w:val="0"/>
          <w:numId w:val="68"/>
        </w:numPr>
        <w:jc w:val="both"/>
      </w:pPr>
      <w:r w:rsidRPr="005A1F62">
        <w:t xml:space="preserve">Не </w:t>
      </w:r>
      <w:r w:rsidR="009B681E" w:rsidRPr="005A1F62">
        <w:t>более чем на 0,5</w:t>
      </w:r>
      <w:r w:rsidR="00CD78CF" w:rsidRPr="005A1F62">
        <w:t xml:space="preserve"> </w:t>
      </w:r>
      <w:r w:rsidR="009B681E" w:rsidRPr="005A1F62">
        <w:t>вниз</w:t>
      </w:r>
      <w:r w:rsidR="0064794A" w:rsidRPr="005A1F62">
        <w:t xml:space="preserve"> – </w:t>
      </w:r>
      <w:r w:rsidR="009B681E" w:rsidRPr="005A1F62">
        <w:t xml:space="preserve">если значительная открытая позиция (балл за максимальную ОВП по одной валюте меньше 0) сформирована </w:t>
      </w:r>
      <w:r w:rsidRPr="005A1F62">
        <w:t xml:space="preserve">в </w:t>
      </w:r>
      <w:r w:rsidR="009B681E" w:rsidRPr="005A1F62">
        <w:t>малоликвидной валюте (драгметалле)</w:t>
      </w:r>
      <w:r w:rsidR="001A17E6" w:rsidRPr="005A1F62">
        <w:t>.</w:t>
      </w:r>
    </w:p>
    <w:p w14:paraId="73EE3902" w14:textId="0A8ADE4E" w:rsidR="009B681E" w:rsidRPr="005A1F62" w:rsidRDefault="001A17E6" w:rsidP="00B73C6D">
      <w:pPr>
        <w:pStyle w:val="afb"/>
        <w:numPr>
          <w:ilvl w:val="0"/>
          <w:numId w:val="68"/>
        </w:numPr>
        <w:jc w:val="both"/>
      </w:pPr>
      <w:r w:rsidRPr="005A1F62">
        <w:t xml:space="preserve">Не </w:t>
      </w:r>
      <w:r w:rsidR="009B681E" w:rsidRPr="005A1F62">
        <w:t>более чем на 0,5 вниз</w:t>
      </w:r>
      <w:r w:rsidR="0064794A" w:rsidRPr="005A1F62">
        <w:t xml:space="preserve"> –</w:t>
      </w:r>
      <w:r w:rsidR="009B681E" w:rsidRPr="005A1F62">
        <w:t xml:space="preserve"> если значительный объем кредитов был выдан в валюте, не соответствующей валюте выручки заемщика</w:t>
      </w:r>
      <w:r w:rsidRPr="005A1F62">
        <w:t>.</w:t>
      </w:r>
    </w:p>
    <w:p w14:paraId="150DED40" w14:textId="3F1B2515" w:rsidR="009B681E" w:rsidRPr="005A1F62" w:rsidRDefault="001A17E6" w:rsidP="00B73C6D">
      <w:pPr>
        <w:pStyle w:val="afb"/>
        <w:numPr>
          <w:ilvl w:val="0"/>
          <w:numId w:val="68"/>
        </w:numPr>
        <w:jc w:val="both"/>
      </w:pPr>
      <w:r w:rsidRPr="005A1F62">
        <w:t xml:space="preserve">Не </w:t>
      </w:r>
      <w:r w:rsidR="009B681E" w:rsidRPr="005A1F62">
        <w:t>более чем на 1 вверх</w:t>
      </w:r>
      <w:r w:rsidR="0064794A" w:rsidRPr="005A1F62">
        <w:t xml:space="preserve"> – </w:t>
      </w:r>
      <w:r w:rsidR="009B681E" w:rsidRPr="005A1F62">
        <w:t>если отрицательная оценка показателя «</w:t>
      </w:r>
      <w:r w:rsidRPr="005A1F62">
        <w:t xml:space="preserve">ОВП </w:t>
      </w:r>
      <w:r w:rsidR="009B681E" w:rsidRPr="005A1F62">
        <w:t>по всем валютам» сочетается с положительной оценкой «</w:t>
      </w:r>
      <w:r w:rsidR="0064794A" w:rsidRPr="005A1F62">
        <w:t xml:space="preserve">балансирующей </w:t>
      </w:r>
      <w:r w:rsidR="00E31BCE" w:rsidRPr="005A1F62">
        <w:t>позиции</w:t>
      </w:r>
      <w:r w:rsidRPr="005A1F62">
        <w:t xml:space="preserve"> </w:t>
      </w:r>
      <w:r w:rsidR="009B681E" w:rsidRPr="005A1F62">
        <w:t xml:space="preserve">в рублях» (это связано с тем, что </w:t>
      </w:r>
      <w:r w:rsidRPr="005A1F62">
        <w:t>«</w:t>
      </w:r>
      <w:r w:rsidR="009B681E" w:rsidRPr="005A1F62">
        <w:t>длинная</w:t>
      </w:r>
      <w:r w:rsidRPr="005A1F62">
        <w:t>»</w:t>
      </w:r>
      <w:r w:rsidR="009B681E" w:rsidRPr="005A1F62">
        <w:t xml:space="preserve"> позиция по одной валюте закрывает </w:t>
      </w:r>
      <w:r w:rsidRPr="005A1F62">
        <w:t>«</w:t>
      </w:r>
      <w:r w:rsidR="009B681E" w:rsidRPr="005A1F62">
        <w:t>короткую</w:t>
      </w:r>
      <w:r w:rsidRPr="005A1F62">
        <w:t>»</w:t>
      </w:r>
      <w:r w:rsidR="009B681E" w:rsidRPr="005A1F62">
        <w:t xml:space="preserve"> позицию по другой), при этом последние </w:t>
      </w:r>
      <w:r w:rsidRPr="005A1F62">
        <w:t xml:space="preserve">шесть </w:t>
      </w:r>
      <w:r w:rsidR="009B681E" w:rsidRPr="005A1F62">
        <w:t>месяцев банк придерживался аналогичной политики и показывал чистую положительную переоценку по валютам и драгметаллам</w:t>
      </w:r>
      <w:r w:rsidRPr="005A1F62">
        <w:t>.</w:t>
      </w:r>
    </w:p>
    <w:p w14:paraId="5972A65E" w14:textId="649B8689" w:rsidR="003E4F12" w:rsidRPr="005A1F62" w:rsidRDefault="003E4F12" w:rsidP="00B73C6D">
      <w:pPr>
        <w:pStyle w:val="afb"/>
        <w:numPr>
          <w:ilvl w:val="0"/>
          <w:numId w:val="68"/>
        </w:numPr>
        <w:jc w:val="both"/>
      </w:pPr>
      <w:bookmarkStart w:id="194" w:name="_Hlk529586"/>
      <w:r w:rsidRPr="005A1F62">
        <w:t>Балл может быть пони</w:t>
      </w:r>
      <w:r w:rsidR="00312A09" w:rsidRPr="005A1F62">
        <w:t>жен на 0,5 при высокой (более 100</w:t>
      </w:r>
      <w:r w:rsidRPr="005A1F62">
        <w:t>% относительно капитала) или на 1 б</w:t>
      </w:r>
      <w:r w:rsidR="00312A09" w:rsidRPr="005A1F62">
        <w:t>алл при очень высокой (более 200</w:t>
      </w:r>
      <w:r w:rsidRPr="005A1F62">
        <w:t>% относительно капитала) балансовой ОВП, рассчитанной без учета отраженных на внебалансовых счетах производных финансовых инструментов, и выраженном дисбалансе между срочностью производных финансовых инструментов, за счет которых регулируется валютная позиция, и номинированных в иностранной валюте активов или пассивов, которыми обусловлена балансовая ОВП.</w:t>
      </w:r>
    </w:p>
    <w:bookmarkEnd w:id="194"/>
    <w:p w14:paraId="501F272D" w14:textId="77777777" w:rsidR="009B681E" w:rsidRPr="005A1F62" w:rsidRDefault="009B681E" w:rsidP="00DC2FED">
      <w:pPr>
        <w:tabs>
          <w:tab w:val="left" w:pos="709"/>
        </w:tabs>
        <w:ind w:firstLine="567"/>
      </w:pPr>
    </w:p>
    <w:p w14:paraId="5AE33B88" w14:textId="1478A7F4" w:rsidR="00C175C4" w:rsidRPr="005A1F62" w:rsidRDefault="00EA200D" w:rsidP="002836D2">
      <w:pPr>
        <w:tabs>
          <w:tab w:val="left" w:pos="709"/>
        </w:tabs>
        <w:ind w:firstLine="567"/>
      </w:pPr>
      <w:r w:rsidRPr="005A1F62">
        <w:rPr>
          <w:b/>
        </w:rPr>
        <w:t>Процентные риски</w:t>
      </w:r>
    </w:p>
    <w:p w14:paraId="5A6FB0C3" w14:textId="07244D30" w:rsidR="009B681E" w:rsidRPr="005A1F62" w:rsidRDefault="009B681E" w:rsidP="00DC2FED">
      <w:pPr>
        <w:tabs>
          <w:tab w:val="left" w:pos="709"/>
        </w:tabs>
        <w:ind w:firstLine="567"/>
        <w:jc w:val="both"/>
      </w:pPr>
      <w:r w:rsidRPr="005A1F62">
        <w:t>О подверженности банка процентным рискам</w:t>
      </w:r>
      <w:r w:rsidR="00F77A85" w:rsidRPr="005A1F62">
        <w:t xml:space="preserve"> </w:t>
      </w:r>
      <w:r w:rsidRPr="005A1F62">
        <w:t>свидетельствует дельта между активами и пассивами</w:t>
      </w:r>
      <w:r w:rsidR="000C3953" w:rsidRPr="005A1F62">
        <w:t xml:space="preserve"> с плавающей процентной ставкой</w:t>
      </w:r>
    </w:p>
    <w:p w14:paraId="3C390879" w14:textId="4016F1A1" w:rsidR="009B681E" w:rsidRPr="005A1F62" w:rsidRDefault="009B681E" w:rsidP="001A6B26">
      <w:pPr>
        <w:tabs>
          <w:tab w:val="left" w:pos="709"/>
        </w:tabs>
        <w:ind w:firstLine="567"/>
        <w:jc w:val="both"/>
      </w:pPr>
      <w:bookmarkStart w:id="195" w:name="_Hlk43309878"/>
      <w:r w:rsidRPr="005A1F62">
        <w:t xml:space="preserve">Балл </w:t>
      </w:r>
      <w:r w:rsidR="00624E58" w:rsidRPr="005A1F62">
        <w:t xml:space="preserve">за подверженность процентному риску </w:t>
      </w:r>
      <w:r w:rsidRPr="005A1F62">
        <w:t>может быть повышен</w:t>
      </w:r>
      <w:r w:rsidR="00624E58" w:rsidRPr="005A1F62">
        <w:t xml:space="preserve"> вплоть до 1</w:t>
      </w:r>
      <w:r w:rsidR="00A111C1" w:rsidRPr="005A1F62">
        <w:t>,</w:t>
      </w:r>
      <w:r w:rsidRPr="005A1F62">
        <w:t xml:space="preserve"> если</w:t>
      </w:r>
      <w:r w:rsidR="001A6B26" w:rsidRPr="005A1F62">
        <w:t xml:space="preserve"> </w:t>
      </w:r>
      <w:r w:rsidRPr="005A1F62">
        <w:t xml:space="preserve">банк работает в сегментах бизнеса, предусматривающих высокий уровень </w:t>
      </w:r>
      <w:r w:rsidR="006548CD" w:rsidRPr="005A1F62">
        <w:t xml:space="preserve">чистой </w:t>
      </w:r>
      <w:r w:rsidRPr="005A1F62">
        <w:t>процентной маржи (</w:t>
      </w:r>
      <w:r w:rsidR="000A7E76" w:rsidRPr="005A1F62">
        <w:t>превышающий среднерыночный уровень на 2 п.п. и более</w:t>
      </w:r>
      <w:r w:rsidRPr="005A1F62">
        <w:t>), т</w:t>
      </w:r>
      <w:r w:rsidR="001A17E6" w:rsidRPr="005A1F62">
        <w:t>о есть</w:t>
      </w:r>
      <w:r w:rsidRPr="005A1F62">
        <w:t xml:space="preserve"> снижение процентной маржи для него не так существенно;</w:t>
      </w:r>
    </w:p>
    <w:bookmarkEnd w:id="195"/>
    <w:p w14:paraId="39489E22" w14:textId="0C318524" w:rsidR="009B681E" w:rsidRPr="005A1F62" w:rsidRDefault="009B681E" w:rsidP="00DC2FED">
      <w:pPr>
        <w:tabs>
          <w:tab w:val="left" w:pos="709"/>
        </w:tabs>
        <w:ind w:firstLine="567"/>
        <w:jc w:val="both"/>
      </w:pPr>
      <w:r w:rsidRPr="005A1F62">
        <w:lastRenderedPageBreak/>
        <w:t>Балл может быть понижен, если активы и пассивы привязаны к разным ставкам</w:t>
      </w:r>
      <w:r w:rsidR="00B233DF" w:rsidRPr="005A1F62">
        <w:t xml:space="preserve">, </w:t>
      </w:r>
      <w:r w:rsidR="00032233" w:rsidRPr="005A1F62">
        <w:t xml:space="preserve">эффекты </w:t>
      </w:r>
      <w:proofErr w:type="gramStart"/>
      <w:r w:rsidR="00032233" w:rsidRPr="005A1F62">
        <w:t>от изменения</w:t>
      </w:r>
      <w:proofErr w:type="gramEnd"/>
      <w:r w:rsidR="00032233" w:rsidRPr="005A1F62">
        <w:t xml:space="preserve"> которых с высокой вероятностью не будут взаимокомпенсируемыми, </w:t>
      </w:r>
      <w:r w:rsidR="00B233DF" w:rsidRPr="005A1F62">
        <w:t>а также в случае агрессивной политики по привлечению средств (например, стоимость привлечени</w:t>
      </w:r>
      <w:r w:rsidR="005C7BD0" w:rsidRPr="005A1F62">
        <w:t>я</w:t>
      </w:r>
      <w:r w:rsidR="00B233DF" w:rsidRPr="005A1F62">
        <w:t xml:space="preserve"> средств ФЛ</w:t>
      </w:r>
      <w:r w:rsidR="00032233" w:rsidRPr="005A1F62">
        <w:t xml:space="preserve">, являющихся значимым источником фондирования, не менее чем на </w:t>
      </w:r>
      <w:r w:rsidR="0030492B" w:rsidRPr="005A1F62">
        <w:t>1 п.</w:t>
      </w:r>
      <w:r w:rsidR="0064794A" w:rsidRPr="005A1F62">
        <w:t xml:space="preserve"> </w:t>
      </w:r>
      <w:r w:rsidR="0030492B" w:rsidRPr="005A1F62">
        <w:t xml:space="preserve">п. </w:t>
      </w:r>
      <w:r w:rsidR="007A2860" w:rsidRPr="005A1F62">
        <w:t xml:space="preserve">в годовом выражении </w:t>
      </w:r>
      <w:r w:rsidR="00B233DF" w:rsidRPr="005A1F62">
        <w:t>превышает БУДВ</w:t>
      </w:r>
      <w:r w:rsidR="0030492B" w:rsidRPr="005A1F62">
        <w:rPr>
          <w:rStyle w:val="a9"/>
        </w:rPr>
        <w:footnoteReference w:id="31"/>
      </w:r>
      <w:r w:rsidR="006A4308" w:rsidRPr="005A1F62">
        <w:t xml:space="preserve"> на протяжении последнего квартала или в более длительной ретроспективе</w:t>
      </w:r>
      <w:r w:rsidR="00B233DF" w:rsidRPr="005A1F62">
        <w:t>)</w:t>
      </w:r>
      <w:r w:rsidRPr="005A1F62">
        <w:t>.</w:t>
      </w:r>
    </w:p>
    <w:p w14:paraId="31E75652" w14:textId="77777777" w:rsidR="009B681E" w:rsidRPr="005A1F62" w:rsidRDefault="009B681E" w:rsidP="00DC2FED">
      <w:pPr>
        <w:tabs>
          <w:tab w:val="left" w:pos="709"/>
        </w:tabs>
        <w:ind w:firstLine="567"/>
      </w:pPr>
    </w:p>
    <w:p w14:paraId="4D43A114" w14:textId="7FC9E210" w:rsidR="009B681E" w:rsidRPr="005A1F62" w:rsidRDefault="004A579D" w:rsidP="00DC2FED">
      <w:pPr>
        <w:tabs>
          <w:tab w:val="left" w:pos="709"/>
        </w:tabs>
        <w:ind w:firstLine="567"/>
        <w:rPr>
          <w:b/>
        </w:rPr>
      </w:pPr>
      <w:bookmarkStart w:id="196" w:name="_Hlk43309467"/>
      <w:r w:rsidRPr="005A1F62">
        <w:rPr>
          <w:b/>
        </w:rPr>
        <w:t>Риски, связанные с обременением портфеля ценных бумаг</w:t>
      </w:r>
    </w:p>
    <w:bookmarkEnd w:id="196"/>
    <w:p w14:paraId="3687677D" w14:textId="35AD87A7" w:rsidR="009B681E" w:rsidRPr="005A1F62" w:rsidRDefault="009B681E" w:rsidP="00081400">
      <w:pPr>
        <w:tabs>
          <w:tab w:val="left" w:pos="709"/>
        </w:tabs>
        <w:ind w:firstLine="567"/>
        <w:jc w:val="both"/>
      </w:pPr>
      <w:r w:rsidRPr="005A1F62">
        <w:t xml:space="preserve">Оценивается доля обремененных ценных бумаг и векселей – чем она выше, тем больше банк подвержен </w:t>
      </w:r>
      <w:r w:rsidR="004A579D" w:rsidRPr="005A1F62">
        <w:t>данному виду</w:t>
      </w:r>
      <w:r w:rsidRPr="005A1F62">
        <w:t xml:space="preserve"> риску, так как в случае резкого обесценения стоимости заложенного актива обязательства банка превысят стоимость заложенного актива, что нанесет удар не только по прибыльности, но и по ликвидности банка. </w:t>
      </w:r>
      <w:r w:rsidR="004A579D" w:rsidRPr="005A1F62">
        <w:t>Р</w:t>
      </w:r>
      <w:r w:rsidR="00EA200D" w:rsidRPr="005A1F62">
        <w:t xml:space="preserve">иски, связанные с потенциальным обесценением необремененных ценных бумаг (например, повышенная подверженность обесценению долевых инструментов по сравнению с долговыми), учитываются в разделе «Качество портфеля ценных бумаг». </w:t>
      </w:r>
    </w:p>
    <w:p w14:paraId="1ADC3109" w14:textId="3C0B9859" w:rsidR="00A224BB" w:rsidRPr="005A1F62" w:rsidRDefault="00A449B8" w:rsidP="00A224BB">
      <w:pPr>
        <w:pStyle w:val="2"/>
        <w:tabs>
          <w:tab w:val="left" w:pos="709"/>
        </w:tabs>
        <w:spacing w:before="0" w:after="0"/>
        <w:ind w:firstLine="567"/>
        <w:jc w:val="both"/>
        <w:rPr>
          <w:rFonts w:ascii="Times New Roman" w:hAnsi="Times New Roman" w:cs="Times New Roman"/>
          <w:i w:val="0"/>
        </w:rPr>
      </w:pPr>
      <w:bookmarkStart w:id="197" w:name="_Toc277183415"/>
      <w:bookmarkStart w:id="198" w:name="_Toc343776114"/>
      <w:bookmarkStart w:id="199" w:name="_Toc459363764"/>
      <w:r w:rsidRPr="005A1F62">
        <w:rPr>
          <w:rFonts w:ascii="Times New Roman" w:hAnsi="Times New Roman" w:cs="Times New Roman"/>
          <w:i w:val="0"/>
        </w:rPr>
        <w:br w:type="page"/>
      </w:r>
      <w:bookmarkStart w:id="200" w:name="_Toc44433467"/>
      <w:r w:rsidR="009B681E" w:rsidRPr="005A1F62">
        <w:rPr>
          <w:rFonts w:ascii="Times New Roman" w:hAnsi="Times New Roman" w:cs="Times New Roman"/>
          <w:i w:val="0"/>
        </w:rPr>
        <w:lastRenderedPageBreak/>
        <w:t xml:space="preserve">РАЗДЕЛ </w:t>
      </w:r>
      <w:r w:rsidR="009B681E" w:rsidRPr="005A1F62">
        <w:rPr>
          <w:rFonts w:ascii="Times New Roman" w:hAnsi="Times New Roman" w:cs="Times New Roman"/>
          <w:i w:val="0"/>
          <w:lang w:val="en-US"/>
        </w:rPr>
        <w:t>I</w:t>
      </w:r>
      <w:r w:rsidR="009B681E" w:rsidRPr="005A1F62">
        <w:rPr>
          <w:rFonts w:ascii="Times New Roman" w:hAnsi="Times New Roman" w:cs="Times New Roman"/>
          <w:i w:val="0"/>
        </w:rPr>
        <w:t>II. УПРАВЛЕНИЕ И РИСК-МЕНЕДЖМЕНТ</w:t>
      </w:r>
      <w:bookmarkStart w:id="201" w:name="_Toc277183416"/>
      <w:bookmarkStart w:id="202" w:name="_Toc343776115"/>
      <w:bookmarkStart w:id="203" w:name="_Toc459363765"/>
      <w:bookmarkEnd w:id="197"/>
      <w:bookmarkEnd w:id="198"/>
      <w:bookmarkEnd w:id="199"/>
      <w:bookmarkEnd w:id="200"/>
    </w:p>
    <w:p w14:paraId="23E06B78" w14:textId="0E651818" w:rsidR="00A224BB" w:rsidRPr="005A1F62" w:rsidRDefault="00A224BB" w:rsidP="00A224BB"/>
    <w:p w14:paraId="5759FBE0" w14:textId="4267EC50" w:rsidR="00F47B96" w:rsidRPr="005A1F62" w:rsidRDefault="00F47B96" w:rsidP="00F47B96">
      <w:pPr>
        <w:tabs>
          <w:tab w:val="left" w:pos="709"/>
        </w:tabs>
        <w:ind w:firstLine="567"/>
        <w:jc w:val="both"/>
      </w:pPr>
      <w:r w:rsidRPr="005A1F62">
        <w:t>Вес раздела «управление и риск-менеджмент» составляет 14%, внутри которого веса распределены по оцениваемым факторам следующим образом: корпоративное управление, бизнес-процессы и информационная прозрачность – 4%, структура собственности – 2%, управление рисками – 4%, стратегия развития – 4%.</w:t>
      </w:r>
    </w:p>
    <w:p w14:paraId="2B60D845" w14:textId="77777777" w:rsidR="00F47B96" w:rsidRPr="005A1F62" w:rsidRDefault="00F47B96" w:rsidP="00A224BB"/>
    <w:p w14:paraId="5B80B12B" w14:textId="14489FEF" w:rsidR="009B681E" w:rsidRPr="005A1F62" w:rsidRDefault="009B681E" w:rsidP="00B73C6D">
      <w:pPr>
        <w:pStyle w:val="3"/>
        <w:numPr>
          <w:ilvl w:val="0"/>
          <w:numId w:val="19"/>
        </w:numPr>
        <w:tabs>
          <w:tab w:val="left" w:pos="709"/>
        </w:tabs>
        <w:spacing w:before="0" w:after="0"/>
        <w:ind w:left="0" w:firstLine="567"/>
        <w:jc w:val="both"/>
        <w:rPr>
          <w:rFonts w:ascii="Times New Roman" w:hAnsi="Times New Roman" w:cs="Times New Roman"/>
        </w:rPr>
      </w:pPr>
      <w:bookmarkStart w:id="204" w:name="_Toc44433468"/>
      <w:r w:rsidRPr="005A1F62">
        <w:rPr>
          <w:rFonts w:ascii="Times New Roman" w:hAnsi="Times New Roman" w:cs="Times New Roman"/>
        </w:rPr>
        <w:t>Корпоративное управление, бизнес-процессы и информационная прозрачность</w:t>
      </w:r>
      <w:bookmarkEnd w:id="201"/>
      <w:bookmarkEnd w:id="202"/>
      <w:bookmarkEnd w:id="203"/>
      <w:bookmarkEnd w:id="204"/>
    </w:p>
    <w:p w14:paraId="2568F6C6" w14:textId="77777777" w:rsidR="00364531" w:rsidRPr="005A1F62" w:rsidRDefault="00364531" w:rsidP="00DC2FED">
      <w:pPr>
        <w:tabs>
          <w:tab w:val="left" w:pos="709"/>
        </w:tabs>
        <w:ind w:firstLine="567"/>
        <w:jc w:val="both"/>
        <w:rPr>
          <w:u w:val="single"/>
        </w:rPr>
      </w:pPr>
    </w:p>
    <w:p w14:paraId="39E9224C" w14:textId="78350760" w:rsidR="009B681E" w:rsidRPr="005A1F62" w:rsidRDefault="009B681E" w:rsidP="00DC2FED">
      <w:pPr>
        <w:tabs>
          <w:tab w:val="left" w:pos="709"/>
        </w:tabs>
        <w:ind w:firstLine="567"/>
        <w:jc w:val="both"/>
      </w:pPr>
      <w:r w:rsidRPr="005A1F62">
        <w:rPr>
          <w:u w:val="single"/>
        </w:rPr>
        <w:t>Цель оценки</w:t>
      </w:r>
      <w:r w:rsidR="0064794A" w:rsidRPr="005A1F62">
        <w:rPr>
          <w:u w:val="single"/>
        </w:rPr>
        <w:t>:</w:t>
      </w:r>
      <w:r w:rsidR="0064794A" w:rsidRPr="005A1F62">
        <w:t xml:space="preserve"> о</w:t>
      </w:r>
      <w:r w:rsidR="00A111C1" w:rsidRPr="005A1F62">
        <w:t>пределить, в какой степени</w:t>
      </w:r>
      <w:r w:rsidRPr="005A1F62">
        <w:t xml:space="preserve"> </w:t>
      </w:r>
      <w:r w:rsidR="00A111C1" w:rsidRPr="005A1F62">
        <w:t>систем</w:t>
      </w:r>
      <w:r w:rsidR="00FE0414" w:rsidRPr="005A1F62">
        <w:t xml:space="preserve">а </w:t>
      </w:r>
      <w:r w:rsidR="00A111C1" w:rsidRPr="005A1F62">
        <w:t>корпоративного управления, информационная прозрачность и бизнес-процессы обеспечивают</w:t>
      </w:r>
      <w:r w:rsidRPr="005A1F62">
        <w:t xml:space="preserve"> конкурентоспособность и инвестиционную привлекательность </w:t>
      </w:r>
      <w:r w:rsidR="00CD2645" w:rsidRPr="005A1F62">
        <w:t xml:space="preserve">банка </w:t>
      </w:r>
      <w:r w:rsidRPr="005A1F62">
        <w:t>в среднесрочной перспективе</w:t>
      </w:r>
      <w:r w:rsidR="005E36C4" w:rsidRPr="005A1F62">
        <w:t>.</w:t>
      </w:r>
    </w:p>
    <w:p w14:paraId="3FD584DE" w14:textId="155B8031" w:rsidR="00CD2645" w:rsidRPr="005A1F62" w:rsidRDefault="00CD2645" w:rsidP="00DC2FED">
      <w:pPr>
        <w:tabs>
          <w:tab w:val="left" w:pos="709"/>
        </w:tabs>
        <w:ind w:firstLine="567"/>
        <w:jc w:val="both"/>
      </w:pPr>
      <w:r w:rsidRPr="005A1F62">
        <w:t>Уровень системы корпоративного управления</w:t>
      </w:r>
      <w:r w:rsidR="00276D23" w:rsidRPr="005A1F62">
        <w:t xml:space="preserve"> и информационной прозрачности</w:t>
      </w:r>
      <w:r w:rsidRPr="005A1F62">
        <w:t>,</w:t>
      </w:r>
      <w:r w:rsidR="00CD78CF" w:rsidRPr="005A1F62">
        <w:t xml:space="preserve"> </w:t>
      </w:r>
      <w:r w:rsidRPr="005A1F62">
        <w:t>качеств</w:t>
      </w:r>
      <w:r w:rsidR="00276D23" w:rsidRPr="005A1F62">
        <w:t>о</w:t>
      </w:r>
      <w:r w:rsidRPr="005A1F62">
        <w:t xml:space="preserve"> бизнес-процессов связан</w:t>
      </w:r>
      <w:r w:rsidR="00276D23" w:rsidRPr="005A1F62">
        <w:t>ы</w:t>
      </w:r>
      <w:r w:rsidRPr="005A1F62">
        <w:t xml:space="preserve"> с уровнем </w:t>
      </w:r>
      <w:r w:rsidR="00276D23" w:rsidRPr="005A1F62">
        <w:t>кредитоспособности</w:t>
      </w:r>
      <w:r w:rsidRPr="005A1F62">
        <w:t xml:space="preserve"> банка</w:t>
      </w:r>
      <w:r w:rsidR="0064794A" w:rsidRPr="005A1F62">
        <w:t>,</w:t>
      </w:r>
      <w:r w:rsidRPr="005A1F62">
        <w:t xml:space="preserve"> </w:t>
      </w:r>
      <w:r w:rsidR="001A17E6" w:rsidRPr="005A1F62">
        <w:t xml:space="preserve">в том числе </w:t>
      </w:r>
      <w:r w:rsidRPr="005A1F62">
        <w:t>за счет следующих факторов:</w:t>
      </w:r>
    </w:p>
    <w:p w14:paraId="7D570885" w14:textId="77777777" w:rsidR="00CD2645" w:rsidRPr="005A1F62" w:rsidRDefault="00CD2645" w:rsidP="00B73C6D">
      <w:pPr>
        <w:pStyle w:val="afb"/>
        <w:numPr>
          <w:ilvl w:val="0"/>
          <w:numId w:val="70"/>
        </w:numPr>
        <w:jc w:val="both"/>
      </w:pPr>
      <w:r w:rsidRPr="005A1F62">
        <w:t>Системы корпоративного управления призваны предотвращать принятие банком избыточных рисков</w:t>
      </w:r>
      <w:r w:rsidR="001A17E6" w:rsidRPr="005A1F62">
        <w:t>.</w:t>
      </w:r>
    </w:p>
    <w:p w14:paraId="0EEEC849" w14:textId="77777777" w:rsidR="00276D23" w:rsidRPr="005A1F62" w:rsidRDefault="00276D23" w:rsidP="00B73C6D">
      <w:pPr>
        <w:pStyle w:val="afb"/>
        <w:numPr>
          <w:ilvl w:val="0"/>
          <w:numId w:val="70"/>
        </w:numPr>
        <w:jc w:val="both"/>
      </w:pPr>
      <w:r w:rsidRPr="005A1F62">
        <w:t>Информационная прозрачность, как правило, положительно влияет на репутацию. Дополнительное внимание к прозрачности обусловлено тем, что она косвенно снижает вероятность наличия т</w:t>
      </w:r>
      <w:r w:rsidR="001A17E6" w:rsidRPr="005A1F62">
        <w:t>ак называемых</w:t>
      </w:r>
      <w:r w:rsidRPr="005A1F62">
        <w:t xml:space="preserve"> замаскированных факторов риска.</w:t>
      </w:r>
    </w:p>
    <w:p w14:paraId="798656A2" w14:textId="77777777" w:rsidR="00CD2645" w:rsidRPr="005A1F62" w:rsidRDefault="00CD2645" w:rsidP="00B73C6D">
      <w:pPr>
        <w:pStyle w:val="afb"/>
        <w:numPr>
          <w:ilvl w:val="0"/>
          <w:numId w:val="70"/>
        </w:numPr>
        <w:jc w:val="both"/>
      </w:pPr>
      <w:r w:rsidRPr="005A1F62">
        <w:t xml:space="preserve">Система корпоративного управления, качественные бизнес-процессы, практика раскрытия важной для инвесторов информации </w:t>
      </w:r>
      <w:r w:rsidR="00276D23" w:rsidRPr="005A1F62">
        <w:t xml:space="preserve">формируют </w:t>
      </w:r>
      <w:r w:rsidRPr="005A1F62">
        <w:t xml:space="preserve">нематериальные активы (гудвилл) банка; эти активы предопределяют </w:t>
      </w:r>
      <w:r w:rsidR="00276D23" w:rsidRPr="005A1F62">
        <w:t xml:space="preserve">конкурентоспособность и </w:t>
      </w:r>
      <w:r w:rsidRPr="005A1F62">
        <w:t xml:space="preserve">способность </w:t>
      </w:r>
      <w:r w:rsidR="001A17E6" w:rsidRPr="005A1F62">
        <w:t xml:space="preserve">банка </w:t>
      </w:r>
      <w:r w:rsidRPr="005A1F62">
        <w:t>генерировать прибыль в среднесрочной перспективе</w:t>
      </w:r>
      <w:r w:rsidR="001A17E6" w:rsidRPr="005A1F62">
        <w:t>.</w:t>
      </w:r>
    </w:p>
    <w:p w14:paraId="31B674F2" w14:textId="77777777" w:rsidR="00CD2645" w:rsidRPr="005A1F62" w:rsidRDefault="00276D23" w:rsidP="00B73C6D">
      <w:pPr>
        <w:pStyle w:val="afb"/>
        <w:numPr>
          <w:ilvl w:val="0"/>
          <w:numId w:val="70"/>
        </w:numPr>
        <w:jc w:val="both"/>
      </w:pPr>
      <w:r w:rsidRPr="005A1F62">
        <w:t xml:space="preserve">Система корпоративного управления, качественные бизнес-процессы, практика раскрытия важной для инвесторов информации </w:t>
      </w:r>
      <w:r w:rsidR="00CD2645" w:rsidRPr="005A1F62">
        <w:t>могут позитивно повлиять на инвестиционную привлекательность: при угрозе дефолта привлечение нового инвестора вероятнее в капитал банк</w:t>
      </w:r>
      <w:r w:rsidR="001A17E6" w:rsidRPr="005A1F62">
        <w:t>а</w:t>
      </w:r>
      <w:r w:rsidR="00CD2645" w:rsidRPr="005A1F62">
        <w:t xml:space="preserve"> со значительными нематериал</w:t>
      </w:r>
      <w:r w:rsidRPr="005A1F62">
        <w:t xml:space="preserve">ьными активами, чем без таковых. </w:t>
      </w:r>
    </w:p>
    <w:p w14:paraId="3FB13790" w14:textId="77777777" w:rsidR="009B681E" w:rsidRPr="005A1F62" w:rsidRDefault="009B681E" w:rsidP="00DC2FED">
      <w:pPr>
        <w:tabs>
          <w:tab w:val="left" w:pos="709"/>
        </w:tabs>
        <w:ind w:firstLine="567"/>
      </w:pPr>
    </w:p>
    <w:p w14:paraId="0CAD6C60" w14:textId="77777777" w:rsidR="009B681E" w:rsidRPr="005A1F62" w:rsidRDefault="009B681E" w:rsidP="00DC2FED">
      <w:pPr>
        <w:tabs>
          <w:tab w:val="left" w:pos="709"/>
        </w:tabs>
        <w:ind w:firstLine="567"/>
        <w:rPr>
          <w:u w:val="single"/>
        </w:rPr>
      </w:pPr>
      <w:r w:rsidRPr="005A1F62">
        <w:rPr>
          <w:u w:val="single"/>
        </w:rPr>
        <w:t>Алгоритм выставления оценки</w:t>
      </w:r>
    </w:p>
    <w:p w14:paraId="1A17C2F7" w14:textId="25BBE710" w:rsidR="00A55F91" w:rsidRPr="005A1F62" w:rsidRDefault="00A55F91" w:rsidP="00A55F91">
      <w:pPr>
        <w:tabs>
          <w:tab w:val="left" w:pos="709"/>
        </w:tabs>
        <w:jc w:val="both"/>
      </w:pPr>
      <w:bookmarkStart w:id="205" w:name="_Hlk2160780"/>
    </w:p>
    <w:p w14:paraId="609C99B5" w14:textId="3443987F" w:rsidR="00A55F91" w:rsidRPr="005A1F62" w:rsidRDefault="00A55F91" w:rsidP="00A55F91">
      <w:pPr>
        <w:pStyle w:val="RAEXdefault"/>
        <w:ind w:firstLine="360"/>
        <w:rPr>
          <w:rFonts w:cs="Times New Roman"/>
          <w:lang w:val="ru-RU"/>
        </w:rPr>
      </w:pPr>
      <w:r w:rsidRPr="005A1F62">
        <w:rPr>
          <w:rFonts w:cs="Times New Roman"/>
          <w:lang w:val="ru-RU"/>
        </w:rPr>
        <w:t>Базовой оценкой фактора «Корпоративное управление, бизнес-процессы и информационная прозрачность» выступает балл 0, что является средним уровнем качества корпоративного управления, бизнес-процессов и информационной прозрачности в российских банках. На основании экспертного суждения</w:t>
      </w:r>
      <w:r w:rsidR="00704C28" w:rsidRPr="005A1F62">
        <w:rPr>
          <w:rFonts w:cs="Times New Roman"/>
          <w:lang w:val="ru-RU"/>
        </w:rPr>
        <w:t xml:space="preserve"> оценка</w:t>
      </w:r>
      <w:r w:rsidRPr="005A1F62">
        <w:rPr>
          <w:rFonts w:cs="Times New Roman"/>
          <w:lang w:val="ru-RU"/>
        </w:rPr>
        <w:t xml:space="preserve"> фактор</w:t>
      </w:r>
      <w:r w:rsidR="00704C28" w:rsidRPr="005A1F62">
        <w:rPr>
          <w:rFonts w:cs="Times New Roman"/>
          <w:lang w:val="ru-RU"/>
        </w:rPr>
        <w:t>а</w:t>
      </w:r>
      <w:r w:rsidRPr="005A1F62">
        <w:rPr>
          <w:rFonts w:cs="Times New Roman"/>
          <w:lang w:val="ru-RU"/>
        </w:rPr>
        <w:t xml:space="preserve"> может корректироваться</w:t>
      </w:r>
      <w:r w:rsidR="00704C28" w:rsidRPr="005A1F62">
        <w:rPr>
          <w:rFonts w:cs="Times New Roman"/>
          <w:lang w:val="ru-RU"/>
        </w:rPr>
        <w:t xml:space="preserve"> с шагом 0,25</w:t>
      </w:r>
      <w:r w:rsidRPr="005A1F62">
        <w:rPr>
          <w:rFonts w:cs="Times New Roman"/>
          <w:lang w:val="ru-RU"/>
        </w:rPr>
        <w:t xml:space="preserve"> как вверх (вплоть до 1), так и вниз (вплоть до -1).</w:t>
      </w:r>
      <w:r w:rsidR="00734F11" w:rsidRPr="005A1F62">
        <w:rPr>
          <w:rFonts w:cs="Times New Roman"/>
          <w:lang w:val="ru-RU"/>
        </w:rPr>
        <w:t xml:space="preserve"> </w:t>
      </w:r>
    </w:p>
    <w:p w14:paraId="72C1A691" w14:textId="77777777" w:rsidR="00A55F91" w:rsidRPr="005A1F62" w:rsidRDefault="00A55F91" w:rsidP="00A55F91"/>
    <w:p w14:paraId="0A200583" w14:textId="77777777" w:rsidR="00A55F91" w:rsidRPr="005A1F62" w:rsidRDefault="00A55F91" w:rsidP="00A55F91">
      <w:pPr>
        <w:ind w:firstLine="360"/>
      </w:pPr>
      <w:r w:rsidRPr="005A1F62">
        <w:t>Основаниями для корректировки балла вниз могут выступать:</w:t>
      </w:r>
    </w:p>
    <w:p w14:paraId="09801762" w14:textId="5E06BA65" w:rsidR="00A55F91" w:rsidRPr="005A1F62" w:rsidRDefault="00A55F91" w:rsidP="00B73C6D">
      <w:pPr>
        <w:pStyle w:val="afb"/>
        <w:numPr>
          <w:ilvl w:val="0"/>
          <w:numId w:val="60"/>
        </w:numPr>
        <w:jc w:val="both"/>
      </w:pPr>
      <w:r w:rsidRPr="005A1F62">
        <w:t>Наличие признаков формального функционирования Совета директоров</w:t>
      </w:r>
      <w:r w:rsidR="004D4CDB" w:rsidRPr="005A1F62">
        <w:t xml:space="preserve"> или Наблюдательного совета</w:t>
      </w:r>
      <w:r w:rsidR="004D4CDB" w:rsidRPr="005A1F62">
        <w:rPr>
          <w:rStyle w:val="a9"/>
        </w:rPr>
        <w:footnoteReference w:id="32"/>
      </w:r>
      <w:r w:rsidRPr="005A1F62">
        <w:t xml:space="preserve">. В числе прочего об этом может свидетельствовать принятие решений по значимым вопросам в рамках компетенции совета директоров без проведения его заседаний либо практика заочных заседаний, голосование по доверенности, крайне распространенное голосование без расхождения мнений </w:t>
      </w:r>
      <w:r w:rsidRPr="005A1F62">
        <w:lastRenderedPageBreak/>
        <w:t>участников Совета директоров (единогласное голосование, зафиксированное в протоколах заседаний) и т. д.;</w:t>
      </w:r>
    </w:p>
    <w:p w14:paraId="120DC533" w14:textId="2F566444" w:rsidR="00A55F91" w:rsidRPr="005A1F62" w:rsidRDefault="00A55F91" w:rsidP="00B73C6D">
      <w:pPr>
        <w:pStyle w:val="afb"/>
        <w:numPr>
          <w:ilvl w:val="0"/>
          <w:numId w:val="60"/>
        </w:numPr>
        <w:jc w:val="both"/>
      </w:pPr>
      <w:r w:rsidRPr="005A1F62">
        <w:t xml:space="preserve">Наличие сомнений в компетенции членов СД и </w:t>
      </w:r>
      <w:r w:rsidR="00DF69DC" w:rsidRPr="005A1F62">
        <w:t>(</w:t>
      </w:r>
      <w:r w:rsidRPr="005A1F62">
        <w:t>или</w:t>
      </w:r>
      <w:r w:rsidR="00DF69DC" w:rsidRPr="005A1F62">
        <w:t>)</w:t>
      </w:r>
      <w:r w:rsidRPr="005A1F62">
        <w:t xml:space="preserve"> Правления (малый опыт работы в финансовой сфере или отсутствие профильного высшего образования) или их деловой репутации (например, члены СД и </w:t>
      </w:r>
      <w:r w:rsidR="00DF69DC" w:rsidRPr="005A1F62">
        <w:t>(</w:t>
      </w:r>
      <w:r w:rsidRPr="005A1F62">
        <w:t>или</w:t>
      </w:r>
      <w:r w:rsidR="00DF69DC" w:rsidRPr="005A1F62">
        <w:t>)</w:t>
      </w:r>
      <w:r w:rsidRPr="005A1F62">
        <w:t xml:space="preserve"> Правления руководили или являлись собственниками иных организаци</w:t>
      </w:r>
      <w:r w:rsidR="008F1234" w:rsidRPr="005A1F62">
        <w:t xml:space="preserve">й </w:t>
      </w:r>
      <w:r w:rsidRPr="005A1F62">
        <w:t>финансового и нефинансового сектора, которые впоследствии допустили дефолт / лицензия которых была отозвана или которые были переданы на санацию, если данные физлица при этом занимали руководящие должности до дефолта / санации));</w:t>
      </w:r>
    </w:p>
    <w:p w14:paraId="3552EAA7" w14:textId="5A01FADB" w:rsidR="00A55F91" w:rsidRPr="005A1F62" w:rsidRDefault="00A55F91" w:rsidP="00B73C6D">
      <w:pPr>
        <w:pStyle w:val="afb"/>
        <w:numPr>
          <w:ilvl w:val="0"/>
          <w:numId w:val="60"/>
        </w:numPr>
        <w:jc w:val="both"/>
      </w:pPr>
      <w:r w:rsidRPr="005A1F62">
        <w:t xml:space="preserve">Сложная и </w:t>
      </w:r>
      <w:r w:rsidR="00DF69DC" w:rsidRPr="005A1F62">
        <w:t>(</w:t>
      </w:r>
      <w:r w:rsidRPr="005A1F62">
        <w:t>или</w:t>
      </w:r>
      <w:r w:rsidR="00DF69DC" w:rsidRPr="005A1F62">
        <w:t>)</w:t>
      </w:r>
      <w:r w:rsidRPr="005A1F62">
        <w:t xml:space="preserve"> непрозрачная организационная структура банка;</w:t>
      </w:r>
    </w:p>
    <w:p w14:paraId="4900DA31" w14:textId="74D41DDC" w:rsidR="00A55F91" w:rsidRPr="005A1F62" w:rsidRDefault="00A55F91" w:rsidP="00B73C6D">
      <w:pPr>
        <w:pStyle w:val="afb"/>
        <w:numPr>
          <w:ilvl w:val="0"/>
          <w:numId w:val="60"/>
        </w:numPr>
        <w:jc w:val="both"/>
      </w:pPr>
      <w:r w:rsidRPr="005A1F62">
        <w:t>Наличие недостатков организационной структуры, при которых резко возрастают риски финансовых потерь (например, на одном и том же структурном подразделении банка концентрируются функции принятия и управления рисками);</w:t>
      </w:r>
      <w:r w:rsidRPr="005A1F62" w:rsidDel="003B22D2">
        <w:t xml:space="preserve"> </w:t>
      </w:r>
    </w:p>
    <w:p w14:paraId="40BF5541" w14:textId="77777777" w:rsidR="00A55F91" w:rsidRPr="005A1F62" w:rsidRDefault="00A55F91" w:rsidP="00B73C6D">
      <w:pPr>
        <w:pStyle w:val="afb"/>
        <w:numPr>
          <w:ilvl w:val="0"/>
          <w:numId w:val="60"/>
        </w:numPr>
        <w:jc w:val="both"/>
      </w:pPr>
      <w:r w:rsidRPr="005A1F62">
        <w:t>Частые изменения в составе СД, частые смены председателя правления или иных ключевых лиц банка;</w:t>
      </w:r>
    </w:p>
    <w:p w14:paraId="07367516" w14:textId="77777777" w:rsidR="00A55F91" w:rsidRPr="005A1F62" w:rsidRDefault="00A55F91" w:rsidP="00B73C6D">
      <w:pPr>
        <w:pStyle w:val="afb"/>
        <w:numPr>
          <w:ilvl w:val="0"/>
          <w:numId w:val="60"/>
        </w:numPr>
        <w:jc w:val="both"/>
      </w:pPr>
      <w:r w:rsidRPr="005A1F62">
        <w:t>Низкий уровень регламентации прав и обязанностей членов СД во внутренних документах банка;</w:t>
      </w:r>
    </w:p>
    <w:p w14:paraId="4F3671A2" w14:textId="77777777" w:rsidR="00A55F91" w:rsidRPr="005A1F62" w:rsidRDefault="00A55F91" w:rsidP="00B73C6D">
      <w:pPr>
        <w:pStyle w:val="afb"/>
        <w:numPr>
          <w:ilvl w:val="0"/>
          <w:numId w:val="60"/>
        </w:numPr>
        <w:jc w:val="both"/>
      </w:pPr>
      <w:r w:rsidRPr="005A1F62">
        <w:t>Корпоративное управление банка характеризуется чрезмерной концентрацией на ключевой фигуре / фигурах топ-менеджеров (потеря отдельных руководящих сотрудников может привести к существенному ухудшению операционной деятельности банка, в т.ч. в результате потери значимых клиентов и (или) неспособности эффективно продолжать деятельность в определенных сегментах) или подвержено существенному внешнему влиянию (в том числе, административному и (или) политическому);</w:t>
      </w:r>
    </w:p>
    <w:p w14:paraId="76B226DE" w14:textId="77777777" w:rsidR="00A55F91" w:rsidRPr="005A1F62" w:rsidRDefault="00A55F91" w:rsidP="00B73C6D">
      <w:pPr>
        <w:pStyle w:val="afb"/>
        <w:numPr>
          <w:ilvl w:val="0"/>
          <w:numId w:val="60"/>
        </w:numPr>
        <w:jc w:val="both"/>
      </w:pPr>
      <w:r w:rsidRPr="005A1F62">
        <w:t>Наличие у Агентства информации о принятых Банком России решениях о привлечении к административной ответственности должностных лиц, являющихся единоличными исполнительными органами, по статье 15.27 КоАП «Неисполнение требований законодательства о противодействии легализации (отмыванию) доходов, полученных преступным путем, и финансированию терроризма» за последние 24 месяца;</w:t>
      </w:r>
    </w:p>
    <w:p w14:paraId="2B8A1CBE" w14:textId="77777777" w:rsidR="00A55F91" w:rsidRPr="005A1F62" w:rsidRDefault="00A55F91" w:rsidP="00B73C6D">
      <w:pPr>
        <w:pStyle w:val="afb"/>
        <w:numPr>
          <w:ilvl w:val="0"/>
          <w:numId w:val="60"/>
        </w:numPr>
        <w:jc w:val="both"/>
      </w:pPr>
      <w:r w:rsidRPr="005A1F62">
        <w:t>Выявлено явное несоответствие текущей деятельности банка и ее результатов стратегическим ориентирам развития, установленным Общим собранием акционеров (участников) и Советом директоров и закрепленным такими внутренними документами банка, как стратегия развития и бизнес-план;</w:t>
      </w:r>
    </w:p>
    <w:p w14:paraId="6C7D75DE" w14:textId="77777777" w:rsidR="00A55F91" w:rsidRPr="005A1F62" w:rsidRDefault="00A55F91" w:rsidP="00B73C6D">
      <w:pPr>
        <w:pStyle w:val="afb"/>
        <w:numPr>
          <w:ilvl w:val="0"/>
          <w:numId w:val="60"/>
        </w:numPr>
        <w:jc w:val="both"/>
      </w:pPr>
      <w:r w:rsidRPr="005A1F62">
        <w:t>Наличие признаков неэффективности бизнес-модели банка, такие как устойчивая убыточность и потеря капитала (по оценкам Агентства), потеря конкурентных позиций в ключевых для банка рыночных сегментах, продолжительный отток клиентской базы;</w:t>
      </w:r>
    </w:p>
    <w:p w14:paraId="241FC57A" w14:textId="77777777" w:rsidR="00A55F91" w:rsidRPr="005A1F62" w:rsidRDefault="00A55F91" w:rsidP="00B73C6D">
      <w:pPr>
        <w:pStyle w:val="afb"/>
        <w:numPr>
          <w:ilvl w:val="0"/>
          <w:numId w:val="60"/>
        </w:numPr>
        <w:jc w:val="both"/>
      </w:pPr>
      <w:r w:rsidRPr="005A1F62">
        <w:t>Сотрудничество банка с аудитором по последней подготовленной отчетности (при сотрудничестве с разными аудиторами по национальным и международным стандартам оценивается репутация аудитора по международным стандартам), имеющим плохую деловую репутацию. Агентство может оценивать деловую репутацию как плохую на основании фактов заверения недостоверной отчетности, приостановления членства в СРО, а также другой негативной информации;</w:t>
      </w:r>
    </w:p>
    <w:p w14:paraId="71E7AEA9" w14:textId="77777777" w:rsidR="00A55F91" w:rsidRPr="005A1F62" w:rsidRDefault="00A55F91" w:rsidP="00B73C6D">
      <w:pPr>
        <w:pStyle w:val="afb"/>
        <w:numPr>
          <w:ilvl w:val="0"/>
          <w:numId w:val="60"/>
        </w:numPr>
        <w:jc w:val="both"/>
      </w:pPr>
      <w:r w:rsidRPr="005A1F62">
        <w:t>Банк продолжительное время не осуществляет ротацию аудиторской фирмы;</w:t>
      </w:r>
    </w:p>
    <w:p w14:paraId="60248553" w14:textId="77777777" w:rsidR="00A55F91" w:rsidRPr="005A1F62" w:rsidRDefault="00A55F91" w:rsidP="00B73C6D">
      <w:pPr>
        <w:pStyle w:val="afb"/>
        <w:numPr>
          <w:ilvl w:val="0"/>
          <w:numId w:val="60"/>
        </w:numPr>
        <w:jc w:val="both"/>
      </w:pPr>
      <w:r w:rsidRPr="005A1F62">
        <w:t>Неоптимальная численность сотрудников, занимающихся финансовым мониторингом, относительно масштаба деятельности банка;</w:t>
      </w:r>
    </w:p>
    <w:p w14:paraId="741BABC6" w14:textId="77167EE5" w:rsidR="00A55F91" w:rsidRPr="005A1F62" w:rsidRDefault="00A55F91" w:rsidP="00B73C6D">
      <w:pPr>
        <w:pStyle w:val="afb"/>
        <w:numPr>
          <w:ilvl w:val="0"/>
          <w:numId w:val="60"/>
        </w:numPr>
        <w:jc w:val="both"/>
      </w:pPr>
      <w:r w:rsidRPr="005A1F62">
        <w:t xml:space="preserve">Наличии у Агентства информации о существенных замечаниях Банка России к эффективности СВК банка </w:t>
      </w:r>
      <w:r w:rsidR="00D4499F" w:rsidRPr="005A1F62">
        <w:t xml:space="preserve">и (или) Службы финансового мониторинга и (или) ответственного сотрудника по противодействию легализации (отмыванию) доходов, </w:t>
      </w:r>
      <w:r w:rsidR="00D4499F" w:rsidRPr="005A1F62">
        <w:lastRenderedPageBreak/>
        <w:t xml:space="preserve">полученных преступным путем, и финансированию терроризма </w:t>
      </w:r>
      <w:r w:rsidRPr="005A1F62">
        <w:t>(</w:t>
      </w:r>
      <w:r w:rsidR="008F1234" w:rsidRPr="005A1F62">
        <w:t>например</w:t>
      </w:r>
      <w:r w:rsidRPr="005A1F62">
        <w:t>, о сомнительной оценке ПУ5 в соответствии с Указанием Банка России № 4336-У);</w:t>
      </w:r>
    </w:p>
    <w:p w14:paraId="6499B6F9" w14:textId="77777777" w:rsidR="00A55F91" w:rsidRPr="005A1F62" w:rsidRDefault="00A55F91" w:rsidP="00B73C6D">
      <w:pPr>
        <w:pStyle w:val="afb"/>
        <w:numPr>
          <w:ilvl w:val="0"/>
          <w:numId w:val="60"/>
        </w:numPr>
        <w:jc w:val="both"/>
      </w:pPr>
      <w:r w:rsidRPr="005A1F62">
        <w:t>Наличие у Агентства информации о прецедентах вмешательства ключевых собственников (не состоящих в органах управления) в процесс принятия решений в обход действующих органов управления (например, минуя либо применяя формально процедуры риск-менеджмента и контроля конфликта интересов) или прецеденты превышения полномочий собственниками, входящими в состав органов управления;</w:t>
      </w:r>
    </w:p>
    <w:p w14:paraId="780D6BF5" w14:textId="77777777" w:rsidR="00A55F91" w:rsidRPr="005A1F62" w:rsidRDefault="00A55F91" w:rsidP="00B73C6D">
      <w:pPr>
        <w:pStyle w:val="afb"/>
        <w:numPr>
          <w:ilvl w:val="0"/>
          <w:numId w:val="60"/>
        </w:numPr>
        <w:jc w:val="both"/>
      </w:pPr>
      <w:r w:rsidRPr="005A1F62">
        <w:t>В ИТ-сфере банк характеризуется критической зависимостью от внешних специалистов (риск резкого завышения стоимости поддержания функционирования ИТ-систем), или от сотрудников (высокий риск невозможности модернизации «</w:t>
      </w:r>
      <w:proofErr w:type="spellStart"/>
      <w:r w:rsidRPr="005A1F62">
        <w:t>самописных</w:t>
      </w:r>
      <w:proofErr w:type="spellEnd"/>
      <w:r w:rsidRPr="005A1F62">
        <w:t>» программ при увольнении их разработчиков);</w:t>
      </w:r>
    </w:p>
    <w:p w14:paraId="35F39FB9" w14:textId="77777777" w:rsidR="00A55F91" w:rsidRPr="005A1F62" w:rsidRDefault="00A55F91" w:rsidP="00B73C6D">
      <w:pPr>
        <w:pStyle w:val="afb"/>
        <w:numPr>
          <w:ilvl w:val="0"/>
          <w:numId w:val="60"/>
        </w:numPr>
        <w:jc w:val="both"/>
      </w:pPr>
      <w:r w:rsidRPr="005A1F62">
        <w:t>Банк не располагает резервными серверами и каналами связи, не обеспечено регулярное резервное копирование данных;</w:t>
      </w:r>
    </w:p>
    <w:p w14:paraId="5E4350A6" w14:textId="77777777" w:rsidR="00A55F91" w:rsidRPr="005A1F62" w:rsidRDefault="00A55F91" w:rsidP="00B73C6D">
      <w:pPr>
        <w:pStyle w:val="afb"/>
        <w:numPr>
          <w:ilvl w:val="0"/>
          <w:numId w:val="60"/>
        </w:numPr>
        <w:jc w:val="both"/>
      </w:pPr>
      <w:r w:rsidRPr="005A1F62">
        <w:t>Наличие фактов утечки клиентских данных из корпоративной сети банка в последние два года;</w:t>
      </w:r>
    </w:p>
    <w:p w14:paraId="5779E557" w14:textId="77777777" w:rsidR="00A55F91" w:rsidRPr="005A1F62" w:rsidRDefault="00A55F91" w:rsidP="00B73C6D">
      <w:pPr>
        <w:pStyle w:val="afb"/>
        <w:numPr>
          <w:ilvl w:val="0"/>
          <w:numId w:val="60"/>
        </w:numPr>
        <w:jc w:val="both"/>
      </w:pPr>
      <w:r w:rsidRPr="005A1F62">
        <w:t>Непрозрачность структуры группы, в которую входит банк (наличия непрозрачных сделок со связанными сторонами, транзакций между компаниями группы без очевидного экономического смысла);</w:t>
      </w:r>
    </w:p>
    <w:p w14:paraId="7A60302A" w14:textId="77777777" w:rsidR="00A55F91" w:rsidRPr="005A1F62" w:rsidRDefault="00A55F91" w:rsidP="00B73C6D">
      <w:pPr>
        <w:pStyle w:val="afb"/>
        <w:numPr>
          <w:ilvl w:val="0"/>
          <w:numId w:val="60"/>
        </w:numPr>
        <w:jc w:val="both"/>
      </w:pPr>
      <w:r w:rsidRPr="005A1F62">
        <w:t>Низкий уровень информационной прозрачности для неограниченного круга лиц (например, банк не раскрывает информацию, которую раскрывает большинство других российских банков схожей специализации) или при взаимодействии с Агентством (например, банк отказался отвечать на дополнительные вопросы Агентства);</w:t>
      </w:r>
    </w:p>
    <w:p w14:paraId="372FCFEE" w14:textId="177AF7AB" w:rsidR="00A55F91" w:rsidRPr="005A1F62" w:rsidRDefault="00A55F91" w:rsidP="00B73C6D">
      <w:pPr>
        <w:pStyle w:val="afb"/>
        <w:numPr>
          <w:ilvl w:val="0"/>
          <w:numId w:val="60"/>
        </w:numPr>
        <w:jc w:val="both"/>
      </w:pPr>
      <w:r w:rsidRPr="005A1F62">
        <w:t>Прочие факты, свидетельствующие о неоптимальной организации корпоративного управления, бизнес-процессов, организационной структуры банка, ИТ-систем.</w:t>
      </w:r>
    </w:p>
    <w:p w14:paraId="40489CDA" w14:textId="77777777" w:rsidR="00A55F91" w:rsidRPr="005A1F62" w:rsidRDefault="00A55F91" w:rsidP="00A55F91"/>
    <w:p w14:paraId="3CB6244C" w14:textId="1A6FB967" w:rsidR="00A55F91" w:rsidRPr="005A1F62" w:rsidRDefault="00A55F91" w:rsidP="00A55F91">
      <w:pPr>
        <w:ind w:firstLine="360"/>
        <w:jc w:val="both"/>
      </w:pPr>
      <w:r w:rsidRPr="005A1F62">
        <w:t>Основаниями для корректировки балла вверх могут выступать:</w:t>
      </w:r>
    </w:p>
    <w:p w14:paraId="329B4DEE" w14:textId="77777777" w:rsidR="00A55F91" w:rsidRPr="005A1F62" w:rsidRDefault="00A55F91" w:rsidP="00B73C6D">
      <w:pPr>
        <w:pStyle w:val="afb"/>
        <w:numPr>
          <w:ilvl w:val="0"/>
          <w:numId w:val="60"/>
        </w:numPr>
        <w:jc w:val="both"/>
      </w:pPr>
      <w:r w:rsidRPr="005A1F62">
        <w:t>Исключительно высокий уровень компетенции и деловой репутации членов СД и исполнительных органов;</w:t>
      </w:r>
    </w:p>
    <w:p w14:paraId="0B096088" w14:textId="77777777" w:rsidR="00A55F91" w:rsidRPr="005A1F62" w:rsidRDefault="00A55F91" w:rsidP="00B73C6D">
      <w:pPr>
        <w:pStyle w:val="afb"/>
        <w:numPr>
          <w:ilvl w:val="0"/>
          <w:numId w:val="60"/>
        </w:numPr>
        <w:jc w:val="both"/>
      </w:pPr>
      <w:r w:rsidRPr="005A1F62">
        <w:t>В состав СД входят независимые директора</w:t>
      </w:r>
      <w:r w:rsidRPr="005A1F62">
        <w:rPr>
          <w:rStyle w:val="a9"/>
          <w:color w:val="000000"/>
          <w:sz w:val="20"/>
          <w:szCs w:val="20"/>
        </w:rPr>
        <w:footnoteReference w:id="33"/>
      </w:r>
      <w:r w:rsidRPr="005A1F62">
        <w:t>, которые действуют в интересах всех собственников, включая миноритарных (при наличии);</w:t>
      </w:r>
    </w:p>
    <w:p w14:paraId="01C8F64F" w14:textId="77777777" w:rsidR="00A55F91" w:rsidRPr="005A1F62" w:rsidRDefault="00A55F91" w:rsidP="00B73C6D">
      <w:pPr>
        <w:pStyle w:val="afb"/>
        <w:numPr>
          <w:ilvl w:val="0"/>
          <w:numId w:val="60"/>
        </w:numPr>
        <w:jc w:val="both"/>
      </w:pPr>
      <w:r w:rsidRPr="005A1F62">
        <w:t>Независимые директора составляют не менее 30% состава Совета директоров;</w:t>
      </w:r>
    </w:p>
    <w:p w14:paraId="159DF152" w14:textId="6F131C83" w:rsidR="00A55F91" w:rsidRPr="005A1F62" w:rsidRDefault="00A55F91" w:rsidP="00B73C6D">
      <w:pPr>
        <w:pStyle w:val="afb"/>
        <w:numPr>
          <w:ilvl w:val="0"/>
          <w:numId w:val="60"/>
        </w:numPr>
        <w:jc w:val="both"/>
      </w:pPr>
      <w:r w:rsidRPr="005A1F62">
        <w:t>Наличие комитетов при СД по вознаграждениям</w:t>
      </w:r>
      <w:r w:rsidRPr="005A1F62">
        <w:rPr>
          <w:rStyle w:val="a9"/>
          <w:color w:val="000000"/>
          <w:sz w:val="20"/>
          <w:szCs w:val="20"/>
        </w:rPr>
        <w:footnoteReference w:id="34"/>
      </w:r>
      <w:r w:rsidR="00DF69DC" w:rsidRPr="005A1F62">
        <w:t xml:space="preserve"> и (</w:t>
      </w:r>
      <w:r w:rsidRPr="005A1F62">
        <w:t>или</w:t>
      </w:r>
      <w:r w:rsidR="00DF69DC" w:rsidRPr="005A1F62">
        <w:t>)</w:t>
      </w:r>
      <w:r w:rsidRPr="005A1F62">
        <w:t xml:space="preserve"> по аудиту;</w:t>
      </w:r>
    </w:p>
    <w:p w14:paraId="673F883E" w14:textId="77777777" w:rsidR="00A55F91" w:rsidRPr="005A1F62" w:rsidRDefault="00A55F91" w:rsidP="00B73C6D">
      <w:pPr>
        <w:pStyle w:val="afb"/>
        <w:numPr>
          <w:ilvl w:val="0"/>
          <w:numId w:val="60"/>
        </w:numPr>
        <w:jc w:val="both"/>
      </w:pPr>
      <w:r w:rsidRPr="005A1F62">
        <w:t>Высокий уровень вовлечения членов СД в управление деятельностью банка (например, наличие поручений СД по результатам заседаний), наличие свидетельств контроля СД над деятельностью банка;</w:t>
      </w:r>
    </w:p>
    <w:p w14:paraId="0B5A9EE0" w14:textId="77777777" w:rsidR="00A55F91" w:rsidRPr="005A1F62" w:rsidRDefault="00A55F91" w:rsidP="00B73C6D">
      <w:pPr>
        <w:pStyle w:val="afb"/>
        <w:numPr>
          <w:ilvl w:val="0"/>
          <w:numId w:val="60"/>
        </w:numPr>
        <w:jc w:val="both"/>
      </w:pPr>
      <w:r w:rsidRPr="005A1F62">
        <w:t xml:space="preserve">Сотрудничество банка с аудитором по последней подготовленной отчетности (при сотрудничестве с разными аудиторами по национальным и международным стандартам оценивается репутация аудитора по международным стандартам), имеющим хорошую деловую репутацию. Агентство может оценивать деловую репутацию как высокую на основании известности бренда, отсутствия фактов </w:t>
      </w:r>
      <w:r w:rsidRPr="005A1F62">
        <w:lastRenderedPageBreak/>
        <w:t>заверения недостоверной отчетности и приостановления членства в СРО, а также другой информации;</w:t>
      </w:r>
    </w:p>
    <w:p w14:paraId="2E8D9D84" w14:textId="77777777" w:rsidR="00A55F91" w:rsidRPr="005A1F62" w:rsidRDefault="00A55F91" w:rsidP="00B73C6D">
      <w:pPr>
        <w:pStyle w:val="afb"/>
        <w:numPr>
          <w:ilvl w:val="0"/>
          <w:numId w:val="60"/>
        </w:numPr>
        <w:jc w:val="both"/>
      </w:pPr>
      <w:r w:rsidRPr="005A1F62">
        <w:t>Высокий уровень организации деятельности подразделений, осуществляющих управление рисками (численность сотрудников, их квалификация и компетенции соответствуют профилю рисков банка);</w:t>
      </w:r>
    </w:p>
    <w:p w14:paraId="09E095E4" w14:textId="77777777" w:rsidR="00A55F91" w:rsidRPr="005A1F62" w:rsidRDefault="00A55F91" w:rsidP="00B73C6D">
      <w:pPr>
        <w:pStyle w:val="afb"/>
        <w:numPr>
          <w:ilvl w:val="0"/>
          <w:numId w:val="60"/>
        </w:numPr>
        <w:jc w:val="both"/>
      </w:pPr>
      <w:r w:rsidRPr="005A1F62">
        <w:t xml:space="preserve">Степень диджитализации основных банковских услуг оценивается как высокая (в т.ч. есть возможность предоставления мобильного банкинга на различных операционных платформах, проведения бесконтактных платежей, отправки </w:t>
      </w:r>
      <w:proofErr w:type="spellStart"/>
      <w:r w:rsidRPr="005A1F62">
        <w:t>push</w:t>
      </w:r>
      <w:proofErr w:type="spellEnd"/>
      <w:r w:rsidRPr="005A1F62">
        <w:t>-уведомлений);</w:t>
      </w:r>
    </w:p>
    <w:p w14:paraId="07E30381" w14:textId="77777777" w:rsidR="00A55F91" w:rsidRPr="005A1F62" w:rsidRDefault="00A55F91" w:rsidP="00B73C6D">
      <w:pPr>
        <w:pStyle w:val="afb"/>
        <w:numPr>
          <w:ilvl w:val="0"/>
          <w:numId w:val="60"/>
        </w:numPr>
        <w:jc w:val="both"/>
      </w:pPr>
      <w:r w:rsidRPr="005A1F62">
        <w:t>Высокий уровень информационной прозрачности как для неограниченного круга лиц: банк публикует в открытых источниках больше информации, чем это требуется законодательно (например, банк ежеквартально публикует отчётность по МСФО, о крупных сделках, сделках с заинтересованностью и т.д.), так и в процессе взаимодействия с Агентством;</w:t>
      </w:r>
    </w:p>
    <w:p w14:paraId="2B0A1DC4" w14:textId="492EDFC2" w:rsidR="00A55F91" w:rsidRPr="005A1F62" w:rsidRDefault="00A55F91" w:rsidP="00B73C6D">
      <w:pPr>
        <w:pStyle w:val="afb"/>
        <w:numPr>
          <w:ilvl w:val="0"/>
          <w:numId w:val="60"/>
        </w:numPr>
        <w:jc w:val="both"/>
      </w:pPr>
      <w:bookmarkStart w:id="206" w:name="_Hlk43309923"/>
      <w:r w:rsidRPr="005A1F62">
        <w:t>Высокая эффективность и устойчивость бизнес-модели банка (в том числе</w:t>
      </w:r>
      <w:r w:rsidR="00F34720" w:rsidRPr="005A1F62">
        <w:t xml:space="preserve"> </w:t>
      </w:r>
      <w:r w:rsidRPr="005A1F62">
        <w:t xml:space="preserve">поддержание </w:t>
      </w:r>
      <w:r w:rsidRPr="005A1F66">
        <w:t>рентабельности капитала</w:t>
      </w:r>
      <w:r w:rsidR="00CA6EEC" w:rsidRPr="005A1F66">
        <w:t xml:space="preserve"> </w:t>
      </w:r>
      <w:r w:rsidR="00CE6130" w:rsidRPr="005A1F66">
        <w:t xml:space="preserve">(для банков на санации – рентабельности </w:t>
      </w:r>
      <w:r w:rsidR="001202D5" w:rsidRPr="005A1F62">
        <w:t xml:space="preserve">чистых </w:t>
      </w:r>
      <w:r w:rsidR="00CE6130" w:rsidRPr="005A1F62">
        <w:t>активов</w:t>
      </w:r>
      <w:r w:rsidR="00534F0B" w:rsidRPr="005A1F62">
        <w:t xml:space="preserve"> или рентабельность активов, взвешенных по уровню риска</w:t>
      </w:r>
      <w:r w:rsidR="00CE6130" w:rsidRPr="005A1F62">
        <w:t xml:space="preserve">) </w:t>
      </w:r>
      <w:r w:rsidR="00CA6EEC" w:rsidRPr="005A1F62">
        <w:t xml:space="preserve">на уровне </w:t>
      </w:r>
      <w:r w:rsidR="00F34720" w:rsidRPr="005A1F62">
        <w:t>не ниже среднерыночного</w:t>
      </w:r>
      <w:r w:rsidRPr="005A1F62">
        <w:t>);</w:t>
      </w:r>
    </w:p>
    <w:bookmarkEnd w:id="206"/>
    <w:p w14:paraId="3E24C0FE" w14:textId="77777777" w:rsidR="00A55F91" w:rsidRPr="005A1F62" w:rsidRDefault="00A55F91" w:rsidP="00B73C6D">
      <w:pPr>
        <w:pStyle w:val="afb"/>
        <w:numPr>
          <w:ilvl w:val="0"/>
          <w:numId w:val="60"/>
        </w:numPr>
        <w:jc w:val="both"/>
      </w:pPr>
      <w:r w:rsidRPr="005A1F62">
        <w:t>Устойчивое на протяжении последних лет выполнение или перевыполнение целевых показателей, закрепленных во внутренних документах банка (стратегия развития и бизнес-план);</w:t>
      </w:r>
    </w:p>
    <w:p w14:paraId="230CB37B" w14:textId="77777777" w:rsidR="00A55F91" w:rsidRPr="005A1F62" w:rsidRDefault="00A55F91" w:rsidP="00B73C6D">
      <w:pPr>
        <w:pStyle w:val="afb"/>
        <w:numPr>
          <w:ilvl w:val="0"/>
          <w:numId w:val="60"/>
        </w:numPr>
        <w:jc w:val="both"/>
      </w:pPr>
      <w:r w:rsidRPr="005A1F62">
        <w:t>Высокий уровень проведения рейтинговой встречи / интервью (при условии присутствия всех необходимых специалистов, прямых ответов на вопросы, готовности раскрываться (если отказ от ответа, то мотивированный), согласованности позиции участников встречи / интервью с предоставленной Агентству информацией);</w:t>
      </w:r>
    </w:p>
    <w:p w14:paraId="394E3C0B" w14:textId="77777777" w:rsidR="00A55F91" w:rsidRPr="005A1F62" w:rsidRDefault="00A55F91" w:rsidP="00B73C6D">
      <w:pPr>
        <w:pStyle w:val="afb"/>
        <w:numPr>
          <w:ilvl w:val="0"/>
          <w:numId w:val="60"/>
        </w:numPr>
        <w:jc w:val="both"/>
      </w:pPr>
      <w:r w:rsidRPr="005A1F62">
        <w:t>Прочие факты, свидетельствующие о высоком уровне организации корпоративного управления, бизнес-процессов, организационной структуры банка, ИТ-систем.</w:t>
      </w:r>
    </w:p>
    <w:p w14:paraId="349C05F0" w14:textId="77777777" w:rsidR="00A55F91" w:rsidRPr="005A1F62" w:rsidRDefault="00A55F91" w:rsidP="00A55F91">
      <w:pPr>
        <w:tabs>
          <w:tab w:val="left" w:pos="709"/>
        </w:tabs>
        <w:jc w:val="both"/>
      </w:pPr>
    </w:p>
    <w:p w14:paraId="6C8E200F" w14:textId="77777777" w:rsidR="009B681E" w:rsidRPr="005A1F62" w:rsidRDefault="009B681E" w:rsidP="00B73C6D">
      <w:pPr>
        <w:pStyle w:val="3"/>
        <w:numPr>
          <w:ilvl w:val="0"/>
          <w:numId w:val="19"/>
        </w:numPr>
        <w:tabs>
          <w:tab w:val="left" w:pos="709"/>
        </w:tabs>
        <w:spacing w:before="0" w:after="0"/>
        <w:ind w:left="0" w:firstLine="567"/>
        <w:rPr>
          <w:rFonts w:ascii="Times New Roman" w:hAnsi="Times New Roman" w:cs="Times New Roman"/>
        </w:rPr>
      </w:pPr>
      <w:bookmarkStart w:id="207" w:name="_Toc343776116"/>
      <w:bookmarkStart w:id="208" w:name="_Toc459363766"/>
      <w:bookmarkStart w:id="209" w:name="_Toc44433469"/>
      <w:bookmarkStart w:id="210" w:name="_Toc277183417"/>
      <w:bookmarkEnd w:id="205"/>
      <w:r w:rsidRPr="005A1F62">
        <w:rPr>
          <w:rFonts w:ascii="Times New Roman" w:hAnsi="Times New Roman" w:cs="Times New Roman"/>
        </w:rPr>
        <w:t>Структура собственности</w:t>
      </w:r>
      <w:bookmarkEnd w:id="207"/>
      <w:bookmarkEnd w:id="208"/>
      <w:bookmarkEnd w:id="209"/>
    </w:p>
    <w:p w14:paraId="3FA0E87D" w14:textId="77777777" w:rsidR="00364531" w:rsidRPr="005A1F62" w:rsidRDefault="00364531" w:rsidP="00DC2FED">
      <w:pPr>
        <w:tabs>
          <w:tab w:val="left" w:pos="709"/>
        </w:tabs>
        <w:ind w:firstLine="567"/>
        <w:jc w:val="both"/>
        <w:rPr>
          <w:u w:val="single"/>
        </w:rPr>
      </w:pPr>
    </w:p>
    <w:p w14:paraId="3A74F01C" w14:textId="328551D3" w:rsidR="00FC05E5" w:rsidRPr="005A1F62" w:rsidRDefault="009B681E" w:rsidP="00DC2FED">
      <w:pPr>
        <w:tabs>
          <w:tab w:val="left" w:pos="709"/>
        </w:tabs>
        <w:ind w:firstLine="567"/>
        <w:jc w:val="both"/>
        <w:rPr>
          <w:u w:val="single"/>
        </w:rPr>
      </w:pPr>
      <w:r w:rsidRPr="005A1F62">
        <w:rPr>
          <w:u w:val="single"/>
        </w:rPr>
        <w:t>Цель оценки</w:t>
      </w:r>
      <w:r w:rsidR="00221089" w:rsidRPr="005A1F62">
        <w:rPr>
          <w:u w:val="single"/>
        </w:rPr>
        <w:t>:</w:t>
      </w:r>
      <w:r w:rsidR="00221089" w:rsidRPr="005A1F62">
        <w:t xml:space="preserve"> о</w:t>
      </w:r>
      <w:r w:rsidRPr="005A1F62">
        <w:t xml:space="preserve">ценить вероятность конфликтов между </w:t>
      </w:r>
      <w:r w:rsidR="00A111C1" w:rsidRPr="005A1F62">
        <w:t>собственниками</w:t>
      </w:r>
      <w:r w:rsidRPr="005A1F62">
        <w:t>, которые могут привести к ухудшению кредитоспособности банка, а также выявить косвенные признаки заинтересованности</w:t>
      </w:r>
      <w:r w:rsidR="00A111C1" w:rsidRPr="005A1F62">
        <w:t xml:space="preserve"> (отсутствия заинтересованности)</w:t>
      </w:r>
      <w:r w:rsidRPr="005A1F62">
        <w:t xml:space="preserve"> </w:t>
      </w:r>
      <w:r w:rsidR="00A111C1" w:rsidRPr="005A1F62">
        <w:t xml:space="preserve">собственников </w:t>
      </w:r>
      <w:r w:rsidRPr="005A1F62">
        <w:t>в поддержке банка.</w:t>
      </w:r>
    </w:p>
    <w:p w14:paraId="332C235C" w14:textId="77777777" w:rsidR="00301B13" w:rsidRPr="005A1F62" w:rsidRDefault="00FC05E5" w:rsidP="00DC2FED">
      <w:pPr>
        <w:tabs>
          <w:tab w:val="left" w:pos="709"/>
        </w:tabs>
        <w:ind w:firstLine="567"/>
        <w:jc w:val="both"/>
      </w:pPr>
      <w:r w:rsidRPr="005A1F62">
        <w:t xml:space="preserve">Чрезмерно деконцентрированная структура собственности банка, акции которого не являются высоколиквидными котируемыми инструментами, оценивается, как правило, негативно, поскольку растет вероятность наличия номинальных собственников, которые не проходили согласование приобретения долей с регулятором, не раскрывали при этом источники доходов для приобретения доли в банке. Такие собственники, как правило, слабо заинтересованы в инвестициях в долгосрочное развитие банка. При размытой структуре собственности часто затягивается увеличение капитала, выше вероятность конфликтов среди собственников. </w:t>
      </w:r>
      <w:r w:rsidR="00301B13" w:rsidRPr="005A1F62">
        <w:t xml:space="preserve">Все эти факторы могут негативно влиять на кредитоспособность банка. </w:t>
      </w:r>
    </w:p>
    <w:p w14:paraId="3F555B4F" w14:textId="60CA24F1" w:rsidR="00FC05E5" w:rsidRPr="005A1F62" w:rsidRDefault="00FC05E5" w:rsidP="00DC2FED">
      <w:pPr>
        <w:tabs>
          <w:tab w:val="left" w:pos="709"/>
        </w:tabs>
        <w:ind w:firstLine="567"/>
        <w:jc w:val="both"/>
      </w:pPr>
      <w:r w:rsidRPr="005A1F62">
        <w:t xml:space="preserve">Также негативно </w:t>
      </w:r>
      <w:r w:rsidR="00301B13" w:rsidRPr="005A1F62">
        <w:t>оценивается чрезмерно сложная (с наличием множества «технических</w:t>
      </w:r>
      <w:r w:rsidR="00221089" w:rsidRPr="005A1F62">
        <w:t>»</w:t>
      </w:r>
      <w:r w:rsidR="00301B13" w:rsidRPr="005A1F62">
        <w:t xml:space="preserve"> компаний до конечного контролирующего собственника) структура собственности, так как в этом случае затруднена оперативная помощь банку (средства для дополнительной эмиссии должны пройти через </w:t>
      </w:r>
      <w:r w:rsidR="00221089" w:rsidRPr="005A1F62">
        <w:t>«</w:t>
      </w:r>
      <w:r w:rsidR="00301B13" w:rsidRPr="005A1F62">
        <w:t>технические</w:t>
      </w:r>
      <w:r w:rsidR="00221089" w:rsidRPr="005A1F62">
        <w:t>»</w:t>
      </w:r>
      <w:r w:rsidR="00301B13" w:rsidRPr="005A1F62">
        <w:t xml:space="preserve"> компании), могут возникать дополнительные риски на уровне </w:t>
      </w:r>
      <w:r w:rsidR="00221089" w:rsidRPr="005A1F62">
        <w:t>«</w:t>
      </w:r>
      <w:r w:rsidR="00301B13" w:rsidRPr="005A1F62">
        <w:t>технических</w:t>
      </w:r>
      <w:r w:rsidR="00221089" w:rsidRPr="005A1F62">
        <w:t>»</w:t>
      </w:r>
      <w:r w:rsidR="00301B13" w:rsidRPr="005A1F62">
        <w:t xml:space="preserve"> компаний (юридические, налоговые, </w:t>
      </w:r>
      <w:r w:rsidR="00301B13" w:rsidRPr="005A1F62">
        <w:lastRenderedPageBreak/>
        <w:t>внебалансовые обязательства), а</w:t>
      </w:r>
      <w:r w:rsidRPr="005A1F62">
        <w:t xml:space="preserve"> крах банка </w:t>
      </w:r>
      <w:r w:rsidR="00301B13" w:rsidRPr="005A1F62">
        <w:t xml:space="preserve">будет в меньшей степени ассоциироваться с </w:t>
      </w:r>
      <w:r w:rsidRPr="005A1F62">
        <w:t>конечн</w:t>
      </w:r>
      <w:r w:rsidR="00301B13" w:rsidRPr="005A1F62">
        <w:t>ым</w:t>
      </w:r>
      <w:r w:rsidRPr="005A1F62">
        <w:t xml:space="preserve"> собственник</w:t>
      </w:r>
      <w:r w:rsidR="00301B13" w:rsidRPr="005A1F62">
        <w:t xml:space="preserve">ом, что повышает вероятность злоупотреблений. </w:t>
      </w:r>
    </w:p>
    <w:p w14:paraId="4252ACF3" w14:textId="3A0A0C1D" w:rsidR="00FC05E5" w:rsidRPr="005A1F62" w:rsidRDefault="00301B13" w:rsidP="00DC2FED">
      <w:pPr>
        <w:tabs>
          <w:tab w:val="left" w:pos="709"/>
        </w:tabs>
        <w:ind w:firstLine="567"/>
        <w:jc w:val="both"/>
      </w:pPr>
      <w:r w:rsidRPr="005A1F62">
        <w:t xml:space="preserve">Как правило, негативно оценивается наличие </w:t>
      </w:r>
      <w:r w:rsidR="00915D8B" w:rsidRPr="005A1F62">
        <w:t>в структуре собственности компаний, зарегистрированных в зонах с льготным налоговым режимом и (или) слабыми требованиями к раскрытию информации, в структуре собственности. Н</w:t>
      </w:r>
      <w:r w:rsidRPr="005A1F62">
        <w:t>а фоне усиления активности государства по снижению доли российского бизнеса, зарегистрированного в зонах с льготным налоговым режимом, наличие в структуре собственности таких компаний влечет повышенную чувствительность к налоговым рискам и рискам изменения правил работы с российскими госкомпаниями.</w:t>
      </w:r>
      <w:r w:rsidR="00A111C1" w:rsidRPr="005A1F62">
        <w:t xml:space="preserve"> </w:t>
      </w:r>
      <w:r w:rsidR="00915D8B" w:rsidRPr="005A1F62">
        <w:t xml:space="preserve">Дополнительные риски для банка </w:t>
      </w:r>
      <w:r w:rsidR="00221089" w:rsidRPr="005A1F62">
        <w:t xml:space="preserve">несет </w:t>
      </w:r>
      <w:r w:rsidR="00915D8B" w:rsidRPr="005A1F62">
        <w:t>возможность собственника предъявить свою долю к выкупу обществу</w:t>
      </w:r>
      <w:r w:rsidR="00A111C1" w:rsidRPr="005A1F62">
        <w:t xml:space="preserve">, что означает наличие не </w:t>
      </w:r>
      <w:r w:rsidR="00EA200D" w:rsidRPr="005A1F62">
        <w:t>отраж</w:t>
      </w:r>
      <w:r w:rsidR="00CD78CF" w:rsidRPr="005A1F62">
        <w:t>е</w:t>
      </w:r>
      <w:r w:rsidR="00EA200D" w:rsidRPr="005A1F62">
        <w:t>нных</w:t>
      </w:r>
      <w:r w:rsidR="00A111C1" w:rsidRPr="005A1F62">
        <w:t xml:space="preserve"> в отч</w:t>
      </w:r>
      <w:r w:rsidR="00CD78CF" w:rsidRPr="005A1F62">
        <w:t>е</w:t>
      </w:r>
      <w:r w:rsidR="00A111C1" w:rsidRPr="005A1F62">
        <w:t>тности внебалансовых обязательств</w:t>
      </w:r>
      <w:r w:rsidR="00915D8B" w:rsidRPr="005A1F62">
        <w:t xml:space="preserve">. </w:t>
      </w:r>
    </w:p>
    <w:p w14:paraId="12DD08BD" w14:textId="77777777" w:rsidR="007F7A20" w:rsidRPr="005A1F62" w:rsidRDefault="007F7A20" w:rsidP="00DC2FED">
      <w:pPr>
        <w:tabs>
          <w:tab w:val="left" w:pos="709"/>
        </w:tabs>
        <w:ind w:firstLine="567"/>
        <w:jc w:val="both"/>
      </w:pPr>
    </w:p>
    <w:p w14:paraId="78C1B9BF" w14:textId="77777777" w:rsidR="009B681E" w:rsidRPr="005A1F62" w:rsidRDefault="009B681E" w:rsidP="00DC2FED">
      <w:pPr>
        <w:tabs>
          <w:tab w:val="left" w:pos="709"/>
        </w:tabs>
        <w:ind w:firstLine="567"/>
        <w:rPr>
          <w:u w:val="single"/>
        </w:rPr>
      </w:pPr>
      <w:r w:rsidRPr="005A1F62">
        <w:rPr>
          <w:u w:val="single"/>
        </w:rPr>
        <w:t xml:space="preserve">Алгоритм </w:t>
      </w:r>
      <w:r w:rsidR="00823DA9" w:rsidRPr="005A1F62">
        <w:rPr>
          <w:u w:val="single"/>
        </w:rPr>
        <w:t xml:space="preserve">выставления </w:t>
      </w:r>
      <w:r w:rsidRPr="005A1F62">
        <w:rPr>
          <w:u w:val="single"/>
        </w:rPr>
        <w:t>оценки</w:t>
      </w:r>
    </w:p>
    <w:p w14:paraId="3AFFBB90" w14:textId="77777777" w:rsidR="009B681E" w:rsidRPr="005A1F62" w:rsidRDefault="009E6D29" w:rsidP="00DC2FED">
      <w:pPr>
        <w:tabs>
          <w:tab w:val="left" w:pos="709"/>
        </w:tabs>
        <w:ind w:firstLine="567"/>
        <w:jc w:val="both"/>
      </w:pPr>
      <w:r w:rsidRPr="005A1F62">
        <w:t>Аналитик</w:t>
      </w:r>
      <w:r w:rsidR="009B681E" w:rsidRPr="005A1F62">
        <w:t xml:space="preserve"> оценивает параметры, приведенные в таблице ниже</w:t>
      </w:r>
      <w:r w:rsidR="00823DA9" w:rsidRPr="005A1F62">
        <w:t>,</w:t>
      </w:r>
      <w:r w:rsidR="009B681E" w:rsidRPr="005A1F62">
        <w:t xml:space="preserve"> и выбирает из них минимальную оценку</w:t>
      </w:r>
      <w:r w:rsidR="00823DA9" w:rsidRPr="005A1F62">
        <w:t>.</w:t>
      </w:r>
    </w:p>
    <w:p w14:paraId="7FCB61CB" w14:textId="77777777" w:rsidR="00823DA9" w:rsidRPr="005A1F62" w:rsidRDefault="00823DA9" w:rsidP="00DC2FED">
      <w:pPr>
        <w:tabs>
          <w:tab w:val="left" w:pos="709"/>
        </w:tabs>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3444"/>
        <w:gridCol w:w="1091"/>
        <w:gridCol w:w="1091"/>
        <w:gridCol w:w="1091"/>
        <w:gridCol w:w="1091"/>
        <w:gridCol w:w="1091"/>
      </w:tblGrid>
      <w:tr w:rsidR="009B681E" w:rsidRPr="005A1F62" w14:paraId="6597E96A" w14:textId="77777777" w:rsidTr="00C6229E">
        <w:trPr>
          <w:trHeight w:val="20"/>
        </w:trPr>
        <w:tc>
          <w:tcPr>
            <w:tcW w:w="238" w:type="pct"/>
            <w:vAlign w:val="center"/>
          </w:tcPr>
          <w:p w14:paraId="3873AAD3" w14:textId="77777777" w:rsidR="009B681E" w:rsidRPr="005A1F62" w:rsidRDefault="009B681E" w:rsidP="00C6229E">
            <w:pPr>
              <w:tabs>
                <w:tab w:val="left" w:pos="709"/>
              </w:tabs>
            </w:pPr>
            <w:r w:rsidRPr="005A1F62">
              <w:t>№</w:t>
            </w:r>
          </w:p>
        </w:tc>
        <w:tc>
          <w:tcPr>
            <w:tcW w:w="1842" w:type="pct"/>
          </w:tcPr>
          <w:p w14:paraId="486D20B7" w14:textId="77777777" w:rsidR="009B681E" w:rsidRPr="005A1F62" w:rsidRDefault="001B71E1" w:rsidP="00DC2FED">
            <w:pPr>
              <w:tabs>
                <w:tab w:val="left" w:pos="709"/>
              </w:tabs>
            </w:pPr>
            <w:r w:rsidRPr="005A1F62">
              <w:t>Параметр</w:t>
            </w:r>
          </w:p>
        </w:tc>
        <w:tc>
          <w:tcPr>
            <w:tcW w:w="584" w:type="pct"/>
            <w:vAlign w:val="center"/>
          </w:tcPr>
          <w:p w14:paraId="1D8CF1F0" w14:textId="77777777" w:rsidR="009B681E" w:rsidRPr="005A1F62" w:rsidRDefault="009B681E" w:rsidP="00C6229E">
            <w:pPr>
              <w:tabs>
                <w:tab w:val="left" w:pos="709"/>
              </w:tabs>
              <w:jc w:val="center"/>
            </w:pPr>
            <w:r w:rsidRPr="005A1F62">
              <w:t>-1</w:t>
            </w:r>
          </w:p>
        </w:tc>
        <w:tc>
          <w:tcPr>
            <w:tcW w:w="584" w:type="pct"/>
            <w:vAlign w:val="center"/>
          </w:tcPr>
          <w:p w14:paraId="432A356A" w14:textId="77777777" w:rsidR="009B681E" w:rsidRPr="005A1F62" w:rsidRDefault="009B681E" w:rsidP="00C6229E">
            <w:pPr>
              <w:tabs>
                <w:tab w:val="left" w:pos="709"/>
              </w:tabs>
              <w:jc w:val="center"/>
            </w:pPr>
            <w:r w:rsidRPr="005A1F62">
              <w:t>-0,5</w:t>
            </w:r>
          </w:p>
        </w:tc>
        <w:tc>
          <w:tcPr>
            <w:tcW w:w="584" w:type="pct"/>
            <w:vAlign w:val="center"/>
          </w:tcPr>
          <w:p w14:paraId="45500A4F" w14:textId="77777777" w:rsidR="009B681E" w:rsidRPr="005A1F62" w:rsidRDefault="009B681E" w:rsidP="00C6229E">
            <w:pPr>
              <w:tabs>
                <w:tab w:val="left" w:pos="709"/>
              </w:tabs>
              <w:jc w:val="center"/>
            </w:pPr>
            <w:r w:rsidRPr="005A1F62">
              <w:t>0</w:t>
            </w:r>
          </w:p>
        </w:tc>
        <w:tc>
          <w:tcPr>
            <w:tcW w:w="584" w:type="pct"/>
            <w:vAlign w:val="center"/>
          </w:tcPr>
          <w:p w14:paraId="2AA85AA2" w14:textId="77777777" w:rsidR="009B681E" w:rsidRPr="005A1F62" w:rsidRDefault="009B681E" w:rsidP="00C6229E">
            <w:pPr>
              <w:tabs>
                <w:tab w:val="left" w:pos="709"/>
              </w:tabs>
              <w:jc w:val="center"/>
            </w:pPr>
            <w:r w:rsidRPr="005A1F62">
              <w:t>0,5</w:t>
            </w:r>
          </w:p>
        </w:tc>
        <w:tc>
          <w:tcPr>
            <w:tcW w:w="584" w:type="pct"/>
            <w:vAlign w:val="center"/>
          </w:tcPr>
          <w:p w14:paraId="17A9BBD7" w14:textId="77777777" w:rsidR="009B681E" w:rsidRPr="005A1F62" w:rsidRDefault="009B681E" w:rsidP="00C6229E">
            <w:pPr>
              <w:tabs>
                <w:tab w:val="left" w:pos="709"/>
              </w:tabs>
              <w:jc w:val="center"/>
            </w:pPr>
            <w:r w:rsidRPr="005A1F62">
              <w:t>1</w:t>
            </w:r>
          </w:p>
        </w:tc>
      </w:tr>
      <w:tr w:rsidR="009B681E" w:rsidRPr="005A1F62" w14:paraId="60E15ED6" w14:textId="77777777" w:rsidTr="00C6229E">
        <w:trPr>
          <w:trHeight w:val="20"/>
        </w:trPr>
        <w:tc>
          <w:tcPr>
            <w:tcW w:w="238" w:type="pct"/>
            <w:vAlign w:val="center"/>
          </w:tcPr>
          <w:p w14:paraId="0FE27E33" w14:textId="77777777" w:rsidR="009B681E" w:rsidRPr="005A1F62" w:rsidRDefault="009B681E" w:rsidP="00C6229E">
            <w:pPr>
              <w:tabs>
                <w:tab w:val="left" w:pos="709"/>
              </w:tabs>
              <w:jc w:val="center"/>
            </w:pPr>
            <w:r w:rsidRPr="005A1F62">
              <w:t>1</w:t>
            </w:r>
          </w:p>
        </w:tc>
        <w:tc>
          <w:tcPr>
            <w:tcW w:w="1842" w:type="pct"/>
            <w:vAlign w:val="center"/>
          </w:tcPr>
          <w:p w14:paraId="7F101336" w14:textId="53D9A759" w:rsidR="009B681E" w:rsidRPr="005A1F62" w:rsidRDefault="009B681E" w:rsidP="00C6229E">
            <w:pPr>
              <w:tabs>
                <w:tab w:val="left" w:pos="709"/>
              </w:tabs>
              <w:jc w:val="both"/>
            </w:pPr>
            <w:r w:rsidRPr="005A1F62">
              <w:t>Доля крупнейшего конечного</w:t>
            </w:r>
            <w:r w:rsidR="00CD78CF" w:rsidRPr="005A1F62">
              <w:t xml:space="preserve"> </w:t>
            </w:r>
            <w:r w:rsidRPr="005A1F62">
              <w:t>собственника</w:t>
            </w:r>
            <w:r w:rsidR="001B71E1" w:rsidRPr="005A1F62">
              <w:t xml:space="preserve"> </w:t>
            </w:r>
            <w:r w:rsidRPr="005A1F62">
              <w:t>(доли членов одной семьи можно складывать)</w:t>
            </w:r>
          </w:p>
        </w:tc>
        <w:tc>
          <w:tcPr>
            <w:tcW w:w="584" w:type="pct"/>
            <w:vAlign w:val="center"/>
          </w:tcPr>
          <w:p w14:paraId="26BDF0A9" w14:textId="77777777" w:rsidR="009B681E" w:rsidRPr="005A1F62" w:rsidRDefault="009B681E" w:rsidP="00C6229E">
            <w:pPr>
              <w:tabs>
                <w:tab w:val="left" w:pos="709"/>
              </w:tabs>
              <w:jc w:val="center"/>
            </w:pPr>
            <w:r w:rsidRPr="005A1F62">
              <w:t>-</w:t>
            </w:r>
          </w:p>
        </w:tc>
        <w:tc>
          <w:tcPr>
            <w:tcW w:w="584" w:type="pct"/>
            <w:vAlign w:val="center"/>
          </w:tcPr>
          <w:p w14:paraId="5FC6488D" w14:textId="77777777" w:rsidR="009B681E" w:rsidRPr="005A1F62" w:rsidRDefault="001B71E1" w:rsidP="00C6229E">
            <w:pPr>
              <w:tabs>
                <w:tab w:val="left" w:pos="709"/>
              </w:tabs>
              <w:jc w:val="center"/>
            </w:pPr>
            <w:r w:rsidRPr="005A1F62">
              <w:t xml:space="preserve">Менее </w:t>
            </w:r>
            <w:r w:rsidR="009B681E" w:rsidRPr="005A1F62">
              <w:t>20%</w:t>
            </w:r>
          </w:p>
        </w:tc>
        <w:tc>
          <w:tcPr>
            <w:tcW w:w="584" w:type="pct"/>
            <w:vAlign w:val="center"/>
          </w:tcPr>
          <w:p w14:paraId="54DA3C29" w14:textId="18536A6E" w:rsidR="009B681E" w:rsidRPr="005A1F62" w:rsidRDefault="004C25E9" w:rsidP="00C6229E">
            <w:pPr>
              <w:tabs>
                <w:tab w:val="left" w:pos="709"/>
              </w:tabs>
              <w:jc w:val="center"/>
            </w:pPr>
            <w:r w:rsidRPr="005A1F62">
              <w:t xml:space="preserve">От 20% до </w:t>
            </w:r>
            <w:r w:rsidR="009B681E" w:rsidRPr="005A1F62">
              <w:t>25%</w:t>
            </w:r>
          </w:p>
        </w:tc>
        <w:tc>
          <w:tcPr>
            <w:tcW w:w="584" w:type="pct"/>
            <w:vAlign w:val="center"/>
          </w:tcPr>
          <w:p w14:paraId="5342E329" w14:textId="77777777" w:rsidR="009B681E" w:rsidRPr="005A1F62" w:rsidRDefault="009B681E" w:rsidP="00C6229E">
            <w:pPr>
              <w:tabs>
                <w:tab w:val="left" w:pos="709"/>
              </w:tabs>
              <w:jc w:val="center"/>
            </w:pPr>
            <w:r w:rsidRPr="005A1F62">
              <w:t>Более 25%, но менее либо равно 50%</w:t>
            </w:r>
          </w:p>
        </w:tc>
        <w:tc>
          <w:tcPr>
            <w:tcW w:w="584" w:type="pct"/>
            <w:vAlign w:val="center"/>
          </w:tcPr>
          <w:p w14:paraId="481175CF" w14:textId="77777777" w:rsidR="009B681E" w:rsidRPr="005A1F62" w:rsidRDefault="009B681E" w:rsidP="00C6229E">
            <w:pPr>
              <w:tabs>
                <w:tab w:val="left" w:pos="709"/>
              </w:tabs>
              <w:jc w:val="center"/>
            </w:pPr>
            <w:r w:rsidRPr="005A1F62">
              <w:t>Более 50%</w:t>
            </w:r>
          </w:p>
        </w:tc>
      </w:tr>
      <w:tr w:rsidR="009B681E" w:rsidRPr="005A1F62" w14:paraId="750911E0" w14:textId="77777777" w:rsidTr="00C6229E">
        <w:trPr>
          <w:trHeight w:val="20"/>
        </w:trPr>
        <w:tc>
          <w:tcPr>
            <w:tcW w:w="238" w:type="pct"/>
            <w:vAlign w:val="center"/>
          </w:tcPr>
          <w:p w14:paraId="41003360" w14:textId="77777777" w:rsidR="009B681E" w:rsidRPr="005A1F62" w:rsidRDefault="009B681E" w:rsidP="00C6229E">
            <w:pPr>
              <w:tabs>
                <w:tab w:val="left" w:pos="709"/>
              </w:tabs>
              <w:jc w:val="center"/>
            </w:pPr>
            <w:r w:rsidRPr="005A1F62">
              <w:t>2</w:t>
            </w:r>
          </w:p>
        </w:tc>
        <w:tc>
          <w:tcPr>
            <w:tcW w:w="1842" w:type="pct"/>
            <w:vAlign w:val="center"/>
          </w:tcPr>
          <w:p w14:paraId="3FBFB87A" w14:textId="7A38B37E" w:rsidR="009B681E" w:rsidRPr="005A1F62" w:rsidRDefault="009B681E" w:rsidP="00C6229E">
            <w:pPr>
              <w:tabs>
                <w:tab w:val="left" w:pos="709"/>
              </w:tabs>
              <w:jc w:val="both"/>
            </w:pPr>
            <w:bookmarkStart w:id="211" w:name="_Hlk4512340"/>
            <w:r w:rsidRPr="005A1F62">
              <w:t>Число уровней</w:t>
            </w:r>
            <w:r w:rsidR="00F663FF" w:rsidRPr="005A1F62">
              <w:rPr>
                <w:rStyle w:val="a9"/>
              </w:rPr>
              <w:footnoteReference w:id="35"/>
            </w:r>
            <w:r w:rsidRPr="005A1F62">
              <w:t xml:space="preserve"> </w:t>
            </w:r>
            <w:r w:rsidR="00037AAB" w:rsidRPr="005A1F62">
              <w:t>в иерархической структуре собственности</w:t>
            </w:r>
            <w:r w:rsidRPr="005A1F62">
              <w:t xml:space="preserve"> до </w:t>
            </w:r>
            <w:r w:rsidR="00347218" w:rsidRPr="005A1F62">
              <w:t xml:space="preserve">крупнейшего </w:t>
            </w:r>
            <w:r w:rsidRPr="005A1F62">
              <w:t>конечного контролирующего собственника</w:t>
            </w:r>
            <w:bookmarkEnd w:id="211"/>
          </w:p>
        </w:tc>
        <w:tc>
          <w:tcPr>
            <w:tcW w:w="584" w:type="pct"/>
            <w:vAlign w:val="center"/>
          </w:tcPr>
          <w:p w14:paraId="3914E88D" w14:textId="77777777" w:rsidR="009B681E" w:rsidRPr="005A1F62" w:rsidRDefault="009B681E" w:rsidP="00C6229E">
            <w:pPr>
              <w:tabs>
                <w:tab w:val="left" w:pos="709"/>
              </w:tabs>
              <w:jc w:val="center"/>
            </w:pPr>
            <w:r w:rsidRPr="005A1F62">
              <w:t>5 и более</w:t>
            </w:r>
          </w:p>
        </w:tc>
        <w:tc>
          <w:tcPr>
            <w:tcW w:w="584" w:type="pct"/>
            <w:vAlign w:val="center"/>
          </w:tcPr>
          <w:p w14:paraId="722A46F5" w14:textId="77777777" w:rsidR="009B681E" w:rsidRPr="005A1F62" w:rsidRDefault="009B681E" w:rsidP="00C6229E">
            <w:pPr>
              <w:tabs>
                <w:tab w:val="left" w:pos="709"/>
              </w:tabs>
              <w:jc w:val="center"/>
            </w:pPr>
            <w:r w:rsidRPr="005A1F62">
              <w:t>4</w:t>
            </w:r>
          </w:p>
        </w:tc>
        <w:tc>
          <w:tcPr>
            <w:tcW w:w="584" w:type="pct"/>
            <w:vAlign w:val="center"/>
          </w:tcPr>
          <w:p w14:paraId="5AF107C2" w14:textId="77777777" w:rsidR="009B681E" w:rsidRPr="005A1F62" w:rsidRDefault="009B681E" w:rsidP="00C6229E">
            <w:pPr>
              <w:tabs>
                <w:tab w:val="left" w:pos="709"/>
              </w:tabs>
              <w:jc w:val="center"/>
            </w:pPr>
            <w:r w:rsidRPr="005A1F62">
              <w:t>3</w:t>
            </w:r>
          </w:p>
        </w:tc>
        <w:tc>
          <w:tcPr>
            <w:tcW w:w="584" w:type="pct"/>
            <w:vAlign w:val="center"/>
          </w:tcPr>
          <w:p w14:paraId="6BC386E6" w14:textId="77777777" w:rsidR="009B681E" w:rsidRPr="005A1F62" w:rsidRDefault="009B681E" w:rsidP="00C6229E">
            <w:pPr>
              <w:tabs>
                <w:tab w:val="left" w:pos="709"/>
              </w:tabs>
              <w:jc w:val="center"/>
            </w:pPr>
            <w:r w:rsidRPr="005A1F62">
              <w:t>2</w:t>
            </w:r>
          </w:p>
        </w:tc>
        <w:tc>
          <w:tcPr>
            <w:tcW w:w="584" w:type="pct"/>
            <w:vAlign w:val="center"/>
          </w:tcPr>
          <w:p w14:paraId="471B1533" w14:textId="77777777" w:rsidR="009B681E" w:rsidRPr="005A1F62" w:rsidRDefault="009B681E" w:rsidP="00C6229E">
            <w:pPr>
              <w:tabs>
                <w:tab w:val="left" w:pos="709"/>
              </w:tabs>
              <w:jc w:val="center"/>
            </w:pPr>
            <w:r w:rsidRPr="005A1F62">
              <w:t>1 или 0</w:t>
            </w:r>
          </w:p>
        </w:tc>
      </w:tr>
      <w:tr w:rsidR="009B681E" w:rsidRPr="005A1F62" w14:paraId="5B5E9DA9" w14:textId="77777777" w:rsidTr="00C6229E">
        <w:trPr>
          <w:trHeight w:val="20"/>
        </w:trPr>
        <w:tc>
          <w:tcPr>
            <w:tcW w:w="238" w:type="pct"/>
            <w:vAlign w:val="center"/>
          </w:tcPr>
          <w:p w14:paraId="69B11A34" w14:textId="5DB60723" w:rsidR="009B681E" w:rsidRPr="005A1F62" w:rsidRDefault="00C75AE0" w:rsidP="00C6229E">
            <w:pPr>
              <w:tabs>
                <w:tab w:val="left" w:pos="709"/>
              </w:tabs>
              <w:jc w:val="center"/>
            </w:pPr>
            <w:r w:rsidRPr="005A1F62">
              <w:t>3</w:t>
            </w:r>
          </w:p>
        </w:tc>
        <w:tc>
          <w:tcPr>
            <w:tcW w:w="1842" w:type="pct"/>
            <w:vAlign w:val="center"/>
          </w:tcPr>
          <w:p w14:paraId="4A471D2C" w14:textId="69A19D48" w:rsidR="009B681E" w:rsidRPr="005A1F62" w:rsidRDefault="007F7204" w:rsidP="00C6229E">
            <w:pPr>
              <w:tabs>
                <w:tab w:val="left" w:pos="709"/>
              </w:tabs>
              <w:jc w:val="both"/>
            </w:pPr>
            <w:r w:rsidRPr="005A1F62">
              <w:t>А</w:t>
            </w:r>
            <w:r w:rsidR="009B681E" w:rsidRPr="005A1F62">
              <w:t>гентство владеет информацией о крупнейших фактических конечных бенефициарах</w:t>
            </w:r>
          </w:p>
        </w:tc>
        <w:tc>
          <w:tcPr>
            <w:tcW w:w="584" w:type="pct"/>
            <w:vAlign w:val="center"/>
          </w:tcPr>
          <w:p w14:paraId="25370A7C" w14:textId="77777777" w:rsidR="009B681E" w:rsidRPr="005A1F62" w:rsidRDefault="001B71E1" w:rsidP="00C6229E">
            <w:pPr>
              <w:tabs>
                <w:tab w:val="left" w:pos="709"/>
              </w:tabs>
              <w:jc w:val="center"/>
            </w:pPr>
            <w:r w:rsidRPr="005A1F62">
              <w:t>Нет</w:t>
            </w:r>
          </w:p>
        </w:tc>
        <w:tc>
          <w:tcPr>
            <w:tcW w:w="584" w:type="pct"/>
            <w:vAlign w:val="center"/>
          </w:tcPr>
          <w:p w14:paraId="4B9A074B" w14:textId="77777777" w:rsidR="009B681E" w:rsidRPr="005A1F62" w:rsidRDefault="00C8063E" w:rsidP="00C6229E">
            <w:pPr>
              <w:tabs>
                <w:tab w:val="left" w:pos="709"/>
              </w:tabs>
              <w:jc w:val="center"/>
            </w:pPr>
            <w:r w:rsidRPr="005A1F62">
              <w:t>-</w:t>
            </w:r>
          </w:p>
        </w:tc>
        <w:tc>
          <w:tcPr>
            <w:tcW w:w="584" w:type="pct"/>
            <w:vAlign w:val="center"/>
          </w:tcPr>
          <w:p w14:paraId="6F16B6B0" w14:textId="77777777" w:rsidR="009B681E" w:rsidRPr="005A1F62" w:rsidRDefault="009A72E2" w:rsidP="00C6229E">
            <w:pPr>
              <w:tabs>
                <w:tab w:val="left" w:pos="709"/>
              </w:tabs>
              <w:jc w:val="center"/>
            </w:pPr>
            <w:r w:rsidRPr="005A1F62">
              <w:t>Частично</w:t>
            </w:r>
          </w:p>
        </w:tc>
        <w:tc>
          <w:tcPr>
            <w:tcW w:w="584" w:type="pct"/>
            <w:vAlign w:val="center"/>
          </w:tcPr>
          <w:p w14:paraId="556B7419" w14:textId="77777777" w:rsidR="009B681E" w:rsidRPr="005A1F62" w:rsidRDefault="00C8063E" w:rsidP="00C6229E">
            <w:pPr>
              <w:tabs>
                <w:tab w:val="left" w:pos="709"/>
              </w:tabs>
              <w:jc w:val="center"/>
            </w:pPr>
            <w:r w:rsidRPr="005A1F62">
              <w:t>-</w:t>
            </w:r>
          </w:p>
        </w:tc>
        <w:tc>
          <w:tcPr>
            <w:tcW w:w="584" w:type="pct"/>
            <w:vAlign w:val="center"/>
          </w:tcPr>
          <w:p w14:paraId="1651CE28" w14:textId="77777777" w:rsidR="009B681E" w:rsidRPr="005A1F62" w:rsidRDefault="009A72E2" w:rsidP="00C6229E">
            <w:pPr>
              <w:tabs>
                <w:tab w:val="left" w:pos="709"/>
              </w:tabs>
              <w:jc w:val="center"/>
            </w:pPr>
            <w:r w:rsidRPr="005A1F62">
              <w:t>Полностью</w:t>
            </w:r>
          </w:p>
        </w:tc>
      </w:tr>
    </w:tbl>
    <w:p w14:paraId="57D34106" w14:textId="77777777" w:rsidR="00823DA9" w:rsidRPr="005A1F62" w:rsidRDefault="00823DA9" w:rsidP="00DC2FED">
      <w:pPr>
        <w:tabs>
          <w:tab w:val="left" w:pos="709"/>
        </w:tabs>
        <w:jc w:val="both"/>
      </w:pPr>
    </w:p>
    <w:p w14:paraId="5E725AD8" w14:textId="77777777" w:rsidR="0005751E" w:rsidRPr="005A1F62" w:rsidRDefault="0005751E" w:rsidP="00DC2FED">
      <w:pPr>
        <w:tabs>
          <w:tab w:val="left" w:pos="709"/>
        </w:tabs>
        <w:ind w:firstLine="567"/>
        <w:jc w:val="both"/>
        <w:rPr>
          <w:u w:val="single"/>
        </w:rPr>
      </w:pPr>
      <w:r w:rsidRPr="005A1F62">
        <w:rPr>
          <w:u w:val="single"/>
        </w:rPr>
        <w:t>Возможные корректировки:</w:t>
      </w:r>
    </w:p>
    <w:p w14:paraId="6413FE3D" w14:textId="264B02C3" w:rsidR="009B681E" w:rsidRPr="005A1F62" w:rsidRDefault="009B681E" w:rsidP="00B73C6D">
      <w:pPr>
        <w:pStyle w:val="afb"/>
        <w:numPr>
          <w:ilvl w:val="0"/>
          <w:numId w:val="42"/>
        </w:numPr>
        <w:jc w:val="both"/>
      </w:pPr>
      <w:r w:rsidRPr="005A1F62">
        <w:t>Исключение: для банков с распыленной структурой собственности с большим free-float</w:t>
      </w:r>
      <w:r w:rsidRPr="005A1F62">
        <w:rPr>
          <w:vertAlign w:val="superscript"/>
        </w:rPr>
        <w:footnoteReference w:id="36"/>
      </w:r>
      <w:r w:rsidRPr="005A1F62">
        <w:rPr>
          <w:vertAlign w:val="superscript"/>
        </w:rPr>
        <w:t xml:space="preserve"> </w:t>
      </w:r>
      <w:r w:rsidRPr="005A1F62">
        <w:t>и хорошим баллом за корп</w:t>
      </w:r>
      <w:r w:rsidR="001B71E1" w:rsidRPr="005A1F62">
        <w:t xml:space="preserve">оративное </w:t>
      </w:r>
      <w:r w:rsidRPr="005A1F62">
        <w:t>управление (0,7</w:t>
      </w:r>
      <w:r w:rsidR="004F4005" w:rsidRPr="005A1F62">
        <w:t>5</w:t>
      </w:r>
      <w:r w:rsidR="00131D9F" w:rsidRPr="005A1F62">
        <w:t xml:space="preserve"> и выше</w:t>
      </w:r>
      <w:r w:rsidRPr="005A1F62">
        <w:t>) не оценивается параметр №1 (</w:t>
      </w:r>
      <w:r w:rsidR="001B71E1" w:rsidRPr="005A1F62">
        <w:t xml:space="preserve">доля </w:t>
      </w:r>
      <w:r w:rsidRPr="005A1F62">
        <w:t>крупнейшего конечного</w:t>
      </w:r>
      <w:r w:rsidR="00CD78CF" w:rsidRPr="005A1F62">
        <w:t xml:space="preserve"> </w:t>
      </w:r>
      <w:r w:rsidRPr="005A1F62">
        <w:t xml:space="preserve">собственника). Балл выставляется на основе критериев </w:t>
      </w:r>
      <w:r w:rsidR="001B71E1" w:rsidRPr="005A1F62">
        <w:t>№</w:t>
      </w:r>
      <w:r w:rsidR="006F6377" w:rsidRPr="005A1F62">
        <w:t xml:space="preserve"> </w:t>
      </w:r>
      <w:r w:rsidRPr="005A1F62">
        <w:t>2</w:t>
      </w:r>
      <w:r w:rsidR="006F6377" w:rsidRPr="005A1F62">
        <w:t xml:space="preserve"> и </w:t>
      </w:r>
      <w:r w:rsidR="001B71E1" w:rsidRPr="005A1F62">
        <w:t xml:space="preserve">3, </w:t>
      </w:r>
      <w:r w:rsidRPr="005A1F62">
        <w:t>при этом данные критерии проверяются для бенефициаров с долей более 5%.</w:t>
      </w:r>
    </w:p>
    <w:p w14:paraId="7AA50726" w14:textId="26B5B694" w:rsidR="003A3E6B" w:rsidRPr="005A1F62" w:rsidRDefault="003A3E6B" w:rsidP="00B73C6D">
      <w:pPr>
        <w:pStyle w:val="afb"/>
        <w:numPr>
          <w:ilvl w:val="0"/>
          <w:numId w:val="42"/>
        </w:numPr>
        <w:jc w:val="both"/>
      </w:pPr>
      <w:bookmarkStart w:id="213" w:name="_Hlk4512134"/>
      <w:r w:rsidRPr="005A1F62">
        <w:t xml:space="preserve">Параметр №1 (доля крупнейшего конечного собственника) может рассчитываться с поправками на наличие или отсутствие контроля у конечных собственников на </w:t>
      </w:r>
      <w:r w:rsidRPr="005A1F62">
        <w:lastRenderedPageBreak/>
        <w:t>разных иерархических уровнях структуры собственности. При наличии контроля у одного и того же конечного собственника – физического лица (пакеты акций (долей в капитале) родственников складываются) на всех уровнях иерархической структуры собственности к оценке может быть принят минимальный контролирующий пакет из контролирующих пакетов. Конечная цель при анализе структуры собственности – определить реальный контроль конечного собственника, являющегося ключевым с позиции влияния на принятие решений.</w:t>
      </w:r>
    </w:p>
    <w:p w14:paraId="0293A794" w14:textId="5BE3B7ED" w:rsidR="000D0FAF" w:rsidRPr="005A1F62" w:rsidRDefault="00C071D6" w:rsidP="00126758">
      <w:pPr>
        <w:numPr>
          <w:ilvl w:val="0"/>
          <w:numId w:val="42"/>
        </w:numPr>
        <w:jc w:val="both"/>
      </w:pPr>
      <w:bookmarkStart w:id="214" w:name="_Hlk43310129"/>
      <w:bookmarkEnd w:id="213"/>
      <w:r w:rsidRPr="005A1F62">
        <w:t xml:space="preserve">Балл может быть снижен вплоть до -1, если, по мнению Агентства, высококонцентрированная структура собственности </w:t>
      </w:r>
      <w:r w:rsidR="00126758" w:rsidRPr="005A1F62">
        <w:t>сопряжена с рисками чрезмерной подверженности деятельности банка негативному влиянию отдельных собственников. К</w:t>
      </w:r>
      <w:r w:rsidR="00126758" w:rsidRPr="005A1F62">
        <w:rPr>
          <w:bCs/>
        </w:rPr>
        <w:t>ритериями применения корректировки могут</w:t>
      </w:r>
      <w:r w:rsidR="004713E5" w:rsidRPr="005A1F62">
        <w:rPr>
          <w:bCs/>
        </w:rPr>
        <w:t>, например,</w:t>
      </w:r>
      <w:r w:rsidR="00126758" w:rsidRPr="005A1F62">
        <w:rPr>
          <w:bCs/>
        </w:rPr>
        <w:t xml:space="preserve"> выступать: чрезмерная концентрация полномочий, слабая система делегирования принятия стратегических решений или пониженная регламентация процедур корпоративного управления, экспертно высокая вероятность вовлечения в сомнительные операции, вероятность наследования конечным собственником без значительного опыта в банковской сфере.</w:t>
      </w:r>
    </w:p>
    <w:bookmarkEnd w:id="214"/>
    <w:p w14:paraId="6E0D47F8" w14:textId="30EA717A" w:rsidR="0097688D" w:rsidRPr="005A1F62" w:rsidRDefault="0097688D" w:rsidP="00B73C6D">
      <w:pPr>
        <w:pStyle w:val="afb"/>
        <w:numPr>
          <w:ilvl w:val="0"/>
          <w:numId w:val="42"/>
        </w:numPr>
        <w:jc w:val="both"/>
      </w:pPr>
      <w:r w:rsidRPr="005A1F62">
        <w:t>Оценка может выставляться на основании распределения голосующих прав между акционерами при наличии различия для разных классов акций или акционерного соглашения, снижающего вероятность конфликтов между акционерами.</w:t>
      </w:r>
    </w:p>
    <w:p w14:paraId="38FD407C" w14:textId="5F642FE1" w:rsidR="00C75AE0" w:rsidRPr="005A1F62" w:rsidRDefault="00C75AE0" w:rsidP="00B73C6D">
      <w:pPr>
        <w:pStyle w:val="afb"/>
        <w:numPr>
          <w:ilvl w:val="0"/>
          <w:numId w:val="42"/>
        </w:numPr>
        <w:jc w:val="both"/>
      </w:pPr>
      <w:bookmarkStart w:id="215" w:name="_Hlk508618448"/>
      <w:r w:rsidRPr="005A1F62">
        <w:t>Балл может быть понижен на 0,5-1 (до уровня не ниже -1) за наличие компаний, зарегистрированных в зонах с льготным налоговым режимом и (или) слабыми требованиями к раскрытию информации, в структуре собственности.</w:t>
      </w:r>
    </w:p>
    <w:bookmarkEnd w:id="215"/>
    <w:p w14:paraId="0E8EDED2" w14:textId="5D34430D" w:rsidR="00007FD8" w:rsidRPr="005A1F62" w:rsidRDefault="00007FD8" w:rsidP="00B73C6D">
      <w:pPr>
        <w:pStyle w:val="afb"/>
        <w:numPr>
          <w:ilvl w:val="0"/>
          <w:numId w:val="42"/>
        </w:numPr>
        <w:jc w:val="both"/>
      </w:pPr>
      <w:r w:rsidRPr="005A1F62">
        <w:t>Балл может быть снижен до 0, если устав банка с организационно-правовой формой ООО предусматривает, что участник банка может выйти из состава, при этом у банка возникает обязательство по выкупу долей этого участника.</w:t>
      </w:r>
    </w:p>
    <w:p w14:paraId="1A06DD28" w14:textId="77777777" w:rsidR="0097688D" w:rsidRPr="005A1F62" w:rsidRDefault="0097688D" w:rsidP="00B73C6D">
      <w:pPr>
        <w:pStyle w:val="afb"/>
        <w:numPr>
          <w:ilvl w:val="0"/>
          <w:numId w:val="42"/>
        </w:numPr>
        <w:jc w:val="both"/>
      </w:pPr>
      <w:r w:rsidRPr="005A1F62">
        <w:t xml:space="preserve">Балл может быть снижен вплоть до -1 за конфликты между собственниками объекта рейтинга, если эти конфликты оказывают или могут оказать негативное влияние на кредитоспособность компании. </w:t>
      </w:r>
    </w:p>
    <w:p w14:paraId="145F0A38" w14:textId="691A5C69" w:rsidR="009B681E" w:rsidRPr="005A1F62" w:rsidRDefault="003B7E35" w:rsidP="00B73C6D">
      <w:pPr>
        <w:pStyle w:val="afb"/>
        <w:numPr>
          <w:ilvl w:val="0"/>
          <w:numId w:val="42"/>
        </w:numPr>
        <w:jc w:val="both"/>
      </w:pPr>
      <w:r w:rsidRPr="005A1F62">
        <w:t xml:space="preserve">Балл может быть снижен вплоть до -1, если собственник объекта рейтинга, </w:t>
      </w:r>
      <w:r w:rsidR="000A4B79" w:rsidRPr="005A1F62">
        <w:t xml:space="preserve">прямо или косвенно </w:t>
      </w:r>
      <w:r w:rsidR="00C426C4" w:rsidRPr="005A1F62">
        <w:t>владеющий существенным пакетом акций (долей в капитале), ранее выступал бенефициаром</w:t>
      </w:r>
      <w:r w:rsidRPr="005A1F62">
        <w:t xml:space="preserve"> кредитной </w:t>
      </w:r>
      <w:r w:rsidR="00246FA4" w:rsidRPr="005A1F62">
        <w:t>организации</w:t>
      </w:r>
      <w:r w:rsidRPr="005A1F62">
        <w:t>, лицензия которой была отозвана</w:t>
      </w:r>
      <w:r w:rsidR="00C426C4" w:rsidRPr="005A1F62">
        <w:t xml:space="preserve"> или которая была передана на санацию</w:t>
      </w:r>
      <w:r w:rsidRPr="005A1F62">
        <w:t>.</w:t>
      </w:r>
    </w:p>
    <w:p w14:paraId="1D17D326" w14:textId="77777777" w:rsidR="003B7E35" w:rsidRPr="005A1F62" w:rsidRDefault="003B7E35" w:rsidP="00B73C6D">
      <w:pPr>
        <w:pStyle w:val="afb"/>
        <w:numPr>
          <w:ilvl w:val="0"/>
          <w:numId w:val="42"/>
        </w:numPr>
        <w:jc w:val="both"/>
      </w:pPr>
      <w:r w:rsidRPr="005A1F62">
        <w:t>Балл может быть снижен вплоть до -1, если собственник объекта рейтинга находится в состоянии банкротства.</w:t>
      </w:r>
    </w:p>
    <w:p w14:paraId="2145BE24" w14:textId="1AD5EFDE" w:rsidR="000015FA" w:rsidRPr="005A1F62" w:rsidRDefault="00B903E2" w:rsidP="00B73C6D">
      <w:pPr>
        <w:pStyle w:val="afb"/>
        <w:numPr>
          <w:ilvl w:val="0"/>
          <w:numId w:val="42"/>
        </w:numPr>
        <w:jc w:val="both"/>
      </w:pPr>
      <w:r w:rsidRPr="005A1F62">
        <w:t xml:space="preserve">Балл может быть понижен максимально на 1 в случаях, когда </w:t>
      </w:r>
      <w:r w:rsidR="00246FA4" w:rsidRPr="005A1F62">
        <w:t xml:space="preserve">Агентство </w:t>
      </w:r>
      <w:r w:rsidRPr="005A1F62">
        <w:t>располагает информацией об обременении акций (долей) владения банком, так как это влечет повышенный риск смены контролирующего собственника и сбоев в оперативном управлении банка.</w:t>
      </w:r>
      <w:r w:rsidR="005F68B7" w:rsidRPr="005A1F62">
        <w:t xml:space="preserve"> </w:t>
      </w:r>
    </w:p>
    <w:p w14:paraId="084B4BCE" w14:textId="7A667C15" w:rsidR="00AB1649" w:rsidRPr="005A1F62" w:rsidRDefault="00AB1649" w:rsidP="00B73C6D">
      <w:pPr>
        <w:pStyle w:val="afb"/>
        <w:numPr>
          <w:ilvl w:val="0"/>
          <w:numId w:val="42"/>
        </w:numPr>
        <w:jc w:val="both"/>
      </w:pPr>
      <w:r w:rsidRPr="005A1F62">
        <w:t>Балл может быть снижен вплоть до -1, если в силу каких-либо причин (например, введение временной администрации, процедура банкротства в отношении собственника-</w:t>
      </w:r>
      <w:r w:rsidR="00751F01" w:rsidRPr="005A1F62">
        <w:t>ЮЛ или уголовное преследование, смерть собственника-ФЛ или публичная информация о неисполнении собственником своих финансовых обязательств) существует высокая вероятность невозможности реализовать свое право распоряжения долями в капитале</w:t>
      </w:r>
      <w:r w:rsidR="00246FA4" w:rsidRPr="005A1F62">
        <w:t xml:space="preserve"> </w:t>
      </w:r>
      <w:r w:rsidR="00751F01" w:rsidRPr="005A1F62">
        <w:t>/</w:t>
      </w:r>
      <w:r w:rsidR="00246FA4" w:rsidRPr="005A1F62">
        <w:t xml:space="preserve"> </w:t>
      </w:r>
      <w:r w:rsidR="00751F01" w:rsidRPr="005A1F62">
        <w:t>акциями банка лицом, контролирующим больше 25% капитала банка.</w:t>
      </w:r>
    </w:p>
    <w:p w14:paraId="2D9F8B2F" w14:textId="77777777" w:rsidR="007F7A20" w:rsidRPr="005A1F62" w:rsidRDefault="007F7A20" w:rsidP="007F7A20">
      <w:pPr>
        <w:pStyle w:val="afb"/>
        <w:jc w:val="both"/>
      </w:pPr>
    </w:p>
    <w:p w14:paraId="02B44E78" w14:textId="77777777" w:rsidR="00651F1B" w:rsidRPr="005A1F62" w:rsidRDefault="00651F1B" w:rsidP="00B73C6D">
      <w:pPr>
        <w:pStyle w:val="3"/>
        <w:numPr>
          <w:ilvl w:val="0"/>
          <w:numId w:val="19"/>
        </w:numPr>
        <w:tabs>
          <w:tab w:val="left" w:pos="709"/>
        </w:tabs>
        <w:spacing w:before="0" w:after="0"/>
        <w:ind w:left="0" w:firstLine="567"/>
        <w:rPr>
          <w:rFonts w:ascii="Times New Roman" w:hAnsi="Times New Roman" w:cs="Times New Roman"/>
        </w:rPr>
      </w:pPr>
      <w:bookmarkStart w:id="216" w:name="_Toc343776118"/>
      <w:bookmarkStart w:id="217" w:name="_Toc459363767"/>
      <w:bookmarkStart w:id="218" w:name="_Toc44433470"/>
      <w:bookmarkStart w:id="219" w:name="_Toc277183402"/>
      <w:bookmarkStart w:id="220" w:name="_Toc343776119"/>
      <w:bookmarkStart w:id="221" w:name="_Toc459363768"/>
      <w:bookmarkEnd w:id="210"/>
      <w:r w:rsidRPr="005A1F62">
        <w:rPr>
          <w:rFonts w:ascii="Times New Roman" w:hAnsi="Times New Roman" w:cs="Times New Roman"/>
        </w:rPr>
        <w:t>Управление рисками</w:t>
      </w:r>
      <w:bookmarkEnd w:id="216"/>
      <w:bookmarkEnd w:id="217"/>
      <w:bookmarkEnd w:id="218"/>
    </w:p>
    <w:p w14:paraId="77336AE3" w14:textId="77777777" w:rsidR="00C6229E" w:rsidRPr="005A1F62" w:rsidRDefault="00C6229E" w:rsidP="00651F1B">
      <w:pPr>
        <w:tabs>
          <w:tab w:val="left" w:pos="709"/>
        </w:tabs>
        <w:ind w:firstLine="567"/>
        <w:jc w:val="both"/>
        <w:rPr>
          <w:u w:val="single"/>
        </w:rPr>
      </w:pPr>
    </w:p>
    <w:p w14:paraId="5A33049E" w14:textId="3C1E7320" w:rsidR="00651F1B" w:rsidRPr="005A1F62" w:rsidRDefault="00651F1B" w:rsidP="00651F1B">
      <w:pPr>
        <w:tabs>
          <w:tab w:val="left" w:pos="709"/>
        </w:tabs>
        <w:ind w:firstLine="567"/>
        <w:jc w:val="both"/>
      </w:pPr>
      <w:r w:rsidRPr="005A1F62">
        <w:rPr>
          <w:u w:val="single"/>
        </w:rPr>
        <w:t>Цель оценки:</w:t>
      </w:r>
      <w:r w:rsidRPr="005A1F62">
        <w:t xml:space="preserve"> определить, насколько текущая инфраструктура управления рисками соответствует профилю рисков, принимаемых на себя банком. </w:t>
      </w:r>
    </w:p>
    <w:p w14:paraId="724515FD" w14:textId="5B63664E" w:rsidR="00651F1B" w:rsidRPr="005A1F62" w:rsidRDefault="00651F1B" w:rsidP="00651F1B">
      <w:pPr>
        <w:tabs>
          <w:tab w:val="left" w:pos="709"/>
        </w:tabs>
        <w:ind w:firstLine="567"/>
        <w:jc w:val="both"/>
      </w:pPr>
      <w:r w:rsidRPr="005A1F62">
        <w:lastRenderedPageBreak/>
        <w:t xml:space="preserve">Использование адекватного профилю рисков банка набора инструментов управления рисками, как правило, ограничивает уровень принимаемых рисков либо позволяет снизить их негативное влияние на деятельность банка. При оценке </w:t>
      </w:r>
      <w:r w:rsidR="007F7204" w:rsidRPr="005A1F62">
        <w:t>А</w:t>
      </w:r>
      <w:r w:rsidRPr="005A1F62">
        <w:t>гентство использует также косвенные индикаторы, которые свидетельствуют о повышенной чувствительности к отдельным видам рисков. Например, высокий уровень текучести кадров на уровне топ-менеджмента может свидетельствовать о конфликтах внутри команды, что может привести к росту операционных рисков банка. Негативно сказывается слабая регламентация управления рисками, которая может привести к непрогнозируемым потерям. Позитивно на рейтинг влияют высокая результативность управления рисками, сотрудничество с бюро кредитных историй при принятии решения о выдаче кредитов, широкий инструментарий по управлению рыночными рисками, соответствие практики управления рисками наилучшим международным практикам. Отдельное внимание уделяется механизмам страхования рисков банка, в частности, оцениваются страхование основных средств, наличных денег банка и комплексное страхование рисков банка: позитивно оцениваются высокое соотношение страховых сумм к активам под риском и высокая надежность страховой компании.</w:t>
      </w:r>
    </w:p>
    <w:p w14:paraId="5F696DAA" w14:textId="77777777" w:rsidR="00651F1B" w:rsidRPr="005A1F62" w:rsidRDefault="00651F1B" w:rsidP="00651F1B">
      <w:pPr>
        <w:tabs>
          <w:tab w:val="left" w:pos="709"/>
        </w:tabs>
        <w:ind w:firstLine="567"/>
        <w:jc w:val="both"/>
      </w:pPr>
    </w:p>
    <w:p w14:paraId="6AA0FC2E" w14:textId="77777777" w:rsidR="00651F1B" w:rsidRPr="005A1F62" w:rsidRDefault="00651F1B" w:rsidP="00651F1B">
      <w:pPr>
        <w:tabs>
          <w:tab w:val="left" w:pos="709"/>
        </w:tabs>
        <w:ind w:firstLine="567"/>
        <w:rPr>
          <w:u w:val="single"/>
        </w:rPr>
      </w:pPr>
      <w:r w:rsidRPr="005A1F62">
        <w:rPr>
          <w:u w:val="single"/>
        </w:rPr>
        <w:t>Алгоритм выставления оценки</w:t>
      </w:r>
    </w:p>
    <w:p w14:paraId="3CF7605B" w14:textId="41A46190" w:rsidR="00651F1B" w:rsidRPr="005A1F62" w:rsidRDefault="00651F1B" w:rsidP="00651F1B">
      <w:pPr>
        <w:tabs>
          <w:tab w:val="left" w:pos="709"/>
        </w:tabs>
        <w:ind w:firstLine="567"/>
        <w:contextualSpacing/>
        <w:jc w:val="both"/>
      </w:pPr>
      <w:r w:rsidRPr="005A1F62">
        <w:t>Практика управления</w:t>
      </w:r>
      <w:r w:rsidRPr="005A1F62">
        <w:rPr>
          <w:b/>
        </w:rPr>
        <w:t xml:space="preserve"> </w:t>
      </w:r>
      <w:r w:rsidRPr="005A1F62">
        <w:t xml:space="preserve">всеми видами рисков оценивается по следующему алгоритму. </w:t>
      </w:r>
      <w:r w:rsidR="004F4005" w:rsidRPr="005A1F62">
        <w:t xml:space="preserve">Выполнению критерия в полном объеме соответствует оценка 1, частичному выполнению – 0,5, невыполнению – 0. </w:t>
      </w:r>
      <w:r w:rsidRPr="005A1F62">
        <w:t xml:space="preserve">Далее </w:t>
      </w:r>
      <w:r w:rsidR="004F4005" w:rsidRPr="005A1F62">
        <w:t xml:space="preserve">полученные оценки </w:t>
      </w:r>
      <w:r w:rsidRPr="005A1F62">
        <w:t>взвешиваются, суммируются и переводятся в стандартную шкалу (от -1 до 1). Веса компонентов фактора «управление рисками» составляют по 25% от веса фактора «управление рисками», который оценивается на основе данных об управлении кредитными, рыночными, операционными рисками и риском ликвидности.</w:t>
      </w:r>
      <w:r w:rsidR="004F4005" w:rsidRPr="005A1F62">
        <w:t xml:space="preserve"> </w:t>
      </w:r>
    </w:p>
    <w:p w14:paraId="79384F42" w14:textId="77777777" w:rsidR="00651F1B" w:rsidRPr="005A1F62" w:rsidRDefault="00651F1B" w:rsidP="00651F1B">
      <w:pPr>
        <w:tabs>
          <w:tab w:val="left" w:pos="709"/>
        </w:tabs>
        <w:ind w:firstLine="567"/>
        <w:contextualSpacing/>
        <w:jc w:val="both"/>
      </w:pPr>
      <w:r w:rsidRPr="005A1F62">
        <w:t>Фактор «управление кредитными рисками» определяется как сумма оценок управления кредитными рисками в отношении ссуд, выданных ЮЛ и ИП, и ссуд, выданных ФЛ, взвешенных на долю задолженности соответствующих контрагентов в портфеле кредитов ЮЛ, ИП, ФЛ. При этом управление каждым из указанных выше типов кредитных рисков оценивается в случае, если активы, несущие соответствующий кредитный риск, составляют более 10% активов на любую из отчетных дат в течение предшествующих 12 месяцев. В противном случае оценка не производится, а вес компонента поровну распределяется между остальными кредитными рисками.</w:t>
      </w:r>
    </w:p>
    <w:p w14:paraId="00458CC5" w14:textId="77777777" w:rsidR="00651F1B" w:rsidRPr="005A1F62" w:rsidRDefault="00651F1B" w:rsidP="00651F1B">
      <w:pPr>
        <w:tabs>
          <w:tab w:val="left" w:pos="709"/>
        </w:tabs>
        <w:ind w:firstLine="567"/>
        <w:contextualSpacing/>
        <w:jc w:val="both"/>
      </w:pPr>
      <w:r w:rsidRPr="005A1F62">
        <w:t xml:space="preserve">Управление кредитными рисками в отношении задолженности ЮЛ и ИП и задолженности ФЛ оценивается исходя из соответствия практики управления кредитными рисками по кредитам ЮЛ и ИП и кредитам ФЛ в банке наилучшим практикам. </w:t>
      </w:r>
    </w:p>
    <w:p w14:paraId="0736035D" w14:textId="592556DD" w:rsidR="00651F1B" w:rsidRPr="005A1F62" w:rsidRDefault="00651F1B" w:rsidP="00651F1B">
      <w:pPr>
        <w:tabs>
          <w:tab w:val="left" w:pos="709"/>
        </w:tabs>
        <w:ind w:firstLine="567"/>
        <w:contextualSpacing/>
        <w:jc w:val="both"/>
      </w:pPr>
      <w:r w:rsidRPr="005A1F62">
        <w:t>Баллы за управление рыночными рисками рассчитываются как минимум из баллов за управление</w:t>
      </w:r>
      <w:r w:rsidR="00BD49A4" w:rsidRPr="005A1F62">
        <w:t xml:space="preserve"> </w:t>
      </w:r>
      <w:r w:rsidRPr="005A1F62">
        <w:t>валютным</w:t>
      </w:r>
      <w:r w:rsidR="00BD49A4" w:rsidRPr="005A1F62">
        <w:t>,</w:t>
      </w:r>
      <w:r w:rsidRPr="005A1F62">
        <w:t xml:space="preserve"> процентным рисками</w:t>
      </w:r>
      <w:r w:rsidR="00BD49A4" w:rsidRPr="005A1F62">
        <w:t xml:space="preserve"> и рисками, связанными с обесценением портфеля ценных бумаг</w:t>
      </w:r>
      <w:r w:rsidRPr="005A1F62">
        <w:t xml:space="preserve">, которые определяются по оценкам за соответствие практик управления данными рисками в банке наилучшим практикам. </w:t>
      </w:r>
    </w:p>
    <w:p w14:paraId="3E2BB731" w14:textId="77777777" w:rsidR="00651F1B" w:rsidRPr="005A1F62" w:rsidRDefault="00651F1B" w:rsidP="00651F1B">
      <w:pPr>
        <w:tabs>
          <w:tab w:val="left" w:pos="709"/>
        </w:tabs>
        <w:ind w:firstLine="567"/>
        <w:contextualSpacing/>
        <w:jc w:val="both"/>
      </w:pPr>
    </w:p>
    <w:p w14:paraId="2E1FA1B1" w14:textId="77777777" w:rsidR="00651F1B" w:rsidRPr="005A1F62" w:rsidDel="004674FB" w:rsidRDefault="00651F1B" w:rsidP="00651F1B">
      <w:pPr>
        <w:ind w:left="567"/>
        <w:jc w:val="both"/>
        <w:rPr>
          <w:rFonts w:eastAsia="Arial Unicode MS"/>
          <w:b/>
          <w:bCs/>
          <w:sz w:val="20"/>
          <w:szCs w:val="20"/>
        </w:rPr>
      </w:pPr>
      <w:r w:rsidRPr="005A1F62">
        <w:rPr>
          <w:b/>
        </w:rPr>
        <w:t xml:space="preserve">Чек-лист для оценки качества управления кредитным риском ЮЛ, ИП и ФЛ </w:t>
      </w:r>
    </w:p>
    <w:tbl>
      <w:tblPr>
        <w:tblW w:w="0" w:type="auto"/>
        <w:tblInd w:w="98" w:type="dxa"/>
        <w:shd w:val="clear" w:color="auto" w:fill="FFFFFF" w:themeFill="background1"/>
        <w:tblLook w:val="0000" w:firstRow="0" w:lastRow="0" w:firstColumn="0" w:lastColumn="0" w:noHBand="0" w:noVBand="0"/>
      </w:tblPr>
      <w:tblGrid>
        <w:gridCol w:w="456"/>
        <w:gridCol w:w="8201"/>
        <w:gridCol w:w="590"/>
      </w:tblGrid>
      <w:tr w:rsidR="00C6229E" w:rsidRPr="005A1F62" w14:paraId="335AAFDE"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AD81F" w14:textId="77777777" w:rsidR="00651F1B" w:rsidRPr="005A1F62" w:rsidRDefault="00651F1B" w:rsidP="00C6229E">
            <w:pPr>
              <w:tabs>
                <w:tab w:val="left" w:pos="709"/>
              </w:tabs>
              <w:jc w:val="center"/>
              <w:rPr>
                <w:rFonts w:eastAsia="Arial Unicode MS"/>
              </w:rPr>
            </w:pPr>
            <w:r w:rsidRPr="005A1F62">
              <w:rPr>
                <w:rFonts w:eastAsia="Arial Unicode MS"/>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1E869" w14:textId="77777777" w:rsidR="00651F1B" w:rsidRPr="005A1F62" w:rsidRDefault="00651F1B" w:rsidP="00C6229E">
            <w:pPr>
              <w:tabs>
                <w:tab w:val="left" w:pos="709"/>
              </w:tabs>
              <w:jc w:val="both"/>
              <w:rPr>
                <w:rFonts w:eastAsia="Arial Unicode MS"/>
                <w:b/>
                <w:bCs/>
              </w:rPr>
            </w:pPr>
            <w:r w:rsidRPr="005A1F62">
              <w:rPr>
                <w:rFonts w:eastAsia="Arial Unicode MS"/>
                <w:b/>
                <w:bCs/>
              </w:rPr>
              <w:t>Кредитные риски ЮЛ и ИП</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E0B78" w14:textId="77777777" w:rsidR="00651F1B" w:rsidRPr="005A1F62" w:rsidRDefault="00651F1B" w:rsidP="00C6229E">
            <w:pPr>
              <w:tabs>
                <w:tab w:val="left" w:pos="709"/>
              </w:tabs>
              <w:jc w:val="center"/>
              <w:rPr>
                <w:rFonts w:eastAsia="Arial Unicode MS"/>
                <w:b/>
                <w:bCs/>
              </w:rPr>
            </w:pPr>
            <w:r w:rsidRPr="005A1F62">
              <w:rPr>
                <w:rFonts w:eastAsia="Arial Unicode MS"/>
                <w:b/>
                <w:bCs/>
              </w:rPr>
              <w:t>Вес</w:t>
            </w:r>
          </w:p>
        </w:tc>
      </w:tr>
      <w:tr w:rsidR="00C6229E" w:rsidRPr="005A1F62" w14:paraId="23B9DA40"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19B71C" w14:textId="77777777" w:rsidR="00651F1B" w:rsidRPr="005A1F62" w:rsidRDefault="00651F1B" w:rsidP="00C6229E">
            <w:pPr>
              <w:tabs>
                <w:tab w:val="left" w:pos="709"/>
              </w:tabs>
              <w:jc w:val="center"/>
            </w:pPr>
            <w:r w:rsidRPr="005A1F62">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27062" w14:textId="0882384D" w:rsidR="00651F1B" w:rsidRPr="005A1F62" w:rsidRDefault="00651F1B" w:rsidP="00C6229E">
            <w:pPr>
              <w:tabs>
                <w:tab w:val="left" w:pos="709"/>
              </w:tabs>
              <w:jc w:val="both"/>
              <w:rPr>
                <w:rFonts w:eastAsia="Arial Unicode MS"/>
              </w:rPr>
            </w:pPr>
            <w:r w:rsidRPr="005A1F62">
              <w:rPr>
                <w:rFonts w:eastAsia="Arial Unicode MS"/>
              </w:rPr>
              <w:t>Существует адекватная методика управления кредитными рисками по кредитам ЮЛ</w:t>
            </w:r>
            <w:r w:rsidR="004F4005" w:rsidRPr="005A1F62">
              <w:rPr>
                <w:rFonts w:eastAsia="Arial Unicode MS"/>
              </w:rPr>
              <w:t>. П</w:t>
            </w:r>
            <w:r w:rsidRPr="005A1F62">
              <w:rPr>
                <w:rFonts w:eastAsia="Arial Unicode MS"/>
              </w:rPr>
              <w:t>оследнее обновление документа происходило не более трех лет назад</w:t>
            </w:r>
            <w:r w:rsidR="004F4005" w:rsidRPr="005A1F62">
              <w:rPr>
                <w:rFonts w:eastAsia="Arial Unicode MS"/>
              </w:rPr>
              <w:t xml:space="preserve"> </w:t>
            </w:r>
            <w:r w:rsidR="004F4005" w:rsidRPr="005A1F62">
              <w:rPr>
                <w:rFonts w:eastAsia="Calibri"/>
                <w:lang w:eastAsia="en-US"/>
              </w:rPr>
              <w:t>(выполняется / выполняется частично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E36D1"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37E8F8E5"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6996D" w14:textId="77777777" w:rsidR="00651F1B" w:rsidRPr="005A1F62" w:rsidRDefault="00651F1B" w:rsidP="00C6229E">
            <w:pPr>
              <w:tabs>
                <w:tab w:val="left" w:pos="709"/>
              </w:tabs>
              <w:jc w:val="center"/>
            </w:pPr>
            <w:r w:rsidRPr="005A1F62">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8ABB6" w14:textId="39FA5A72" w:rsidR="00651F1B" w:rsidRPr="005A1F62" w:rsidRDefault="00651F1B" w:rsidP="00C6229E">
            <w:pPr>
              <w:tabs>
                <w:tab w:val="left" w:pos="709"/>
              </w:tabs>
              <w:jc w:val="both"/>
              <w:rPr>
                <w:rFonts w:eastAsia="Arial Unicode MS"/>
              </w:rPr>
            </w:pPr>
            <w:r w:rsidRPr="005A1F62">
              <w:rPr>
                <w:rFonts w:eastAsia="Arial Unicode MS"/>
              </w:rPr>
              <w:t>В состав кредитного комитета входят представители юридической службы</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90390B"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61348D39"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A12EDF" w14:textId="77777777" w:rsidR="00651F1B" w:rsidRPr="005A1F62" w:rsidRDefault="00651F1B" w:rsidP="00C6229E">
            <w:pPr>
              <w:tabs>
                <w:tab w:val="left" w:pos="709"/>
              </w:tabs>
              <w:jc w:val="center"/>
            </w:pPr>
            <w:r w:rsidRPr="005A1F62">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29D4" w14:textId="25E0AAD4" w:rsidR="00651F1B" w:rsidRPr="005A1F62" w:rsidRDefault="00945108" w:rsidP="00C6229E">
            <w:pPr>
              <w:tabs>
                <w:tab w:val="left" w:pos="709"/>
              </w:tabs>
              <w:jc w:val="both"/>
              <w:rPr>
                <w:rFonts w:eastAsia="Arial Unicode MS"/>
              </w:rPr>
            </w:pPr>
            <w:r w:rsidRPr="005A1F62">
              <w:t>Представители риск-менеджмента обладают правом совещательного голоса на кредитном комитете и (или) правом наложить вето на совершение сделки (выполняется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A19DED"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2294CE45"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1AB4C6" w14:textId="77777777" w:rsidR="00651F1B" w:rsidRPr="005A1F62" w:rsidRDefault="00651F1B" w:rsidP="00C6229E">
            <w:pPr>
              <w:tabs>
                <w:tab w:val="left" w:pos="709"/>
              </w:tabs>
              <w:jc w:val="center"/>
            </w:pPr>
            <w:r w:rsidRPr="005A1F62">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5ED70" w14:textId="4EB222C1" w:rsidR="00651F1B" w:rsidRPr="005A1F62" w:rsidRDefault="00651F1B" w:rsidP="00C6229E">
            <w:pPr>
              <w:tabs>
                <w:tab w:val="left" w:pos="709"/>
              </w:tabs>
              <w:jc w:val="both"/>
              <w:rPr>
                <w:rFonts w:eastAsia="Arial Unicode MS"/>
              </w:rPr>
            </w:pPr>
            <w:r w:rsidRPr="005A1F62">
              <w:rPr>
                <w:rFonts w:eastAsia="Arial Unicode MS"/>
              </w:rPr>
              <w:t>В состав кредитного комитета входят представители службы безопасности</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C2D5E6"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48598B6C"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B9EE41" w14:textId="77777777" w:rsidR="00651F1B" w:rsidRPr="005A1F62" w:rsidRDefault="00651F1B" w:rsidP="00C6229E">
            <w:pPr>
              <w:tabs>
                <w:tab w:val="left" w:pos="709"/>
              </w:tabs>
              <w:jc w:val="center"/>
            </w:pPr>
            <w:r w:rsidRPr="005A1F62">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60E81" w14:textId="317C4BDB" w:rsidR="00651F1B" w:rsidRPr="005A1F62" w:rsidRDefault="00651F1B" w:rsidP="00C6229E">
            <w:pPr>
              <w:tabs>
                <w:tab w:val="left" w:pos="709"/>
              </w:tabs>
              <w:jc w:val="both"/>
              <w:rPr>
                <w:rFonts w:eastAsia="Arial Unicode MS"/>
              </w:rPr>
            </w:pPr>
            <w:r w:rsidRPr="005A1F62">
              <w:rPr>
                <w:rFonts w:eastAsia="Arial Unicode MS"/>
              </w:rPr>
              <w:t>Банк активно использует поручительства собственников как дополнительное обеспечение (помимо имущественного залога)</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972B01"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4B2F1ABC"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4681B5" w14:textId="77777777" w:rsidR="00651F1B" w:rsidRPr="005A1F62" w:rsidRDefault="00651F1B" w:rsidP="00C6229E">
            <w:pPr>
              <w:tabs>
                <w:tab w:val="left" w:pos="709"/>
              </w:tabs>
              <w:jc w:val="center"/>
            </w:pPr>
            <w:r w:rsidRPr="005A1F62">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ABD91" w14:textId="0A3BEB43" w:rsidR="00651F1B" w:rsidRPr="005A1F62" w:rsidRDefault="00651F1B" w:rsidP="00C6229E">
            <w:pPr>
              <w:tabs>
                <w:tab w:val="left" w:pos="709"/>
              </w:tabs>
              <w:jc w:val="both"/>
              <w:rPr>
                <w:rFonts w:eastAsia="Arial Unicode MS"/>
              </w:rPr>
            </w:pPr>
            <w:r w:rsidRPr="005A1F62">
              <w:rPr>
                <w:rFonts w:eastAsia="Arial Unicode MS"/>
              </w:rPr>
              <w:t>Банк активно использует практику фиксации ковенант в кредитных договорах (на кредиты с ковенантами приходится более 30% кредитов ЮЛ и ИП)</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774217"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C6229E" w:rsidRPr="005A1F62" w14:paraId="1202C981"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188D8" w14:textId="77777777" w:rsidR="00651F1B" w:rsidRPr="005A1F62" w:rsidRDefault="00651F1B" w:rsidP="00C6229E">
            <w:pPr>
              <w:tabs>
                <w:tab w:val="left" w:pos="709"/>
              </w:tabs>
              <w:jc w:val="center"/>
              <w:rPr>
                <w:rFonts w:eastAsia="Arial Unicode MS"/>
              </w:rPr>
            </w:pPr>
            <w:r w:rsidRPr="005A1F62">
              <w:rPr>
                <w:rFonts w:eastAsia="Arial Unicode MS"/>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BAB8C" w14:textId="704EA9D5" w:rsidR="00651F1B" w:rsidRPr="005A1F62" w:rsidRDefault="00651F1B" w:rsidP="00C6229E">
            <w:pPr>
              <w:tabs>
                <w:tab w:val="left" w:pos="709"/>
              </w:tabs>
              <w:jc w:val="both"/>
              <w:rPr>
                <w:rFonts w:eastAsia="Arial Unicode MS"/>
              </w:rPr>
            </w:pPr>
            <w:r w:rsidRPr="005A1F62">
              <w:rPr>
                <w:rFonts w:eastAsia="Arial Unicode MS"/>
              </w:rPr>
              <w:t>Агентством не выявлено прецедентов несоответствия процедур корпоративного кредитования действующим регламентам</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40F4F8"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C6229E" w:rsidRPr="005A1F62" w14:paraId="6035C755"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F913A3" w14:textId="77777777" w:rsidR="00651F1B" w:rsidRPr="005A1F62" w:rsidRDefault="00651F1B" w:rsidP="00C6229E">
            <w:pPr>
              <w:tabs>
                <w:tab w:val="left" w:pos="709"/>
              </w:tabs>
              <w:jc w:val="center"/>
              <w:rPr>
                <w:rFonts w:eastAsia="Arial Unicode MS"/>
              </w:rPr>
            </w:pPr>
            <w:r w:rsidRPr="005A1F62">
              <w:rPr>
                <w:rFonts w:eastAsia="Arial Unicode MS"/>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3096A" w14:textId="7AFD24EA" w:rsidR="00651F1B" w:rsidRPr="005A1F62" w:rsidRDefault="00651F1B" w:rsidP="00C6229E">
            <w:pPr>
              <w:tabs>
                <w:tab w:val="left" w:pos="709"/>
              </w:tabs>
              <w:jc w:val="both"/>
              <w:rPr>
                <w:rFonts w:eastAsia="Arial Unicode MS"/>
              </w:rPr>
            </w:pPr>
            <w:r w:rsidRPr="005A1F62">
              <w:rPr>
                <w:rFonts w:eastAsia="Arial Unicode MS"/>
              </w:rPr>
              <w:t xml:space="preserve">Более 70% полисов страхования залогов по страховой сумме по кредитам приходится на страховые компании с условными рейтинговыми классами </w:t>
            </w:r>
            <w:r w:rsidRPr="005A1F62">
              <w:rPr>
                <w:rFonts w:eastAsia="Arial Unicode MS"/>
                <w:lang w:val="en-US"/>
              </w:rPr>
              <w:t>ruBBB</w:t>
            </w:r>
            <w:r w:rsidRPr="005A1F62">
              <w:rPr>
                <w:rFonts w:eastAsia="Arial Unicode MS"/>
              </w:rPr>
              <w:t>+ и выше</w:t>
            </w:r>
            <w:r w:rsidR="00AD3E03" w:rsidRPr="005A1F62">
              <w:rPr>
                <w:rFonts w:eastAsia="Arial Unicode MS"/>
              </w:rPr>
              <w:t>,</w:t>
            </w:r>
            <w:r w:rsidRPr="005A1F62">
              <w:rPr>
                <w:rFonts w:eastAsia="Arial Unicode MS"/>
              </w:rPr>
              <w:t xml:space="preserve"> при этом застраховано более 50% залогов по залоговой стоимости</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D0000" w14:textId="77777777" w:rsidR="00651F1B" w:rsidRPr="005A1F62" w:rsidRDefault="00651F1B" w:rsidP="00C6229E">
            <w:pPr>
              <w:tabs>
                <w:tab w:val="left" w:pos="709"/>
              </w:tabs>
              <w:jc w:val="center"/>
              <w:rPr>
                <w:rFonts w:eastAsia="Arial Unicode MS"/>
              </w:rPr>
            </w:pPr>
            <w:r w:rsidRPr="005A1F62">
              <w:rPr>
                <w:rFonts w:eastAsia="Arial Unicode MS"/>
                <w:bCs/>
              </w:rPr>
              <w:t>2</w:t>
            </w:r>
          </w:p>
        </w:tc>
      </w:tr>
      <w:tr w:rsidR="00C6229E" w:rsidRPr="005A1F62" w14:paraId="4020DC29"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2CDEB9" w14:textId="77777777" w:rsidR="00651F1B" w:rsidRPr="005A1F62" w:rsidRDefault="00651F1B" w:rsidP="00C6229E">
            <w:pPr>
              <w:tabs>
                <w:tab w:val="left" w:pos="709"/>
              </w:tabs>
              <w:jc w:val="center"/>
              <w:rPr>
                <w:rFonts w:eastAsia="Arial Unicode MS"/>
              </w:rPr>
            </w:pPr>
            <w:r w:rsidRPr="005A1F62">
              <w:rPr>
                <w:rFonts w:eastAsia="Arial Unicode MS"/>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926B0" w14:textId="5E13D0ED" w:rsidR="00651F1B" w:rsidRPr="005A1F62" w:rsidRDefault="00651F1B" w:rsidP="00C6229E">
            <w:pPr>
              <w:tabs>
                <w:tab w:val="left" w:pos="709"/>
              </w:tabs>
              <w:jc w:val="both"/>
              <w:rPr>
                <w:rFonts w:eastAsia="Arial Unicode MS"/>
              </w:rPr>
            </w:pPr>
            <w:r w:rsidRPr="005A1F62">
              <w:rPr>
                <w:rFonts w:eastAsia="Arial Unicode MS"/>
              </w:rPr>
              <w:t xml:space="preserve">Сформирована специализированная служба, численность которой соответствует </w:t>
            </w:r>
            <w:proofErr w:type="gramStart"/>
            <w:r w:rsidRPr="005A1F62">
              <w:rPr>
                <w:rFonts w:eastAsia="Arial Unicode MS"/>
              </w:rPr>
              <w:t>масштабам бизнеса банка</w:t>
            </w:r>
            <w:proofErr w:type="gramEnd"/>
            <w:r w:rsidRPr="005A1F62">
              <w:rPr>
                <w:rFonts w:eastAsia="Arial Unicode MS"/>
              </w:rPr>
              <w:t xml:space="preserve"> и которая обеспечивает судебное взыскание (включая взаимодействие с ФССП)</w:t>
            </w:r>
            <w:r w:rsidR="004F4005" w:rsidRPr="005A1F62">
              <w:rPr>
                <w:rFonts w:eastAsia="Calibri"/>
                <w:lang w:eastAsia="en-US"/>
              </w:rPr>
              <w:t xml:space="preserve"> </w:t>
            </w:r>
            <w:r w:rsidR="004A3CEB"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E12B7" w14:textId="77777777" w:rsidR="00651F1B" w:rsidRPr="005A1F62" w:rsidRDefault="00651F1B" w:rsidP="00C6229E">
            <w:pPr>
              <w:tabs>
                <w:tab w:val="left" w:pos="709"/>
              </w:tabs>
              <w:jc w:val="center"/>
              <w:rPr>
                <w:rFonts w:eastAsia="Arial Unicode MS"/>
              </w:rPr>
            </w:pPr>
            <w:r w:rsidRPr="005A1F62">
              <w:rPr>
                <w:rFonts w:eastAsia="Arial Unicode MS"/>
                <w:bCs/>
              </w:rPr>
              <w:t>1</w:t>
            </w:r>
          </w:p>
        </w:tc>
      </w:tr>
      <w:tr w:rsidR="00C6229E" w:rsidRPr="005A1F62" w14:paraId="29744BF3"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AD707" w14:textId="77777777" w:rsidR="00651F1B" w:rsidRPr="005A1F62" w:rsidRDefault="00651F1B" w:rsidP="00C6229E">
            <w:pPr>
              <w:tabs>
                <w:tab w:val="left" w:pos="709"/>
              </w:tabs>
              <w:jc w:val="center"/>
              <w:rPr>
                <w:rFonts w:eastAsia="Arial Unicode MS"/>
              </w:rPr>
            </w:pPr>
            <w:r w:rsidRPr="005A1F62">
              <w:rPr>
                <w:rFonts w:eastAsia="Arial Unicode MS"/>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01FC" w14:textId="65477C83" w:rsidR="00651F1B" w:rsidRPr="005A1F62" w:rsidRDefault="00651F1B" w:rsidP="00C6229E">
            <w:pPr>
              <w:tabs>
                <w:tab w:val="left" w:pos="709"/>
              </w:tabs>
              <w:jc w:val="both"/>
              <w:rPr>
                <w:rFonts w:eastAsia="Arial Unicode MS"/>
              </w:rPr>
            </w:pPr>
            <w:r w:rsidRPr="005A1F62">
              <w:rPr>
                <w:rFonts w:eastAsia="Arial Unicode MS"/>
              </w:rPr>
              <w:t>Доля просроченной задолженности по кредитам ЮЛ и ИП превышает среднерыночный уровень не более чем на 2 п. п. (на дату оценки и на каждую отчетную дату в ретроспективе 12 месяцев)</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40DD3D"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2E8EB0D4"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261C5" w14:textId="77777777" w:rsidR="00651F1B" w:rsidRPr="005A1F62" w:rsidRDefault="00651F1B" w:rsidP="00C6229E">
            <w:pPr>
              <w:tabs>
                <w:tab w:val="left" w:pos="709"/>
              </w:tabs>
              <w:jc w:val="center"/>
              <w:rPr>
                <w:rFonts w:eastAsia="Arial Unicode MS"/>
              </w:rPr>
            </w:pPr>
            <w:r w:rsidRPr="005A1F62">
              <w:rPr>
                <w:rFonts w:eastAsia="Arial Unicode MS"/>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C11F" w14:textId="1D27FB77" w:rsidR="00651F1B" w:rsidRPr="005A1F62" w:rsidRDefault="00651F1B" w:rsidP="00C6229E">
            <w:pPr>
              <w:tabs>
                <w:tab w:val="left" w:pos="709"/>
              </w:tabs>
              <w:jc w:val="both"/>
              <w:rPr>
                <w:rFonts w:eastAsia="Arial Unicode MS"/>
              </w:rPr>
            </w:pPr>
            <w:r w:rsidRPr="005A1F62">
              <w:rPr>
                <w:rFonts w:eastAsia="Arial Unicode MS"/>
              </w:rPr>
              <w:t>Доля ссуд IV и V категорий качества в неоднородных и однородных ссудах ЮЛ и ИП превышает среднерыночный уровень не более чем на 2 п. п. (на дату оценки и на каждую отчетную дату в ретроспективе 12 месяцев)</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A69429"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3891DCFE"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2276E1" w14:textId="6A439F81" w:rsidR="00651F1B" w:rsidRPr="005A1F62" w:rsidRDefault="00651F1B" w:rsidP="00C6229E">
            <w:pPr>
              <w:tabs>
                <w:tab w:val="left" w:pos="709"/>
              </w:tabs>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37629D" w14:textId="77777777" w:rsidR="00651F1B" w:rsidRPr="005A1F62" w:rsidRDefault="00651F1B" w:rsidP="00C6229E">
            <w:pPr>
              <w:tabs>
                <w:tab w:val="left" w:pos="709"/>
              </w:tabs>
              <w:jc w:val="both"/>
              <w:rPr>
                <w:rFonts w:eastAsia="Arial Unicode MS"/>
                <w:b/>
                <w:bCs/>
              </w:rPr>
            </w:pPr>
            <w:r w:rsidRPr="005A1F62">
              <w:rPr>
                <w:rFonts w:eastAsia="Arial Unicode MS"/>
                <w:b/>
                <w:bCs/>
              </w:rPr>
              <w:t>Кредитные риски</w:t>
            </w:r>
            <w:r w:rsidRPr="005A1F62">
              <w:rPr>
                <w:rFonts w:eastAsia="Arial Unicode MS"/>
                <w:b/>
                <w:bCs/>
                <w:lang w:val="en-US"/>
              </w:rPr>
              <w:t xml:space="preserve"> </w:t>
            </w:r>
            <w:r w:rsidRPr="005A1F62">
              <w:rPr>
                <w:rFonts w:eastAsia="Arial Unicode MS"/>
                <w:b/>
                <w:bCs/>
              </w:rPr>
              <w:t>ФЛ</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F08D1" w14:textId="77777777" w:rsidR="00651F1B" w:rsidRPr="005A1F62" w:rsidRDefault="00651F1B" w:rsidP="00C6229E">
            <w:pPr>
              <w:tabs>
                <w:tab w:val="left" w:pos="709"/>
              </w:tabs>
              <w:jc w:val="center"/>
              <w:rPr>
                <w:rFonts w:eastAsia="Arial Unicode MS"/>
                <w:b/>
                <w:bCs/>
              </w:rPr>
            </w:pPr>
            <w:r w:rsidRPr="005A1F62">
              <w:rPr>
                <w:rFonts w:eastAsia="Arial Unicode MS"/>
                <w:b/>
                <w:bCs/>
              </w:rPr>
              <w:t>Вес</w:t>
            </w:r>
          </w:p>
        </w:tc>
      </w:tr>
      <w:tr w:rsidR="00C6229E" w:rsidRPr="005A1F62" w14:paraId="62C352FA"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D7D669" w14:textId="77777777" w:rsidR="00651F1B" w:rsidRPr="005A1F62" w:rsidRDefault="00651F1B" w:rsidP="00C6229E">
            <w:pPr>
              <w:tabs>
                <w:tab w:val="left" w:pos="709"/>
              </w:tabs>
              <w:jc w:val="center"/>
            </w:pPr>
            <w:r w:rsidRPr="005A1F62">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967B0" w14:textId="5C7E15D9" w:rsidR="00651F1B" w:rsidRPr="005A1F62" w:rsidRDefault="00651F1B" w:rsidP="00C6229E">
            <w:pPr>
              <w:tabs>
                <w:tab w:val="left" w:pos="709"/>
              </w:tabs>
              <w:jc w:val="both"/>
              <w:rPr>
                <w:rFonts w:eastAsia="Arial Unicode MS"/>
              </w:rPr>
            </w:pPr>
            <w:r w:rsidRPr="005A1F62">
              <w:rPr>
                <w:rFonts w:eastAsia="Arial Unicode MS"/>
              </w:rPr>
              <w:t>Существует адекватная методика управления кредитными рисками по кредитам ФЛ</w:t>
            </w:r>
            <w:r w:rsidR="004F4005" w:rsidRPr="005A1F62">
              <w:rPr>
                <w:rFonts w:eastAsia="Arial Unicode MS"/>
              </w:rPr>
              <w:t>. П</w:t>
            </w:r>
            <w:r w:rsidRPr="005A1F62">
              <w:rPr>
                <w:rFonts w:eastAsia="Arial Unicode MS"/>
              </w:rPr>
              <w:t>ри этом последнее обновление документа происходило не более трех лет назад</w:t>
            </w:r>
            <w:r w:rsidR="004F4005" w:rsidRPr="005A1F62">
              <w:rPr>
                <w:rFonts w:eastAsia="Arial Unicode MS"/>
              </w:rPr>
              <w:t xml:space="preserve"> </w:t>
            </w:r>
            <w:r w:rsidR="004F4005" w:rsidRPr="005A1F62">
              <w:rPr>
                <w:rFonts w:eastAsia="Calibri"/>
                <w:lang w:eastAsia="en-US"/>
              </w:rPr>
              <w:t>(выполняется / выполняется частично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1BBA35"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4C7C2438"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324D9" w14:textId="77777777" w:rsidR="00651F1B" w:rsidRPr="005A1F62" w:rsidRDefault="00651F1B" w:rsidP="00C6229E">
            <w:pPr>
              <w:tabs>
                <w:tab w:val="left" w:pos="709"/>
              </w:tabs>
              <w:jc w:val="center"/>
            </w:pPr>
            <w:r w:rsidRPr="005A1F62">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9857A" w14:textId="6C1914F3" w:rsidR="00651F1B" w:rsidRPr="005A1F62" w:rsidRDefault="00651F1B" w:rsidP="00C6229E">
            <w:pPr>
              <w:tabs>
                <w:tab w:val="left" w:pos="709"/>
              </w:tabs>
              <w:jc w:val="both"/>
              <w:rPr>
                <w:rFonts w:eastAsia="Arial Unicode MS"/>
              </w:rPr>
            </w:pPr>
            <w:r w:rsidRPr="005A1F62">
              <w:rPr>
                <w:rFonts w:eastAsia="Arial Unicode MS"/>
              </w:rPr>
              <w:t>Кредитные риски по ФЛ оцениваются на основе скоринговых моделей, по данным статистики глубиной не менее трех лет</w:t>
            </w:r>
            <w:r w:rsidR="004F4005" w:rsidRPr="005A1F62">
              <w:rPr>
                <w:rFonts w:eastAsia="Arial Unicode MS"/>
              </w:rPr>
              <w:t>. О</w:t>
            </w:r>
            <w:r w:rsidRPr="005A1F62">
              <w:rPr>
                <w:rFonts w:eastAsia="Arial Unicode MS"/>
              </w:rPr>
              <w:t xml:space="preserve">сновные параметры модели актуализируются не реже одного раза в год </w:t>
            </w:r>
            <w:r w:rsidR="004F4005" w:rsidRPr="005A1F62">
              <w:rPr>
                <w:rFonts w:eastAsia="Calibri"/>
                <w:lang w:eastAsia="en-US"/>
              </w:rPr>
              <w:t>(выполняется / выполняется частично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4281D9"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C6229E" w:rsidRPr="005A1F62" w14:paraId="1D0CE40F"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864FA3" w14:textId="77777777" w:rsidR="00651F1B" w:rsidRPr="005A1F62" w:rsidRDefault="00651F1B" w:rsidP="00C6229E">
            <w:pPr>
              <w:tabs>
                <w:tab w:val="left" w:pos="709"/>
              </w:tabs>
              <w:jc w:val="center"/>
            </w:pPr>
            <w:r w:rsidRPr="005A1F62">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A0226" w14:textId="0B02B5A6" w:rsidR="00651F1B" w:rsidRPr="005A1F62" w:rsidRDefault="00651F1B" w:rsidP="00C6229E">
            <w:pPr>
              <w:tabs>
                <w:tab w:val="left" w:pos="709"/>
              </w:tabs>
              <w:jc w:val="both"/>
              <w:rPr>
                <w:rFonts w:eastAsia="Arial Unicode MS"/>
              </w:rPr>
            </w:pPr>
            <w:r w:rsidRPr="005A1F62">
              <w:rPr>
                <w:rFonts w:eastAsia="Arial Unicode MS"/>
              </w:rPr>
              <w:t>В процессе принятия решения о выдаче кредита ФЛ участвуют представители службы безопасности</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212ECB"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3D9EE44B"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95E3C7" w14:textId="77777777" w:rsidR="00651F1B" w:rsidRPr="005A1F62" w:rsidRDefault="00651F1B" w:rsidP="00C6229E">
            <w:pPr>
              <w:tabs>
                <w:tab w:val="left" w:pos="709"/>
              </w:tabs>
              <w:jc w:val="center"/>
            </w:pPr>
            <w:r w:rsidRPr="005A1F62">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F1FB" w14:textId="1945966E" w:rsidR="00651F1B" w:rsidRPr="005A1F62" w:rsidRDefault="00651F1B" w:rsidP="00C6229E">
            <w:pPr>
              <w:tabs>
                <w:tab w:val="left" w:pos="709"/>
              </w:tabs>
              <w:jc w:val="both"/>
              <w:rPr>
                <w:rFonts w:eastAsia="Arial Unicode MS"/>
              </w:rPr>
            </w:pPr>
            <w:r w:rsidRPr="005A1F62">
              <w:rPr>
                <w:rFonts w:eastAsia="Arial Unicode MS"/>
              </w:rPr>
              <w:t>Банк проводит обязательную проверку заемщика в бюро кредитных историй</w:t>
            </w:r>
            <w:r w:rsidR="004F4005" w:rsidRPr="005A1F62">
              <w:rPr>
                <w:rFonts w:eastAsia="Arial Unicode MS"/>
              </w:rPr>
              <w:t>. Банк</w:t>
            </w:r>
            <w:r w:rsidRPr="005A1F62">
              <w:rPr>
                <w:rFonts w:eastAsia="Arial Unicode MS"/>
              </w:rPr>
              <w:t xml:space="preserve"> сотрудничает более чем с одним БКИ</w:t>
            </w:r>
            <w:r w:rsidR="004F4005" w:rsidRPr="005A1F62">
              <w:rPr>
                <w:rFonts w:eastAsia="Arial Unicode MS"/>
              </w:rPr>
              <w:t xml:space="preserve"> </w:t>
            </w:r>
            <w:r w:rsidR="004F4005" w:rsidRPr="005A1F62">
              <w:rPr>
                <w:rFonts w:eastAsia="Calibri"/>
                <w:lang w:eastAsia="en-US"/>
              </w:rPr>
              <w:t>(выполняется / выполняется частично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2F5DC"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66AFB13D"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A8F641" w14:textId="77777777" w:rsidR="00651F1B" w:rsidRPr="005A1F62" w:rsidRDefault="00651F1B" w:rsidP="00C6229E">
            <w:pPr>
              <w:tabs>
                <w:tab w:val="left" w:pos="709"/>
              </w:tabs>
              <w:jc w:val="center"/>
            </w:pPr>
            <w:r w:rsidRPr="005A1F62">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BC965" w14:textId="78999A99" w:rsidR="00651F1B" w:rsidRPr="005A1F62" w:rsidRDefault="00651F1B" w:rsidP="00C6229E">
            <w:pPr>
              <w:tabs>
                <w:tab w:val="left" w:pos="709"/>
              </w:tabs>
              <w:jc w:val="both"/>
              <w:rPr>
                <w:rFonts w:eastAsia="Arial Unicode MS"/>
              </w:rPr>
            </w:pPr>
            <w:r w:rsidRPr="005A1F62">
              <w:rPr>
                <w:rFonts w:eastAsia="Arial Unicode MS"/>
              </w:rPr>
              <w:t>Доля задолженности зарплатных клиентов в портфеле ссуд ФЛ составляет более 1/3 на последнюю квартальную дату</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6A00DA"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5BC335F4"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F6FB6" w14:textId="77777777" w:rsidR="00651F1B" w:rsidRPr="005A1F62" w:rsidRDefault="00651F1B" w:rsidP="00C6229E">
            <w:pPr>
              <w:tabs>
                <w:tab w:val="left" w:pos="709"/>
              </w:tabs>
              <w:jc w:val="center"/>
            </w:pPr>
            <w:r w:rsidRPr="005A1F62">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D914E" w14:textId="4708B27E" w:rsidR="00651F1B" w:rsidRPr="005A1F62" w:rsidRDefault="00651F1B" w:rsidP="00C6229E">
            <w:pPr>
              <w:tabs>
                <w:tab w:val="left" w:pos="709"/>
              </w:tabs>
              <w:jc w:val="both"/>
              <w:rPr>
                <w:rFonts w:eastAsia="Arial Unicode MS"/>
              </w:rPr>
            </w:pPr>
            <w:r w:rsidRPr="005A1F62">
              <w:rPr>
                <w:rFonts w:eastAsia="Arial Unicode MS"/>
              </w:rPr>
              <w:t>Банк страхует жизнь заемщиков по ипотечным кредитам, либо такие кредиты занимают менее 2% кредитов ФЛ на последнюю отчетную дату</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C1E4D"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C6229E" w:rsidRPr="005A1F62" w14:paraId="62F750BA"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F9C481" w14:textId="77777777" w:rsidR="00651F1B" w:rsidRPr="005A1F62" w:rsidRDefault="00651F1B" w:rsidP="00C6229E">
            <w:pPr>
              <w:tabs>
                <w:tab w:val="left" w:pos="709"/>
              </w:tabs>
              <w:jc w:val="center"/>
            </w:pPr>
            <w:r w:rsidRPr="005A1F62">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4742A" w14:textId="29943641" w:rsidR="00651F1B" w:rsidRPr="005A1F62" w:rsidRDefault="00651F1B" w:rsidP="00C6229E">
            <w:pPr>
              <w:tabs>
                <w:tab w:val="left" w:pos="709"/>
              </w:tabs>
              <w:jc w:val="both"/>
              <w:rPr>
                <w:rFonts w:eastAsia="Arial Unicode MS"/>
              </w:rPr>
            </w:pPr>
            <w:r w:rsidRPr="005A1F62">
              <w:rPr>
                <w:rFonts w:eastAsia="Arial Unicode MS"/>
              </w:rPr>
              <w:t>Агентством не выявлено прецедентов несоответствия процедур розничного кредитования действующим регламентам</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926EE" w14:textId="77777777" w:rsidR="00651F1B" w:rsidRPr="005A1F62" w:rsidRDefault="00651F1B" w:rsidP="00C6229E">
            <w:pPr>
              <w:tabs>
                <w:tab w:val="left" w:pos="709"/>
              </w:tabs>
              <w:jc w:val="center"/>
              <w:rPr>
                <w:rFonts w:eastAsia="Arial Unicode MS"/>
                <w:bCs/>
              </w:rPr>
            </w:pPr>
            <w:r w:rsidRPr="005A1F62">
              <w:rPr>
                <w:rFonts w:eastAsia="Arial Unicode MS"/>
                <w:bCs/>
              </w:rPr>
              <w:t>2</w:t>
            </w:r>
          </w:p>
        </w:tc>
      </w:tr>
      <w:tr w:rsidR="00C6229E" w:rsidRPr="005A1F62" w14:paraId="0B49CFE4"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E0C85C" w14:textId="77777777" w:rsidR="00651F1B" w:rsidRPr="005A1F62" w:rsidRDefault="00651F1B" w:rsidP="00C6229E">
            <w:pPr>
              <w:tabs>
                <w:tab w:val="left" w:pos="709"/>
              </w:tabs>
              <w:jc w:val="center"/>
            </w:pPr>
            <w:r w:rsidRPr="005A1F62">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354A0" w14:textId="6DDB5349" w:rsidR="00651F1B" w:rsidRPr="005A1F62" w:rsidRDefault="00651F1B" w:rsidP="00C6229E">
            <w:pPr>
              <w:tabs>
                <w:tab w:val="left" w:pos="709"/>
              </w:tabs>
              <w:jc w:val="both"/>
              <w:rPr>
                <w:rFonts w:eastAsia="Arial Unicode MS"/>
              </w:rPr>
            </w:pPr>
            <w:r w:rsidRPr="005A1F62">
              <w:rPr>
                <w:rFonts w:eastAsia="Arial Unicode MS"/>
              </w:rPr>
              <w:t xml:space="preserve">Более 70% полисов страхования залогов по страховой сумме по кредитам приходится на страховые компании с условными рейтинговыми классами </w:t>
            </w:r>
            <w:r w:rsidRPr="005A1F62">
              <w:rPr>
                <w:rFonts w:eastAsia="Arial Unicode MS"/>
                <w:lang w:val="en-US"/>
              </w:rPr>
              <w:lastRenderedPageBreak/>
              <w:t>ruBBB</w:t>
            </w:r>
            <w:r w:rsidRPr="005A1F62">
              <w:rPr>
                <w:rFonts w:eastAsia="Arial Unicode MS"/>
              </w:rPr>
              <w:t>+ и выше, при этом застраховано более 50% залогов по залоговой стоимости</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26AD9" w14:textId="77777777" w:rsidR="00651F1B" w:rsidRPr="005A1F62" w:rsidRDefault="00651F1B" w:rsidP="00C6229E">
            <w:pPr>
              <w:tabs>
                <w:tab w:val="left" w:pos="709"/>
              </w:tabs>
              <w:jc w:val="center"/>
              <w:rPr>
                <w:rFonts w:eastAsia="Arial Unicode MS"/>
                <w:bCs/>
              </w:rPr>
            </w:pPr>
            <w:r w:rsidRPr="005A1F62">
              <w:rPr>
                <w:rFonts w:eastAsia="Arial Unicode MS"/>
                <w:bCs/>
              </w:rPr>
              <w:lastRenderedPageBreak/>
              <w:t>2</w:t>
            </w:r>
          </w:p>
        </w:tc>
      </w:tr>
      <w:tr w:rsidR="00C6229E" w:rsidRPr="005A1F62" w14:paraId="4FCD7C77"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91520" w14:textId="77777777" w:rsidR="00651F1B" w:rsidRPr="005A1F62" w:rsidRDefault="00651F1B" w:rsidP="00C6229E">
            <w:pPr>
              <w:tabs>
                <w:tab w:val="left" w:pos="709"/>
              </w:tabs>
              <w:jc w:val="center"/>
            </w:pPr>
            <w:r w:rsidRPr="005A1F62">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C486A" w14:textId="62443D74" w:rsidR="00651F1B" w:rsidRPr="005A1F62" w:rsidRDefault="00651F1B" w:rsidP="00C6229E">
            <w:pPr>
              <w:tabs>
                <w:tab w:val="left" w:pos="709"/>
              </w:tabs>
              <w:jc w:val="both"/>
              <w:rPr>
                <w:rFonts w:eastAsia="Arial Unicode MS"/>
              </w:rPr>
            </w:pPr>
            <w:r w:rsidRPr="005A1F62">
              <w:rPr>
                <w:rFonts w:eastAsia="Arial Unicode MS"/>
              </w:rPr>
              <w:t xml:space="preserve">Сформирована специализированная служба, численность которой соответствует </w:t>
            </w:r>
            <w:proofErr w:type="gramStart"/>
            <w:r w:rsidRPr="005A1F62">
              <w:rPr>
                <w:rFonts w:eastAsia="Arial Unicode MS"/>
              </w:rPr>
              <w:t>масштабам бизнеса банка</w:t>
            </w:r>
            <w:proofErr w:type="gramEnd"/>
            <w:r w:rsidRPr="005A1F62">
              <w:rPr>
                <w:rFonts w:eastAsia="Arial Unicode MS"/>
              </w:rPr>
              <w:t xml:space="preserve"> и которая обеспечивает судебное взыскание (включая взаимодействие с ФССП)</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2D18B" w14:textId="77777777" w:rsidR="00651F1B" w:rsidRPr="005A1F62" w:rsidRDefault="00651F1B" w:rsidP="00C6229E">
            <w:pPr>
              <w:tabs>
                <w:tab w:val="left" w:pos="709"/>
              </w:tabs>
              <w:jc w:val="center"/>
              <w:rPr>
                <w:rFonts w:eastAsia="Arial Unicode MS"/>
                <w:bCs/>
              </w:rPr>
            </w:pPr>
            <w:r w:rsidRPr="005A1F62">
              <w:rPr>
                <w:rFonts w:eastAsia="Arial Unicode MS"/>
                <w:bCs/>
              </w:rPr>
              <w:t>1</w:t>
            </w:r>
          </w:p>
        </w:tc>
      </w:tr>
      <w:tr w:rsidR="00C6229E" w:rsidRPr="005A1F62" w14:paraId="7B951DE1"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2CB933" w14:textId="77777777" w:rsidR="00651F1B" w:rsidRPr="005A1F62" w:rsidRDefault="00651F1B" w:rsidP="00C6229E">
            <w:pPr>
              <w:tabs>
                <w:tab w:val="left" w:pos="709"/>
              </w:tabs>
              <w:jc w:val="center"/>
            </w:pPr>
            <w:r w:rsidRPr="005A1F62">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99671" w14:textId="4AE3A17A" w:rsidR="00651F1B" w:rsidRPr="005A1F62" w:rsidRDefault="00651F1B" w:rsidP="00C6229E">
            <w:pPr>
              <w:tabs>
                <w:tab w:val="left" w:pos="709"/>
              </w:tabs>
              <w:jc w:val="both"/>
              <w:rPr>
                <w:rFonts w:eastAsia="Arial Unicode MS"/>
              </w:rPr>
            </w:pPr>
            <w:r w:rsidRPr="005A1F62">
              <w:rPr>
                <w:rFonts w:eastAsia="Arial Unicode MS"/>
              </w:rPr>
              <w:t>Доля просроченной задолженности по кредитам ФЛ превышает среднерыночный уровень не более чем на 2 п. п. (на дату оценки и на каждую отчетную дату в ретроспективе 12 месяцев)</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D60BD" w14:textId="77777777" w:rsidR="00651F1B" w:rsidRPr="005A1F62" w:rsidRDefault="00651F1B" w:rsidP="00C6229E">
            <w:pPr>
              <w:tabs>
                <w:tab w:val="left" w:pos="709"/>
              </w:tabs>
              <w:jc w:val="center"/>
              <w:rPr>
                <w:rFonts w:eastAsia="Arial Unicode MS"/>
                <w:bCs/>
              </w:rPr>
            </w:pPr>
            <w:r w:rsidRPr="005A1F62">
              <w:rPr>
                <w:rFonts w:eastAsia="Arial Unicode MS"/>
                <w:bCs/>
              </w:rPr>
              <w:t>1</w:t>
            </w:r>
          </w:p>
        </w:tc>
      </w:tr>
      <w:tr w:rsidR="00C6229E" w:rsidRPr="005A1F62" w14:paraId="2B5B0496" w14:textId="77777777" w:rsidTr="00C622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83E2C" w14:textId="77777777" w:rsidR="00651F1B" w:rsidRPr="005A1F62" w:rsidRDefault="00651F1B" w:rsidP="00C6229E">
            <w:pPr>
              <w:tabs>
                <w:tab w:val="left" w:pos="709"/>
              </w:tabs>
              <w:jc w:val="center"/>
            </w:pPr>
            <w:r w:rsidRPr="005A1F62">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5D429" w14:textId="10FE774C" w:rsidR="00651F1B" w:rsidRPr="005A1F62" w:rsidRDefault="00651F1B" w:rsidP="00C6229E">
            <w:pPr>
              <w:tabs>
                <w:tab w:val="left" w:pos="709"/>
              </w:tabs>
              <w:jc w:val="both"/>
              <w:rPr>
                <w:rFonts w:eastAsia="Arial Unicode MS"/>
              </w:rPr>
            </w:pPr>
            <w:bookmarkStart w:id="222" w:name="_Hlk508620698"/>
            <w:r w:rsidRPr="005A1F62">
              <w:rPr>
                <w:rFonts w:eastAsia="Arial Unicode MS"/>
              </w:rPr>
              <w:t xml:space="preserve">Доля однородных ссуд ФЛ без просрочек превышает 80% </w:t>
            </w:r>
            <w:bookmarkEnd w:id="222"/>
            <w:r w:rsidRPr="005A1F62">
              <w:rPr>
                <w:rFonts w:eastAsia="Arial Unicode MS"/>
              </w:rPr>
              <w:t>(на дату оценки и на каждую отчетную дату в ретроспективе 12 месяцев)</w:t>
            </w:r>
            <w:r w:rsidR="004F4005" w:rsidRPr="005A1F62">
              <w:rPr>
                <w:rFonts w:eastAsia="Arial Unicode MS"/>
              </w:rPr>
              <w:t xml:space="preserve"> </w:t>
            </w:r>
            <w:r w:rsidR="004F4005" w:rsidRPr="005A1F62">
              <w:rPr>
                <w:rFonts w:eastAsia="Calibri"/>
                <w:lang w:eastAsia="en-US"/>
              </w:rPr>
              <w:t>(выполняется / не выполняется)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8E8E1" w14:textId="77777777" w:rsidR="00651F1B" w:rsidRPr="005A1F62" w:rsidRDefault="00651F1B" w:rsidP="00C6229E">
            <w:pPr>
              <w:tabs>
                <w:tab w:val="left" w:pos="709"/>
              </w:tabs>
              <w:jc w:val="center"/>
              <w:rPr>
                <w:rFonts w:eastAsia="Arial Unicode MS"/>
                <w:bCs/>
              </w:rPr>
            </w:pPr>
            <w:r w:rsidRPr="005A1F62">
              <w:rPr>
                <w:rFonts w:eastAsia="Arial Unicode MS"/>
                <w:bCs/>
              </w:rPr>
              <w:t>1</w:t>
            </w:r>
          </w:p>
        </w:tc>
      </w:tr>
    </w:tbl>
    <w:p w14:paraId="5DCBCA47" w14:textId="77777777" w:rsidR="00651F1B" w:rsidRPr="005A1F62" w:rsidRDefault="00651F1B" w:rsidP="00651F1B">
      <w:pPr>
        <w:tabs>
          <w:tab w:val="left" w:pos="709"/>
        </w:tabs>
        <w:ind w:firstLine="567"/>
        <w:contextualSpacing/>
        <w:jc w:val="both"/>
      </w:pPr>
    </w:p>
    <w:p w14:paraId="6E1BF330" w14:textId="40404313" w:rsidR="00651F1B" w:rsidRPr="005A1F62" w:rsidRDefault="00651F1B" w:rsidP="00651F1B">
      <w:pPr>
        <w:tabs>
          <w:tab w:val="left" w:pos="709"/>
        </w:tabs>
        <w:ind w:firstLine="567"/>
        <w:jc w:val="both"/>
      </w:pPr>
      <w:r w:rsidRPr="005A1F62">
        <w:t>Балл за управление кредитными рисками ЮЛ и ИП не может быть выше нуля, если определенный экспертным суждением объем недосозданных резервов по кредитам ЮЛ и ИП относительно соответствующего портфеля превышает 5% (на дату оценки или на любую дату в ретроспективе 12 месяцев).</w:t>
      </w:r>
    </w:p>
    <w:p w14:paraId="7C5A0518" w14:textId="732169FB" w:rsidR="00E21B38" w:rsidRPr="005A1F62" w:rsidRDefault="00E21B38" w:rsidP="00651F1B">
      <w:pPr>
        <w:tabs>
          <w:tab w:val="left" w:pos="709"/>
        </w:tabs>
        <w:ind w:firstLine="567"/>
        <w:jc w:val="both"/>
      </w:pPr>
      <w:r w:rsidRPr="005A1F62">
        <w:t>Балл за управление кредитными рисками ФЛ не может быть выше нуля, если определенный экспертным суждением объем недосозданных резервов по кредитам ФЛ относительно соответствующего портфеля превышает 5% (на дату оценки или на любую дату в ретроспективе 12 месяцев).</w:t>
      </w:r>
    </w:p>
    <w:p w14:paraId="414D59C5" w14:textId="77777777" w:rsidR="00651F1B" w:rsidRPr="005A1F62" w:rsidRDefault="00651F1B" w:rsidP="00651F1B">
      <w:pPr>
        <w:tabs>
          <w:tab w:val="left" w:pos="709"/>
        </w:tabs>
        <w:ind w:firstLine="567"/>
        <w:contextualSpacing/>
        <w:jc w:val="both"/>
      </w:pPr>
      <w:r w:rsidRPr="005A1F62">
        <w:t>Балл за управление кредитным риском может быть снижен (до уровня не ниже -1) при выявлении недостатков в практике оценки и управления кредитным риском, приходящимся на кредитные организации, которые выступают контрагентами по выданным межбанковским кредитам и размещенным на корреспондентских счетах средствах, при условии, что кредитный риск на контрагентов с условным рейтинговым классом ниже ruAA- и (или) кредитный риск по межбанковским сделкам, не имеющим обеспечения аналогичного кредитного качества, составлял не менее 5% чистых активов на любую из отчетных дат в течение предшествующих 12 месяцев.</w:t>
      </w:r>
    </w:p>
    <w:p w14:paraId="4F79B29B" w14:textId="77777777" w:rsidR="00651F1B" w:rsidRPr="005A1F62" w:rsidRDefault="00651F1B" w:rsidP="00651F1B">
      <w:pPr>
        <w:tabs>
          <w:tab w:val="left" w:pos="709"/>
        </w:tabs>
        <w:ind w:firstLine="567"/>
        <w:contextualSpacing/>
        <w:jc w:val="both"/>
      </w:pPr>
      <w:r w:rsidRPr="005A1F62">
        <w:t>К таким недостаткам могут быть отнесены:</w:t>
      </w:r>
    </w:p>
    <w:p w14:paraId="0AC5CE8F" w14:textId="77777777" w:rsidR="00651F1B" w:rsidRPr="005A1F62" w:rsidRDefault="00651F1B" w:rsidP="00651F1B">
      <w:pPr>
        <w:pStyle w:val="afb"/>
        <w:numPr>
          <w:ilvl w:val="0"/>
          <w:numId w:val="2"/>
        </w:numPr>
        <w:tabs>
          <w:tab w:val="left" w:pos="709"/>
        </w:tabs>
        <w:jc w:val="both"/>
      </w:pPr>
      <w:r w:rsidRPr="005A1F62">
        <w:t>отсутствие адекватной и регулярно актуализируемой методики оценки кредитоспособности кредитных организаций – контрагентов, установления лимитов приходящегося на них кредитного риска;</w:t>
      </w:r>
    </w:p>
    <w:p w14:paraId="61920D27" w14:textId="77777777" w:rsidR="00651F1B" w:rsidRPr="005A1F62" w:rsidRDefault="00651F1B" w:rsidP="00651F1B">
      <w:pPr>
        <w:pStyle w:val="afb"/>
        <w:numPr>
          <w:ilvl w:val="0"/>
          <w:numId w:val="2"/>
        </w:numPr>
        <w:tabs>
          <w:tab w:val="left" w:pos="709"/>
        </w:tabs>
        <w:jc w:val="both"/>
      </w:pPr>
      <w:r w:rsidRPr="005A1F62">
        <w:t>отсутствие практики применения кредитных рейтингов в целях определения лимитов на контрагентов, дифференциации лимитов в зависимости от уровней кредитных рейтингов;</w:t>
      </w:r>
    </w:p>
    <w:p w14:paraId="3B0F7CC4" w14:textId="77777777" w:rsidR="00651F1B" w:rsidRPr="005A1F62" w:rsidRDefault="00651F1B" w:rsidP="00651F1B">
      <w:pPr>
        <w:pStyle w:val="afb"/>
        <w:numPr>
          <w:ilvl w:val="0"/>
          <w:numId w:val="2"/>
        </w:numPr>
        <w:tabs>
          <w:tab w:val="left" w:pos="709"/>
        </w:tabs>
        <w:jc w:val="both"/>
      </w:pPr>
      <w:r w:rsidRPr="005A1F62">
        <w:t>отсутствие процедуры ежемесячного или ежеквартального мониторинга финансового состояния кредитных организаций по регулярной месячной и квартальной отчетности перед Банком России;</w:t>
      </w:r>
    </w:p>
    <w:p w14:paraId="5C323EBF" w14:textId="77777777" w:rsidR="00651F1B" w:rsidRPr="005A1F62" w:rsidRDefault="00651F1B" w:rsidP="00651F1B">
      <w:pPr>
        <w:pStyle w:val="afb"/>
        <w:numPr>
          <w:ilvl w:val="0"/>
          <w:numId w:val="2"/>
        </w:numPr>
        <w:tabs>
          <w:tab w:val="left" w:pos="709"/>
        </w:tabs>
        <w:jc w:val="both"/>
      </w:pPr>
      <w:r w:rsidRPr="005A1F62">
        <w:t>прецеденты несоответствия процедур межбанковского кредитования действующим регламентам.</w:t>
      </w:r>
    </w:p>
    <w:p w14:paraId="0E9E1389" w14:textId="77777777" w:rsidR="00651F1B" w:rsidRPr="005A1F62" w:rsidRDefault="00651F1B" w:rsidP="00651F1B">
      <w:pPr>
        <w:tabs>
          <w:tab w:val="left" w:pos="709"/>
        </w:tabs>
        <w:ind w:firstLine="567"/>
        <w:contextualSpacing/>
        <w:jc w:val="both"/>
      </w:pPr>
      <w:r w:rsidRPr="005A1F62">
        <w:t>Величина корректировки балла за управление кредитным риском в связи с недостатками в практике оценки и за управление кредитным риском, приходящимся на кредитные организации, которые выступают контрагентами по выданным межбанковским кредитам и размещенным на корреспондентских счетах средствах, может составлять от 0,5 до 1,5 в зависимости от актуальности для банка описанных выше критериев.</w:t>
      </w:r>
    </w:p>
    <w:p w14:paraId="616022B1" w14:textId="77777777" w:rsidR="00651F1B" w:rsidRPr="005A1F62" w:rsidRDefault="00651F1B" w:rsidP="00651F1B">
      <w:pPr>
        <w:tabs>
          <w:tab w:val="left" w:pos="709"/>
        </w:tabs>
        <w:ind w:firstLine="567"/>
        <w:contextualSpacing/>
        <w:jc w:val="both"/>
      </w:pPr>
    </w:p>
    <w:p w14:paraId="401FDBC8" w14:textId="77777777" w:rsidR="00651F1B" w:rsidRPr="005A1F62" w:rsidRDefault="00651F1B" w:rsidP="00651F1B">
      <w:pPr>
        <w:tabs>
          <w:tab w:val="left" w:pos="709"/>
        </w:tabs>
        <w:ind w:firstLine="567"/>
        <w:jc w:val="both"/>
        <w:rPr>
          <w:b/>
        </w:rPr>
      </w:pPr>
      <w:r w:rsidRPr="005A1F62">
        <w:rPr>
          <w:b/>
        </w:rPr>
        <w:t>Чек-лист для оценки качества управления рыночными рисками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45"/>
        <w:gridCol w:w="8310"/>
        <w:gridCol w:w="590"/>
      </w:tblGrid>
      <w:tr w:rsidR="00651F1B" w:rsidRPr="005A1F62" w14:paraId="14B97EC5" w14:textId="77777777" w:rsidTr="00C6229E">
        <w:trPr>
          <w:trHeight w:val="20"/>
        </w:trPr>
        <w:tc>
          <w:tcPr>
            <w:tcW w:w="213" w:type="pct"/>
            <w:shd w:val="clear" w:color="auto" w:fill="D9D9D9" w:themeFill="background1" w:themeFillShade="D9"/>
            <w:noWrap/>
            <w:vAlign w:val="center"/>
          </w:tcPr>
          <w:p w14:paraId="213F6EAF" w14:textId="77777777" w:rsidR="00651F1B" w:rsidRPr="005A1F62" w:rsidRDefault="00651F1B" w:rsidP="00C6229E">
            <w:pPr>
              <w:tabs>
                <w:tab w:val="left" w:pos="709"/>
              </w:tabs>
              <w:jc w:val="center"/>
            </w:pPr>
            <w:r w:rsidRPr="005A1F62">
              <w:t>№</w:t>
            </w:r>
          </w:p>
        </w:tc>
        <w:tc>
          <w:tcPr>
            <w:tcW w:w="4501" w:type="pct"/>
            <w:shd w:val="clear" w:color="auto" w:fill="D9D9D9" w:themeFill="background1" w:themeFillShade="D9"/>
            <w:noWrap/>
            <w:vAlign w:val="center"/>
          </w:tcPr>
          <w:p w14:paraId="1986000D" w14:textId="77777777" w:rsidR="00651F1B" w:rsidRPr="005A1F62" w:rsidRDefault="00651F1B" w:rsidP="00C6229E">
            <w:pPr>
              <w:tabs>
                <w:tab w:val="left" w:pos="709"/>
              </w:tabs>
              <w:jc w:val="both"/>
              <w:rPr>
                <w:rFonts w:eastAsia="Arial Unicode MS"/>
                <w:b/>
                <w:bCs/>
              </w:rPr>
            </w:pPr>
            <w:r w:rsidRPr="005A1F62">
              <w:rPr>
                <w:rFonts w:eastAsia="Arial Unicode MS"/>
                <w:b/>
                <w:bCs/>
              </w:rPr>
              <w:t>Процентные риски</w:t>
            </w:r>
          </w:p>
        </w:tc>
        <w:tc>
          <w:tcPr>
            <w:tcW w:w="286" w:type="pct"/>
            <w:shd w:val="clear" w:color="auto" w:fill="D9D9D9" w:themeFill="background1" w:themeFillShade="D9"/>
            <w:vAlign w:val="center"/>
          </w:tcPr>
          <w:p w14:paraId="44BCA958" w14:textId="77777777" w:rsidR="00651F1B" w:rsidRPr="005A1F62" w:rsidRDefault="00651F1B" w:rsidP="00C6229E">
            <w:pPr>
              <w:tabs>
                <w:tab w:val="left" w:pos="709"/>
              </w:tabs>
              <w:jc w:val="center"/>
              <w:rPr>
                <w:rFonts w:eastAsia="Arial Unicode MS"/>
                <w:b/>
                <w:bCs/>
              </w:rPr>
            </w:pPr>
            <w:r w:rsidRPr="005A1F62">
              <w:rPr>
                <w:rFonts w:eastAsia="Arial Unicode MS"/>
                <w:b/>
                <w:bCs/>
              </w:rPr>
              <w:t>Вес</w:t>
            </w:r>
          </w:p>
        </w:tc>
      </w:tr>
      <w:tr w:rsidR="00651F1B" w:rsidRPr="005A1F62" w14:paraId="5480405D" w14:textId="77777777" w:rsidTr="00C6229E">
        <w:trPr>
          <w:trHeight w:val="20"/>
        </w:trPr>
        <w:tc>
          <w:tcPr>
            <w:tcW w:w="213" w:type="pct"/>
            <w:shd w:val="clear" w:color="auto" w:fill="FFFFFF" w:themeFill="background1"/>
            <w:noWrap/>
            <w:vAlign w:val="center"/>
          </w:tcPr>
          <w:p w14:paraId="2B411154" w14:textId="77777777" w:rsidR="00651F1B" w:rsidRPr="005A1F62" w:rsidRDefault="00651F1B" w:rsidP="00C6229E">
            <w:pPr>
              <w:tabs>
                <w:tab w:val="left" w:pos="709"/>
              </w:tabs>
              <w:jc w:val="center"/>
              <w:rPr>
                <w:rFonts w:eastAsia="Arial Unicode MS"/>
              </w:rPr>
            </w:pPr>
            <w:r w:rsidRPr="005A1F62">
              <w:rPr>
                <w:rFonts w:eastAsia="Arial Unicode MS"/>
              </w:rPr>
              <w:lastRenderedPageBreak/>
              <w:t>1</w:t>
            </w:r>
          </w:p>
        </w:tc>
        <w:tc>
          <w:tcPr>
            <w:tcW w:w="4501" w:type="pct"/>
            <w:shd w:val="clear" w:color="auto" w:fill="FFFFFF" w:themeFill="background1"/>
            <w:vAlign w:val="center"/>
          </w:tcPr>
          <w:p w14:paraId="7A427B1C" w14:textId="1216FEB3" w:rsidR="00651F1B" w:rsidRPr="005A1F62" w:rsidRDefault="00651F1B" w:rsidP="00C6229E">
            <w:pPr>
              <w:tabs>
                <w:tab w:val="left" w:pos="709"/>
              </w:tabs>
              <w:jc w:val="both"/>
              <w:rPr>
                <w:rFonts w:eastAsia="Arial Unicode MS"/>
              </w:rPr>
            </w:pPr>
            <w:r w:rsidRPr="005A1F62">
              <w:rPr>
                <w:rFonts w:eastAsia="Arial Unicode MS"/>
              </w:rPr>
              <w:t>Существует адекватная методика управления процентными рисками</w:t>
            </w:r>
            <w:r w:rsidR="003C5E05" w:rsidRPr="005A1F62">
              <w:rPr>
                <w:rFonts w:eastAsia="Arial Unicode MS"/>
              </w:rPr>
              <w:t>. П</w:t>
            </w:r>
            <w:r w:rsidRPr="005A1F62">
              <w:rPr>
                <w:rFonts w:eastAsia="Arial Unicode MS"/>
              </w:rPr>
              <w:t>оследнее обновление документа происходило не более трех лет назад</w:t>
            </w:r>
            <w:r w:rsidR="003C5E05" w:rsidRPr="005A1F62">
              <w:rPr>
                <w:rFonts w:eastAsia="Arial Unicode MS"/>
              </w:rPr>
              <w:t xml:space="preserve"> </w:t>
            </w:r>
            <w:r w:rsidR="003C5E05" w:rsidRPr="005A1F62">
              <w:rPr>
                <w:rFonts w:eastAsia="Calibri"/>
                <w:lang w:eastAsia="en-US"/>
              </w:rPr>
              <w:t>(выполняется / выполняется частично / не выполняется)</w:t>
            </w:r>
          </w:p>
        </w:tc>
        <w:tc>
          <w:tcPr>
            <w:tcW w:w="286" w:type="pct"/>
            <w:shd w:val="clear" w:color="auto" w:fill="FFFFFF" w:themeFill="background1"/>
            <w:noWrap/>
            <w:vAlign w:val="center"/>
          </w:tcPr>
          <w:p w14:paraId="6379D8D5"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4F0B26EA" w14:textId="77777777" w:rsidTr="00C6229E">
        <w:trPr>
          <w:trHeight w:val="20"/>
        </w:trPr>
        <w:tc>
          <w:tcPr>
            <w:tcW w:w="213" w:type="pct"/>
            <w:shd w:val="clear" w:color="auto" w:fill="FFFFFF" w:themeFill="background1"/>
            <w:noWrap/>
            <w:vAlign w:val="center"/>
          </w:tcPr>
          <w:p w14:paraId="57321995" w14:textId="77777777" w:rsidR="00651F1B" w:rsidRPr="005A1F62" w:rsidRDefault="00651F1B" w:rsidP="00C6229E">
            <w:pPr>
              <w:tabs>
                <w:tab w:val="left" w:pos="709"/>
              </w:tabs>
              <w:jc w:val="center"/>
              <w:rPr>
                <w:rFonts w:eastAsia="Arial Unicode MS"/>
              </w:rPr>
            </w:pPr>
            <w:r w:rsidRPr="005A1F62">
              <w:rPr>
                <w:rFonts w:eastAsia="Arial Unicode MS"/>
              </w:rPr>
              <w:t>2</w:t>
            </w:r>
          </w:p>
        </w:tc>
        <w:tc>
          <w:tcPr>
            <w:tcW w:w="4501" w:type="pct"/>
            <w:shd w:val="clear" w:color="auto" w:fill="FFFFFF" w:themeFill="background1"/>
            <w:vAlign w:val="center"/>
          </w:tcPr>
          <w:p w14:paraId="380C5540" w14:textId="3198E0EE" w:rsidR="00651F1B" w:rsidRPr="005A1F62" w:rsidRDefault="00651F1B" w:rsidP="00C6229E">
            <w:pPr>
              <w:tabs>
                <w:tab w:val="left" w:pos="709"/>
              </w:tabs>
              <w:jc w:val="both"/>
              <w:rPr>
                <w:rFonts w:eastAsia="Arial Unicode MS"/>
              </w:rPr>
            </w:pPr>
            <w:r w:rsidRPr="005A1F62">
              <w:rPr>
                <w:rFonts w:eastAsia="Arial Unicode MS"/>
              </w:rPr>
              <w:t>Проводится стресс-тестирование по уязвимости банка к процентным рискам</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4C2F5636"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56111806" w14:textId="77777777" w:rsidTr="00C6229E">
        <w:trPr>
          <w:trHeight w:val="20"/>
        </w:trPr>
        <w:tc>
          <w:tcPr>
            <w:tcW w:w="213" w:type="pct"/>
            <w:shd w:val="clear" w:color="auto" w:fill="FFFFFF" w:themeFill="background1"/>
            <w:noWrap/>
            <w:vAlign w:val="center"/>
          </w:tcPr>
          <w:p w14:paraId="79E0BBEA" w14:textId="77777777" w:rsidR="00651F1B" w:rsidRPr="005A1F62" w:rsidRDefault="00651F1B" w:rsidP="00C6229E">
            <w:pPr>
              <w:tabs>
                <w:tab w:val="left" w:pos="709"/>
              </w:tabs>
              <w:jc w:val="center"/>
              <w:rPr>
                <w:rFonts w:eastAsia="Arial Unicode MS"/>
              </w:rPr>
            </w:pPr>
            <w:r w:rsidRPr="005A1F62">
              <w:rPr>
                <w:rFonts w:eastAsia="Arial Unicode MS"/>
              </w:rPr>
              <w:t>3</w:t>
            </w:r>
          </w:p>
        </w:tc>
        <w:tc>
          <w:tcPr>
            <w:tcW w:w="4501" w:type="pct"/>
            <w:shd w:val="clear" w:color="auto" w:fill="FFFFFF" w:themeFill="background1"/>
            <w:vAlign w:val="center"/>
          </w:tcPr>
          <w:p w14:paraId="3D960934" w14:textId="1ADE107F" w:rsidR="00651F1B" w:rsidRPr="005A1F62" w:rsidRDefault="00651F1B" w:rsidP="00C6229E">
            <w:pPr>
              <w:tabs>
                <w:tab w:val="left" w:pos="709"/>
              </w:tabs>
              <w:jc w:val="both"/>
              <w:rPr>
                <w:rFonts w:eastAsia="Arial Unicode MS"/>
              </w:rPr>
            </w:pPr>
            <w:r w:rsidRPr="005A1F62">
              <w:rPr>
                <w:rFonts w:eastAsia="Arial Unicode MS"/>
              </w:rPr>
              <w:t>Применяется gap-анализ</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3FEBD9D8"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2DD342F6" w14:textId="77777777" w:rsidTr="00C6229E">
        <w:trPr>
          <w:trHeight w:val="20"/>
        </w:trPr>
        <w:tc>
          <w:tcPr>
            <w:tcW w:w="213" w:type="pct"/>
            <w:shd w:val="clear" w:color="auto" w:fill="FFFFFF" w:themeFill="background1"/>
            <w:noWrap/>
            <w:vAlign w:val="center"/>
          </w:tcPr>
          <w:p w14:paraId="68D36EE0" w14:textId="77777777" w:rsidR="00651F1B" w:rsidRPr="005A1F62" w:rsidRDefault="00651F1B" w:rsidP="00C6229E">
            <w:pPr>
              <w:tabs>
                <w:tab w:val="left" w:pos="709"/>
              </w:tabs>
              <w:jc w:val="center"/>
              <w:rPr>
                <w:rFonts w:eastAsia="Arial Unicode MS"/>
              </w:rPr>
            </w:pPr>
            <w:r w:rsidRPr="005A1F62">
              <w:rPr>
                <w:rFonts w:eastAsia="Arial Unicode MS"/>
              </w:rPr>
              <w:t>4</w:t>
            </w:r>
          </w:p>
        </w:tc>
        <w:tc>
          <w:tcPr>
            <w:tcW w:w="4501" w:type="pct"/>
            <w:shd w:val="clear" w:color="auto" w:fill="FFFFFF" w:themeFill="background1"/>
            <w:vAlign w:val="center"/>
          </w:tcPr>
          <w:p w14:paraId="12517945" w14:textId="272A459A" w:rsidR="00651F1B" w:rsidRPr="005A1F62" w:rsidRDefault="00651F1B" w:rsidP="00C6229E">
            <w:pPr>
              <w:tabs>
                <w:tab w:val="left" w:pos="709"/>
              </w:tabs>
              <w:jc w:val="both"/>
              <w:rPr>
                <w:rFonts w:eastAsia="Arial Unicode MS"/>
              </w:rPr>
            </w:pPr>
            <w:r w:rsidRPr="005A1F62">
              <w:rPr>
                <w:rFonts w:eastAsia="Arial Unicode MS"/>
              </w:rPr>
              <w:t>Существуют четкие регламенты по работе с инструментами, несущими процентный риск</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5AA60323"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3F5A2833" w14:textId="77777777" w:rsidTr="00C6229E">
        <w:trPr>
          <w:trHeight w:val="20"/>
        </w:trPr>
        <w:tc>
          <w:tcPr>
            <w:tcW w:w="213" w:type="pct"/>
            <w:shd w:val="clear" w:color="auto" w:fill="FFFFFF" w:themeFill="background1"/>
            <w:noWrap/>
            <w:vAlign w:val="center"/>
          </w:tcPr>
          <w:p w14:paraId="1CBCAAC4" w14:textId="77777777" w:rsidR="00651F1B" w:rsidRPr="005A1F62" w:rsidRDefault="00651F1B" w:rsidP="00C6229E">
            <w:pPr>
              <w:tabs>
                <w:tab w:val="left" w:pos="709"/>
              </w:tabs>
              <w:jc w:val="center"/>
              <w:rPr>
                <w:rFonts w:eastAsia="Arial Unicode MS"/>
              </w:rPr>
            </w:pPr>
            <w:r w:rsidRPr="005A1F62">
              <w:rPr>
                <w:rFonts w:eastAsia="Arial Unicode MS"/>
              </w:rPr>
              <w:t>5</w:t>
            </w:r>
          </w:p>
        </w:tc>
        <w:tc>
          <w:tcPr>
            <w:tcW w:w="4501" w:type="pct"/>
            <w:shd w:val="clear" w:color="auto" w:fill="FFFFFF" w:themeFill="background1"/>
            <w:vAlign w:val="center"/>
          </w:tcPr>
          <w:p w14:paraId="59ACC8DF" w14:textId="77777777" w:rsidR="00837450" w:rsidRPr="005A1F62" w:rsidRDefault="00651F1B" w:rsidP="00C6229E">
            <w:pPr>
              <w:tabs>
                <w:tab w:val="left" w:pos="709"/>
              </w:tabs>
              <w:jc w:val="both"/>
              <w:rPr>
                <w:rFonts w:eastAsia="Arial Unicode MS"/>
              </w:rPr>
            </w:pPr>
            <w:r w:rsidRPr="005A1F62">
              <w:rPr>
                <w:rFonts w:eastAsia="Arial Unicode MS"/>
              </w:rPr>
              <w:t>Разрыв между долей пассивов и активов с плавающей ставкой менее 2 п. п.</w:t>
            </w:r>
          </w:p>
          <w:p w14:paraId="31050C9B" w14:textId="0A4CBCF5" w:rsidR="00837450" w:rsidRPr="005A1F62" w:rsidRDefault="00837450" w:rsidP="00C6229E">
            <w:pPr>
              <w:tabs>
                <w:tab w:val="left" w:pos="709"/>
              </w:tabs>
              <w:jc w:val="both"/>
              <w:rPr>
                <w:rFonts w:eastAsia="Arial Unicode MS"/>
              </w:rPr>
            </w:pPr>
            <w:r w:rsidRPr="005A1F62">
              <w:rPr>
                <w:rFonts w:eastAsia="Arial Unicode MS"/>
              </w:rPr>
              <w:t>ЛИБО</w:t>
            </w:r>
          </w:p>
          <w:p w14:paraId="0CEFDB0D" w14:textId="0A240331" w:rsidR="00651F1B" w:rsidRPr="005A1F62" w:rsidRDefault="00837450" w:rsidP="00837450">
            <w:pPr>
              <w:tabs>
                <w:tab w:val="left" w:pos="709"/>
              </w:tabs>
              <w:jc w:val="both"/>
              <w:rPr>
                <w:rFonts w:eastAsia="Arial Unicode MS"/>
              </w:rPr>
            </w:pPr>
            <w:r w:rsidRPr="005A1F62">
              <w:rPr>
                <w:rFonts w:eastAsia="Arial Unicode MS"/>
              </w:rPr>
              <w:t>Разрыв между долей пассивов и активов с плавающей ставкой более 2 п. п., но при этом б</w:t>
            </w:r>
            <w:r w:rsidRPr="005A1F62">
              <w:t xml:space="preserve">анк работает в сегментах бизнеса, предусматривающих высокий уровень чистой процентной маржи </w:t>
            </w:r>
            <w:r w:rsidR="003C5E05" w:rsidRPr="005A1F62">
              <w:t>(выполняется / не выполняется)</w:t>
            </w:r>
          </w:p>
        </w:tc>
        <w:tc>
          <w:tcPr>
            <w:tcW w:w="286" w:type="pct"/>
            <w:shd w:val="clear" w:color="auto" w:fill="FFFFFF" w:themeFill="background1"/>
            <w:noWrap/>
            <w:vAlign w:val="center"/>
          </w:tcPr>
          <w:p w14:paraId="68B33DE3"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505605DE" w14:textId="77777777" w:rsidTr="00C6229E">
        <w:trPr>
          <w:trHeight w:val="20"/>
        </w:trPr>
        <w:tc>
          <w:tcPr>
            <w:tcW w:w="213" w:type="pct"/>
            <w:shd w:val="clear" w:color="auto" w:fill="D9D9D9" w:themeFill="background1" w:themeFillShade="D9"/>
            <w:noWrap/>
            <w:vAlign w:val="center"/>
          </w:tcPr>
          <w:p w14:paraId="00C4F43D" w14:textId="51D96B04" w:rsidR="00651F1B" w:rsidRPr="005A1F62" w:rsidRDefault="00651F1B" w:rsidP="00C6229E">
            <w:pPr>
              <w:tabs>
                <w:tab w:val="left" w:pos="709"/>
              </w:tabs>
              <w:jc w:val="center"/>
            </w:pPr>
          </w:p>
        </w:tc>
        <w:tc>
          <w:tcPr>
            <w:tcW w:w="4501" w:type="pct"/>
            <w:shd w:val="clear" w:color="auto" w:fill="D9D9D9" w:themeFill="background1" w:themeFillShade="D9"/>
            <w:noWrap/>
            <w:vAlign w:val="center"/>
          </w:tcPr>
          <w:p w14:paraId="1EDA751F" w14:textId="1735D127" w:rsidR="00651F1B" w:rsidRPr="005A1F62" w:rsidRDefault="00BD49A4" w:rsidP="00C6229E">
            <w:pPr>
              <w:tabs>
                <w:tab w:val="left" w:pos="709"/>
              </w:tabs>
              <w:jc w:val="both"/>
              <w:rPr>
                <w:rFonts w:eastAsia="Arial Unicode MS"/>
                <w:b/>
                <w:bCs/>
              </w:rPr>
            </w:pPr>
            <w:bookmarkStart w:id="223" w:name="_Hlk43309516"/>
            <w:r w:rsidRPr="005A1F62">
              <w:t>Рисками, связанные с обесценением портфеля ценных бумаг</w:t>
            </w:r>
            <w:bookmarkEnd w:id="223"/>
          </w:p>
        </w:tc>
        <w:tc>
          <w:tcPr>
            <w:tcW w:w="286" w:type="pct"/>
            <w:shd w:val="clear" w:color="auto" w:fill="D9D9D9" w:themeFill="background1" w:themeFillShade="D9"/>
            <w:vAlign w:val="center"/>
          </w:tcPr>
          <w:p w14:paraId="3DCBD924" w14:textId="77777777" w:rsidR="00651F1B" w:rsidRPr="005A1F62" w:rsidRDefault="00651F1B" w:rsidP="00C6229E">
            <w:pPr>
              <w:tabs>
                <w:tab w:val="left" w:pos="709"/>
              </w:tabs>
              <w:jc w:val="center"/>
              <w:rPr>
                <w:rFonts w:eastAsia="Arial Unicode MS"/>
                <w:b/>
                <w:bCs/>
              </w:rPr>
            </w:pPr>
            <w:r w:rsidRPr="005A1F62">
              <w:rPr>
                <w:rFonts w:eastAsia="Arial Unicode MS"/>
                <w:b/>
                <w:bCs/>
              </w:rPr>
              <w:t>Вес</w:t>
            </w:r>
          </w:p>
        </w:tc>
      </w:tr>
      <w:tr w:rsidR="00651F1B" w:rsidRPr="005A1F62" w14:paraId="370A38C4" w14:textId="77777777" w:rsidTr="00C6229E">
        <w:trPr>
          <w:trHeight w:val="20"/>
        </w:trPr>
        <w:tc>
          <w:tcPr>
            <w:tcW w:w="213" w:type="pct"/>
            <w:shd w:val="clear" w:color="auto" w:fill="FFFFFF" w:themeFill="background1"/>
            <w:noWrap/>
            <w:vAlign w:val="center"/>
          </w:tcPr>
          <w:p w14:paraId="0F2BF842" w14:textId="77777777" w:rsidR="00651F1B" w:rsidRPr="005A1F62" w:rsidRDefault="00651F1B" w:rsidP="00C6229E">
            <w:pPr>
              <w:tabs>
                <w:tab w:val="left" w:pos="709"/>
              </w:tabs>
              <w:jc w:val="center"/>
              <w:rPr>
                <w:rFonts w:eastAsia="Arial Unicode MS"/>
              </w:rPr>
            </w:pPr>
            <w:r w:rsidRPr="005A1F62">
              <w:rPr>
                <w:rFonts w:eastAsia="Arial Unicode MS"/>
              </w:rPr>
              <w:t>1</w:t>
            </w:r>
          </w:p>
        </w:tc>
        <w:tc>
          <w:tcPr>
            <w:tcW w:w="4501" w:type="pct"/>
            <w:shd w:val="clear" w:color="auto" w:fill="FFFFFF" w:themeFill="background1"/>
            <w:vAlign w:val="center"/>
          </w:tcPr>
          <w:p w14:paraId="24DFB0F4" w14:textId="155A0062" w:rsidR="00651F1B" w:rsidRPr="005A1F62" w:rsidRDefault="00651F1B" w:rsidP="00C6229E">
            <w:pPr>
              <w:tabs>
                <w:tab w:val="left" w:pos="709"/>
              </w:tabs>
              <w:jc w:val="both"/>
              <w:rPr>
                <w:rFonts w:eastAsia="Arial Unicode MS"/>
              </w:rPr>
            </w:pPr>
            <w:r w:rsidRPr="005A1F62">
              <w:rPr>
                <w:rFonts w:eastAsia="Arial Unicode MS"/>
              </w:rPr>
              <w:t xml:space="preserve">Существует адекватная методика управления </w:t>
            </w:r>
            <w:r w:rsidR="00BD49A4" w:rsidRPr="005A1F62">
              <w:rPr>
                <w:rFonts w:eastAsia="Arial Unicode MS"/>
              </w:rPr>
              <w:t>р</w:t>
            </w:r>
            <w:r w:rsidR="00BD49A4" w:rsidRPr="005A1F62">
              <w:t>исками, связанными с обесценением портфеля ценных бумаг</w:t>
            </w:r>
            <w:r w:rsidR="003C5E05" w:rsidRPr="005A1F62">
              <w:rPr>
                <w:rFonts w:eastAsia="Arial Unicode MS"/>
              </w:rPr>
              <w:t>. П</w:t>
            </w:r>
            <w:r w:rsidRPr="005A1F62">
              <w:rPr>
                <w:rFonts w:eastAsia="Arial Unicode MS"/>
              </w:rPr>
              <w:t>оследнее обновление документа происходило не более трех лет назад</w:t>
            </w:r>
            <w:r w:rsidR="003C5E05" w:rsidRPr="005A1F62">
              <w:rPr>
                <w:rFonts w:eastAsia="Arial Unicode MS"/>
              </w:rPr>
              <w:t xml:space="preserve"> </w:t>
            </w:r>
            <w:r w:rsidR="003C5E05" w:rsidRPr="005A1F62">
              <w:rPr>
                <w:rFonts w:eastAsia="Calibri"/>
                <w:lang w:eastAsia="en-US"/>
              </w:rPr>
              <w:t>(выполняется / выполняется частично / не выполняется)</w:t>
            </w:r>
          </w:p>
        </w:tc>
        <w:tc>
          <w:tcPr>
            <w:tcW w:w="286" w:type="pct"/>
            <w:shd w:val="clear" w:color="auto" w:fill="FFFFFF" w:themeFill="background1"/>
            <w:noWrap/>
            <w:vAlign w:val="center"/>
          </w:tcPr>
          <w:p w14:paraId="3494443A"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391C6DAA" w14:textId="77777777" w:rsidTr="00C6229E">
        <w:trPr>
          <w:trHeight w:val="20"/>
        </w:trPr>
        <w:tc>
          <w:tcPr>
            <w:tcW w:w="213" w:type="pct"/>
            <w:shd w:val="clear" w:color="auto" w:fill="FFFFFF" w:themeFill="background1"/>
            <w:noWrap/>
            <w:vAlign w:val="center"/>
          </w:tcPr>
          <w:p w14:paraId="1E308CEC" w14:textId="77777777" w:rsidR="00651F1B" w:rsidRPr="005A1F62" w:rsidRDefault="00651F1B" w:rsidP="00C6229E">
            <w:pPr>
              <w:tabs>
                <w:tab w:val="left" w:pos="709"/>
              </w:tabs>
              <w:jc w:val="center"/>
              <w:rPr>
                <w:rFonts w:eastAsia="Arial Unicode MS"/>
              </w:rPr>
            </w:pPr>
            <w:r w:rsidRPr="005A1F62">
              <w:rPr>
                <w:rFonts w:eastAsia="Arial Unicode MS"/>
              </w:rPr>
              <w:t>2</w:t>
            </w:r>
          </w:p>
        </w:tc>
        <w:tc>
          <w:tcPr>
            <w:tcW w:w="4501" w:type="pct"/>
            <w:shd w:val="clear" w:color="auto" w:fill="FFFFFF" w:themeFill="background1"/>
            <w:vAlign w:val="center"/>
          </w:tcPr>
          <w:p w14:paraId="479B0BC8" w14:textId="38CD6EB1" w:rsidR="00651F1B" w:rsidRPr="005A1F62" w:rsidRDefault="00651F1B" w:rsidP="00C6229E">
            <w:pPr>
              <w:tabs>
                <w:tab w:val="left" w:pos="709"/>
              </w:tabs>
              <w:jc w:val="both"/>
              <w:rPr>
                <w:rFonts w:eastAsia="Arial Unicode MS"/>
              </w:rPr>
            </w:pPr>
            <w:r w:rsidRPr="005A1F62">
              <w:rPr>
                <w:rFonts w:eastAsia="Arial Unicode MS"/>
              </w:rPr>
              <w:t xml:space="preserve">Проводится стресс-тестирование по уязвимости банка к </w:t>
            </w:r>
            <w:r w:rsidR="00BD49A4" w:rsidRPr="005A1F62">
              <w:t xml:space="preserve">обесценению портфеля ценных бумаг </w:t>
            </w:r>
            <w:r w:rsidR="003C5E05" w:rsidRPr="005A1F62">
              <w:t>(выполняется / не выполняется)</w:t>
            </w:r>
          </w:p>
        </w:tc>
        <w:tc>
          <w:tcPr>
            <w:tcW w:w="286" w:type="pct"/>
            <w:shd w:val="clear" w:color="auto" w:fill="FFFFFF" w:themeFill="background1"/>
            <w:noWrap/>
            <w:vAlign w:val="center"/>
          </w:tcPr>
          <w:p w14:paraId="221FCD87"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78D05189" w14:textId="77777777" w:rsidTr="00C6229E">
        <w:trPr>
          <w:trHeight w:val="20"/>
        </w:trPr>
        <w:tc>
          <w:tcPr>
            <w:tcW w:w="213" w:type="pct"/>
            <w:shd w:val="clear" w:color="auto" w:fill="FFFFFF" w:themeFill="background1"/>
            <w:noWrap/>
            <w:vAlign w:val="center"/>
          </w:tcPr>
          <w:p w14:paraId="12A7E063" w14:textId="77777777" w:rsidR="00651F1B" w:rsidRPr="005A1F62" w:rsidRDefault="00651F1B" w:rsidP="00C6229E">
            <w:pPr>
              <w:tabs>
                <w:tab w:val="left" w:pos="709"/>
              </w:tabs>
              <w:jc w:val="center"/>
              <w:rPr>
                <w:rFonts w:eastAsia="Arial Unicode MS"/>
              </w:rPr>
            </w:pPr>
            <w:r w:rsidRPr="005A1F62">
              <w:rPr>
                <w:rFonts w:eastAsia="Arial Unicode MS"/>
              </w:rPr>
              <w:t>3</w:t>
            </w:r>
          </w:p>
        </w:tc>
        <w:tc>
          <w:tcPr>
            <w:tcW w:w="4501" w:type="pct"/>
            <w:shd w:val="clear" w:color="auto" w:fill="FFFFFF" w:themeFill="background1"/>
            <w:vAlign w:val="center"/>
          </w:tcPr>
          <w:p w14:paraId="4D57F055" w14:textId="3F72E3CB" w:rsidR="00651F1B" w:rsidRPr="005A1F62" w:rsidRDefault="00651F1B" w:rsidP="00C6229E">
            <w:pPr>
              <w:tabs>
                <w:tab w:val="left" w:pos="709"/>
              </w:tabs>
              <w:jc w:val="both"/>
              <w:rPr>
                <w:rFonts w:eastAsia="Arial Unicode MS"/>
              </w:rPr>
            </w:pPr>
            <w:r w:rsidRPr="005A1F62">
              <w:rPr>
                <w:rFonts w:eastAsia="Arial Unicode MS"/>
              </w:rPr>
              <w:t>Применяется анализ дюрации</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41ABD9D3"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3641925D" w14:textId="77777777" w:rsidTr="00C6229E">
        <w:trPr>
          <w:trHeight w:val="20"/>
        </w:trPr>
        <w:tc>
          <w:tcPr>
            <w:tcW w:w="213" w:type="pct"/>
            <w:shd w:val="clear" w:color="auto" w:fill="FFFFFF" w:themeFill="background1"/>
            <w:noWrap/>
            <w:vAlign w:val="center"/>
          </w:tcPr>
          <w:p w14:paraId="6AD4E576" w14:textId="77777777" w:rsidR="00651F1B" w:rsidRPr="005A1F62" w:rsidRDefault="00651F1B" w:rsidP="00C6229E">
            <w:pPr>
              <w:tabs>
                <w:tab w:val="left" w:pos="709"/>
              </w:tabs>
              <w:jc w:val="center"/>
              <w:rPr>
                <w:rFonts w:eastAsia="Arial Unicode MS"/>
              </w:rPr>
            </w:pPr>
            <w:r w:rsidRPr="005A1F62">
              <w:rPr>
                <w:rFonts w:eastAsia="Arial Unicode MS"/>
              </w:rPr>
              <w:t>4</w:t>
            </w:r>
          </w:p>
        </w:tc>
        <w:tc>
          <w:tcPr>
            <w:tcW w:w="4501" w:type="pct"/>
            <w:shd w:val="clear" w:color="auto" w:fill="FFFFFF" w:themeFill="background1"/>
            <w:vAlign w:val="center"/>
          </w:tcPr>
          <w:p w14:paraId="0473C0E7" w14:textId="677CC5CC" w:rsidR="00651F1B" w:rsidRPr="005A1F62" w:rsidRDefault="00651F1B" w:rsidP="00C6229E">
            <w:pPr>
              <w:tabs>
                <w:tab w:val="left" w:pos="709"/>
              </w:tabs>
              <w:jc w:val="both"/>
              <w:rPr>
                <w:rFonts w:eastAsia="Arial Unicode MS"/>
              </w:rPr>
            </w:pPr>
            <w:r w:rsidRPr="005A1F62">
              <w:rPr>
                <w:rFonts w:eastAsia="Arial Unicode MS"/>
              </w:rPr>
              <w:t>Применяется методологии VAR либо модифицированные методологии на ее основе</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67BC1A15"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493A8CA8" w14:textId="77777777" w:rsidTr="00C6229E">
        <w:trPr>
          <w:trHeight w:val="20"/>
        </w:trPr>
        <w:tc>
          <w:tcPr>
            <w:tcW w:w="213" w:type="pct"/>
            <w:shd w:val="clear" w:color="auto" w:fill="D9D9D9" w:themeFill="background1" w:themeFillShade="D9"/>
            <w:noWrap/>
            <w:vAlign w:val="center"/>
          </w:tcPr>
          <w:p w14:paraId="0C98C17F" w14:textId="1CEB47BB" w:rsidR="00651F1B" w:rsidRPr="005A1F62" w:rsidRDefault="00651F1B" w:rsidP="00C6229E">
            <w:pPr>
              <w:tabs>
                <w:tab w:val="left" w:pos="709"/>
              </w:tabs>
              <w:jc w:val="center"/>
            </w:pPr>
          </w:p>
        </w:tc>
        <w:tc>
          <w:tcPr>
            <w:tcW w:w="4501" w:type="pct"/>
            <w:shd w:val="clear" w:color="auto" w:fill="D9D9D9" w:themeFill="background1" w:themeFillShade="D9"/>
            <w:noWrap/>
            <w:vAlign w:val="center"/>
          </w:tcPr>
          <w:p w14:paraId="5B43D218" w14:textId="77777777" w:rsidR="00651F1B" w:rsidRPr="005A1F62" w:rsidRDefault="00651F1B" w:rsidP="00C6229E">
            <w:pPr>
              <w:tabs>
                <w:tab w:val="left" w:pos="709"/>
              </w:tabs>
              <w:jc w:val="both"/>
              <w:rPr>
                <w:rFonts w:eastAsia="Arial Unicode MS"/>
                <w:b/>
                <w:bCs/>
              </w:rPr>
            </w:pPr>
            <w:r w:rsidRPr="005A1F62">
              <w:rPr>
                <w:rFonts w:eastAsia="Arial Unicode MS"/>
                <w:b/>
                <w:bCs/>
              </w:rPr>
              <w:t>Валютные риски</w:t>
            </w:r>
          </w:p>
        </w:tc>
        <w:tc>
          <w:tcPr>
            <w:tcW w:w="286" w:type="pct"/>
            <w:shd w:val="clear" w:color="auto" w:fill="D9D9D9" w:themeFill="background1" w:themeFillShade="D9"/>
            <w:vAlign w:val="center"/>
          </w:tcPr>
          <w:p w14:paraId="53DFBBF5" w14:textId="77777777" w:rsidR="00651F1B" w:rsidRPr="005A1F62" w:rsidRDefault="00651F1B" w:rsidP="00C6229E">
            <w:pPr>
              <w:tabs>
                <w:tab w:val="left" w:pos="709"/>
              </w:tabs>
              <w:jc w:val="center"/>
              <w:rPr>
                <w:rFonts w:eastAsia="Arial Unicode MS"/>
                <w:b/>
                <w:bCs/>
              </w:rPr>
            </w:pPr>
            <w:r w:rsidRPr="005A1F62">
              <w:rPr>
                <w:rFonts w:eastAsia="Arial Unicode MS"/>
                <w:b/>
                <w:bCs/>
              </w:rPr>
              <w:t>Вес</w:t>
            </w:r>
          </w:p>
        </w:tc>
      </w:tr>
      <w:tr w:rsidR="00651F1B" w:rsidRPr="005A1F62" w14:paraId="06F67225" w14:textId="77777777" w:rsidTr="00C6229E">
        <w:trPr>
          <w:trHeight w:val="20"/>
        </w:trPr>
        <w:tc>
          <w:tcPr>
            <w:tcW w:w="213" w:type="pct"/>
            <w:shd w:val="clear" w:color="auto" w:fill="FFFFFF" w:themeFill="background1"/>
            <w:noWrap/>
            <w:vAlign w:val="center"/>
          </w:tcPr>
          <w:p w14:paraId="6632DD06" w14:textId="77777777" w:rsidR="00651F1B" w:rsidRPr="005A1F62" w:rsidRDefault="00651F1B" w:rsidP="00C6229E">
            <w:pPr>
              <w:tabs>
                <w:tab w:val="left" w:pos="709"/>
              </w:tabs>
              <w:jc w:val="center"/>
              <w:rPr>
                <w:rFonts w:eastAsia="Arial Unicode MS"/>
              </w:rPr>
            </w:pPr>
            <w:r w:rsidRPr="005A1F62">
              <w:rPr>
                <w:rFonts w:eastAsia="Arial Unicode MS"/>
              </w:rPr>
              <w:t>1</w:t>
            </w:r>
          </w:p>
        </w:tc>
        <w:tc>
          <w:tcPr>
            <w:tcW w:w="4501" w:type="pct"/>
            <w:shd w:val="clear" w:color="auto" w:fill="FFFFFF" w:themeFill="background1"/>
            <w:vAlign w:val="center"/>
          </w:tcPr>
          <w:p w14:paraId="485620C5" w14:textId="3C1C53E4" w:rsidR="00651F1B" w:rsidRPr="005A1F62" w:rsidRDefault="00651F1B" w:rsidP="00C6229E">
            <w:pPr>
              <w:tabs>
                <w:tab w:val="left" w:pos="709"/>
              </w:tabs>
              <w:jc w:val="both"/>
              <w:rPr>
                <w:rFonts w:eastAsia="Arial Unicode MS"/>
              </w:rPr>
            </w:pPr>
            <w:r w:rsidRPr="005A1F62">
              <w:rPr>
                <w:rFonts w:eastAsia="Arial Unicode MS"/>
              </w:rPr>
              <w:t>Существует адекватная методика управления валютными рисками</w:t>
            </w:r>
            <w:r w:rsidR="003C5E05" w:rsidRPr="005A1F62">
              <w:rPr>
                <w:rFonts w:eastAsia="Arial Unicode MS"/>
              </w:rPr>
              <w:t>. П</w:t>
            </w:r>
            <w:r w:rsidRPr="005A1F62">
              <w:rPr>
                <w:rFonts w:eastAsia="Arial Unicode MS"/>
              </w:rPr>
              <w:t>оследнее обновление документа происходило не более трех лет назад</w:t>
            </w:r>
            <w:r w:rsidR="003C5E05" w:rsidRPr="005A1F62">
              <w:rPr>
                <w:rFonts w:eastAsia="Arial Unicode MS"/>
              </w:rPr>
              <w:t xml:space="preserve"> </w:t>
            </w:r>
            <w:r w:rsidR="003C5E05" w:rsidRPr="005A1F62">
              <w:rPr>
                <w:rFonts w:eastAsia="Calibri"/>
                <w:lang w:eastAsia="en-US"/>
              </w:rPr>
              <w:t>(выполняется / выполняется частично / не выполняется)</w:t>
            </w:r>
          </w:p>
        </w:tc>
        <w:tc>
          <w:tcPr>
            <w:tcW w:w="286" w:type="pct"/>
            <w:shd w:val="clear" w:color="auto" w:fill="FFFFFF" w:themeFill="background1"/>
            <w:noWrap/>
            <w:vAlign w:val="center"/>
          </w:tcPr>
          <w:p w14:paraId="2B340D7E"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37D8EAB3" w14:textId="77777777" w:rsidTr="00C6229E">
        <w:trPr>
          <w:trHeight w:val="20"/>
        </w:trPr>
        <w:tc>
          <w:tcPr>
            <w:tcW w:w="213" w:type="pct"/>
            <w:shd w:val="clear" w:color="auto" w:fill="FFFFFF" w:themeFill="background1"/>
            <w:noWrap/>
            <w:vAlign w:val="center"/>
          </w:tcPr>
          <w:p w14:paraId="3785A0FA" w14:textId="77777777" w:rsidR="00651F1B" w:rsidRPr="005A1F62" w:rsidRDefault="00651F1B" w:rsidP="00C6229E">
            <w:pPr>
              <w:tabs>
                <w:tab w:val="left" w:pos="709"/>
              </w:tabs>
              <w:jc w:val="center"/>
              <w:rPr>
                <w:rFonts w:eastAsia="Arial Unicode MS"/>
              </w:rPr>
            </w:pPr>
            <w:r w:rsidRPr="005A1F62">
              <w:rPr>
                <w:rFonts w:eastAsia="Arial Unicode MS"/>
              </w:rPr>
              <w:t>2</w:t>
            </w:r>
          </w:p>
        </w:tc>
        <w:tc>
          <w:tcPr>
            <w:tcW w:w="4501" w:type="pct"/>
            <w:shd w:val="clear" w:color="auto" w:fill="FFFFFF" w:themeFill="background1"/>
            <w:vAlign w:val="center"/>
          </w:tcPr>
          <w:p w14:paraId="1C7D5EC1" w14:textId="47C24EA0" w:rsidR="00651F1B" w:rsidRPr="005A1F62" w:rsidRDefault="00651F1B" w:rsidP="00C6229E">
            <w:pPr>
              <w:tabs>
                <w:tab w:val="left" w:pos="709"/>
              </w:tabs>
              <w:jc w:val="both"/>
              <w:rPr>
                <w:rFonts w:eastAsia="Arial Unicode MS"/>
              </w:rPr>
            </w:pPr>
            <w:r w:rsidRPr="005A1F62">
              <w:rPr>
                <w:rFonts w:eastAsia="Arial Unicode MS"/>
              </w:rPr>
              <w:t>Проводится стресс-тестирование по уязвимости банка к валютным рискам</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10A8D3FA"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2B09F3E9" w14:textId="77777777" w:rsidTr="00C6229E">
        <w:trPr>
          <w:trHeight w:val="20"/>
        </w:trPr>
        <w:tc>
          <w:tcPr>
            <w:tcW w:w="213" w:type="pct"/>
            <w:shd w:val="clear" w:color="auto" w:fill="FFFFFF" w:themeFill="background1"/>
            <w:noWrap/>
            <w:vAlign w:val="center"/>
          </w:tcPr>
          <w:p w14:paraId="17B09671" w14:textId="77777777" w:rsidR="00651F1B" w:rsidRPr="005A1F62" w:rsidRDefault="00651F1B" w:rsidP="00C6229E">
            <w:pPr>
              <w:tabs>
                <w:tab w:val="left" w:pos="709"/>
              </w:tabs>
              <w:jc w:val="center"/>
              <w:rPr>
                <w:rFonts w:eastAsia="Arial Unicode MS"/>
              </w:rPr>
            </w:pPr>
            <w:r w:rsidRPr="005A1F62">
              <w:rPr>
                <w:rFonts w:eastAsia="Arial Unicode MS"/>
              </w:rPr>
              <w:t>3</w:t>
            </w:r>
          </w:p>
        </w:tc>
        <w:tc>
          <w:tcPr>
            <w:tcW w:w="4501" w:type="pct"/>
            <w:shd w:val="clear" w:color="auto" w:fill="FFFFFF" w:themeFill="background1"/>
            <w:vAlign w:val="center"/>
          </w:tcPr>
          <w:p w14:paraId="6C88367A" w14:textId="25CB38A2" w:rsidR="00651F1B" w:rsidRPr="005A1F62" w:rsidRDefault="00651F1B" w:rsidP="00C6229E">
            <w:pPr>
              <w:tabs>
                <w:tab w:val="left" w:pos="709"/>
              </w:tabs>
              <w:jc w:val="both"/>
              <w:rPr>
                <w:rFonts w:eastAsia="Arial Unicode MS"/>
              </w:rPr>
            </w:pPr>
            <w:r w:rsidRPr="005A1F62">
              <w:rPr>
                <w:rFonts w:eastAsia="Arial Unicode MS"/>
              </w:rPr>
              <w:t>Применяется gap-анализ</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409EE6D3"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3F0FAA0E" w14:textId="77777777" w:rsidTr="00C6229E">
        <w:trPr>
          <w:trHeight w:val="20"/>
        </w:trPr>
        <w:tc>
          <w:tcPr>
            <w:tcW w:w="213" w:type="pct"/>
            <w:shd w:val="clear" w:color="auto" w:fill="FFFFFF" w:themeFill="background1"/>
            <w:noWrap/>
            <w:vAlign w:val="center"/>
          </w:tcPr>
          <w:p w14:paraId="37DF0185" w14:textId="77777777" w:rsidR="00651F1B" w:rsidRPr="005A1F62" w:rsidRDefault="00651F1B" w:rsidP="00C6229E">
            <w:pPr>
              <w:tabs>
                <w:tab w:val="left" w:pos="709"/>
              </w:tabs>
              <w:jc w:val="center"/>
              <w:rPr>
                <w:rFonts w:eastAsia="Arial Unicode MS"/>
              </w:rPr>
            </w:pPr>
            <w:r w:rsidRPr="005A1F62">
              <w:rPr>
                <w:rFonts w:eastAsia="Arial Unicode MS"/>
              </w:rPr>
              <w:t>4</w:t>
            </w:r>
          </w:p>
        </w:tc>
        <w:tc>
          <w:tcPr>
            <w:tcW w:w="4501" w:type="pct"/>
            <w:shd w:val="clear" w:color="auto" w:fill="FFFFFF" w:themeFill="background1"/>
            <w:vAlign w:val="center"/>
          </w:tcPr>
          <w:p w14:paraId="014A16EC" w14:textId="080DDEA5" w:rsidR="00651F1B" w:rsidRPr="005A1F62" w:rsidRDefault="00651F1B" w:rsidP="00C6229E">
            <w:pPr>
              <w:tabs>
                <w:tab w:val="left" w:pos="709"/>
              </w:tabs>
              <w:jc w:val="both"/>
              <w:rPr>
                <w:rFonts w:eastAsia="Arial Unicode MS"/>
              </w:rPr>
            </w:pPr>
            <w:r w:rsidRPr="005A1F62">
              <w:rPr>
                <w:rFonts w:eastAsia="Arial Unicode MS"/>
              </w:rPr>
              <w:t>Применяется методологии VAR либо модифицированные методологии на ее основе</w:t>
            </w:r>
            <w:r w:rsidR="003C5E05" w:rsidRPr="005A1F62">
              <w:rPr>
                <w:rFonts w:eastAsia="Arial Unicode MS"/>
              </w:rPr>
              <w:t xml:space="preserve"> </w:t>
            </w:r>
            <w:r w:rsidR="003C5E05" w:rsidRPr="005A1F62">
              <w:t>(выполняется / не выполняется)</w:t>
            </w:r>
          </w:p>
        </w:tc>
        <w:tc>
          <w:tcPr>
            <w:tcW w:w="286" w:type="pct"/>
            <w:shd w:val="clear" w:color="auto" w:fill="FFFFFF" w:themeFill="background1"/>
            <w:noWrap/>
            <w:vAlign w:val="center"/>
          </w:tcPr>
          <w:p w14:paraId="125E19C7" w14:textId="77777777" w:rsidR="00651F1B" w:rsidRPr="005A1F62" w:rsidRDefault="00651F1B" w:rsidP="00C6229E">
            <w:pPr>
              <w:tabs>
                <w:tab w:val="left" w:pos="709"/>
              </w:tabs>
              <w:jc w:val="center"/>
              <w:rPr>
                <w:rFonts w:eastAsia="Arial Unicode MS"/>
              </w:rPr>
            </w:pPr>
            <w:r w:rsidRPr="005A1F62">
              <w:rPr>
                <w:rFonts w:eastAsia="Arial Unicode MS"/>
              </w:rPr>
              <w:t>2</w:t>
            </w:r>
          </w:p>
        </w:tc>
      </w:tr>
    </w:tbl>
    <w:p w14:paraId="56FBBA5B" w14:textId="77777777" w:rsidR="00651F1B" w:rsidRPr="005A1F62" w:rsidRDefault="00651F1B" w:rsidP="00651F1B">
      <w:pPr>
        <w:tabs>
          <w:tab w:val="left" w:pos="709"/>
        </w:tabs>
        <w:ind w:firstLine="567"/>
        <w:jc w:val="both"/>
      </w:pPr>
    </w:p>
    <w:p w14:paraId="1229205C" w14:textId="77777777" w:rsidR="00651F1B" w:rsidRPr="005A1F62" w:rsidRDefault="00651F1B" w:rsidP="00651F1B">
      <w:pPr>
        <w:tabs>
          <w:tab w:val="left" w:pos="709"/>
        </w:tabs>
        <w:ind w:firstLine="567"/>
        <w:jc w:val="both"/>
      </w:pPr>
      <w:r w:rsidRPr="005A1F62">
        <w:t xml:space="preserve">Балл за управление любым из видов рыночного риска не может быть выше нуля, если </w:t>
      </w:r>
      <w:bookmarkStart w:id="224" w:name="_Hlk508620939"/>
      <w:r w:rsidRPr="005A1F62">
        <w:t>сумма потерь от реализации соответствующего вида риска превышает 10% относительно средней величины капитала за последние 24 месяца.</w:t>
      </w:r>
    </w:p>
    <w:bookmarkEnd w:id="224"/>
    <w:p w14:paraId="4ECB2118" w14:textId="77777777" w:rsidR="00651F1B" w:rsidRPr="005A1F62" w:rsidRDefault="00651F1B" w:rsidP="00651F1B">
      <w:pPr>
        <w:tabs>
          <w:tab w:val="left" w:pos="709"/>
        </w:tabs>
        <w:ind w:firstLine="567"/>
        <w:jc w:val="both"/>
        <w:rPr>
          <w:b/>
        </w:rPr>
      </w:pPr>
    </w:p>
    <w:p w14:paraId="61C16DFC" w14:textId="77777777" w:rsidR="00651F1B" w:rsidRPr="005A1F62" w:rsidRDefault="00651F1B" w:rsidP="00651F1B">
      <w:pPr>
        <w:tabs>
          <w:tab w:val="left" w:pos="709"/>
        </w:tabs>
        <w:ind w:firstLine="567"/>
        <w:jc w:val="both"/>
        <w:rPr>
          <w:b/>
        </w:rPr>
      </w:pPr>
      <w:r w:rsidRPr="005A1F62">
        <w:rPr>
          <w:b/>
        </w:rPr>
        <w:t>Чек-лист для оценки качества управления рисками ликвидности</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58"/>
        <w:gridCol w:w="8408"/>
        <w:gridCol w:w="590"/>
      </w:tblGrid>
      <w:tr w:rsidR="00651F1B" w:rsidRPr="005A1F62" w14:paraId="595140B2" w14:textId="77777777" w:rsidTr="00C6229E">
        <w:trPr>
          <w:trHeight w:val="20"/>
        </w:trPr>
        <w:tc>
          <w:tcPr>
            <w:tcW w:w="417" w:type="dxa"/>
            <w:shd w:val="clear" w:color="auto" w:fill="D9D9D9" w:themeFill="background1" w:themeFillShade="D9"/>
            <w:noWrap/>
            <w:vAlign w:val="center"/>
          </w:tcPr>
          <w:p w14:paraId="54A53556" w14:textId="77777777" w:rsidR="00651F1B" w:rsidRPr="005A1F62" w:rsidRDefault="00651F1B" w:rsidP="00C6229E">
            <w:pPr>
              <w:tabs>
                <w:tab w:val="left" w:pos="709"/>
              </w:tabs>
              <w:jc w:val="center"/>
              <w:rPr>
                <w:rFonts w:eastAsia="Arial Unicode MS"/>
                <w:b/>
                <w:bCs/>
              </w:rPr>
            </w:pPr>
            <w:r w:rsidRPr="005A1F62">
              <w:rPr>
                <w:rFonts w:eastAsia="Arial Unicode MS"/>
                <w:b/>
                <w:bCs/>
              </w:rPr>
              <w:t>№</w:t>
            </w:r>
          </w:p>
        </w:tc>
        <w:tc>
          <w:tcPr>
            <w:tcW w:w="8408" w:type="dxa"/>
            <w:shd w:val="clear" w:color="auto" w:fill="D9D9D9" w:themeFill="background1" w:themeFillShade="D9"/>
            <w:vAlign w:val="center"/>
          </w:tcPr>
          <w:p w14:paraId="60FC0772" w14:textId="77777777" w:rsidR="00651F1B" w:rsidRPr="005A1F62" w:rsidRDefault="00651F1B" w:rsidP="00C6229E">
            <w:pPr>
              <w:tabs>
                <w:tab w:val="left" w:pos="709"/>
              </w:tabs>
              <w:jc w:val="both"/>
              <w:rPr>
                <w:rFonts w:eastAsia="Arial Unicode MS"/>
                <w:b/>
                <w:bCs/>
              </w:rPr>
            </w:pPr>
            <w:r w:rsidRPr="005A1F62">
              <w:rPr>
                <w:rFonts w:eastAsia="Arial Unicode MS"/>
                <w:b/>
                <w:bCs/>
              </w:rPr>
              <w:t>Риски ликвидности</w:t>
            </w:r>
          </w:p>
        </w:tc>
        <w:tc>
          <w:tcPr>
            <w:tcW w:w="533" w:type="dxa"/>
            <w:shd w:val="clear" w:color="auto" w:fill="D9D9D9" w:themeFill="background1" w:themeFillShade="D9"/>
            <w:vAlign w:val="center"/>
          </w:tcPr>
          <w:p w14:paraId="3FB68D23" w14:textId="77777777" w:rsidR="00651F1B" w:rsidRPr="005A1F62" w:rsidRDefault="00651F1B" w:rsidP="00C6229E">
            <w:pPr>
              <w:tabs>
                <w:tab w:val="left" w:pos="709"/>
              </w:tabs>
              <w:jc w:val="center"/>
              <w:rPr>
                <w:rFonts w:eastAsia="Arial Unicode MS"/>
                <w:b/>
                <w:bCs/>
              </w:rPr>
            </w:pPr>
            <w:r w:rsidRPr="005A1F62">
              <w:rPr>
                <w:rFonts w:eastAsia="Arial Unicode MS"/>
                <w:b/>
                <w:bCs/>
              </w:rPr>
              <w:t>Вес</w:t>
            </w:r>
          </w:p>
        </w:tc>
      </w:tr>
      <w:tr w:rsidR="00651F1B" w:rsidRPr="005A1F62" w14:paraId="38EABB9B" w14:textId="77777777" w:rsidTr="00C6229E">
        <w:trPr>
          <w:trHeight w:val="20"/>
        </w:trPr>
        <w:tc>
          <w:tcPr>
            <w:tcW w:w="417" w:type="dxa"/>
            <w:shd w:val="clear" w:color="auto" w:fill="FFFFFF" w:themeFill="background1"/>
            <w:noWrap/>
            <w:vAlign w:val="center"/>
          </w:tcPr>
          <w:p w14:paraId="1D2BC35C" w14:textId="77777777" w:rsidR="00651F1B" w:rsidRPr="005A1F62" w:rsidRDefault="00651F1B" w:rsidP="00C6229E">
            <w:pPr>
              <w:tabs>
                <w:tab w:val="left" w:pos="709"/>
              </w:tabs>
              <w:jc w:val="center"/>
              <w:rPr>
                <w:rFonts w:eastAsia="Arial Unicode MS"/>
              </w:rPr>
            </w:pPr>
            <w:r w:rsidRPr="005A1F62">
              <w:rPr>
                <w:rFonts w:eastAsia="Arial Unicode MS"/>
              </w:rPr>
              <w:t>1</w:t>
            </w:r>
          </w:p>
        </w:tc>
        <w:tc>
          <w:tcPr>
            <w:tcW w:w="8408" w:type="dxa"/>
            <w:shd w:val="clear" w:color="auto" w:fill="FFFFFF" w:themeFill="background1"/>
            <w:vAlign w:val="center"/>
          </w:tcPr>
          <w:p w14:paraId="32F259F8" w14:textId="00485A6C" w:rsidR="00651F1B" w:rsidRPr="005A1F62" w:rsidRDefault="00651F1B" w:rsidP="00C6229E">
            <w:pPr>
              <w:tabs>
                <w:tab w:val="left" w:pos="709"/>
              </w:tabs>
              <w:jc w:val="both"/>
              <w:rPr>
                <w:rFonts w:eastAsia="Arial Unicode MS"/>
              </w:rPr>
            </w:pPr>
            <w:r w:rsidRPr="005A1F62">
              <w:rPr>
                <w:rFonts w:eastAsia="Arial Unicode MS"/>
              </w:rPr>
              <w:t>Существует адекватная методика управления рисками ликвидности</w:t>
            </w:r>
            <w:r w:rsidR="003C5E05" w:rsidRPr="005A1F62">
              <w:rPr>
                <w:rFonts w:eastAsia="Arial Unicode MS"/>
              </w:rPr>
              <w:t>. П</w:t>
            </w:r>
            <w:r w:rsidRPr="005A1F62">
              <w:rPr>
                <w:rFonts w:eastAsia="Arial Unicode MS"/>
              </w:rPr>
              <w:t>оследнее обновление документа происходило не более трех лет назад</w:t>
            </w:r>
            <w:r w:rsidR="003C5E05" w:rsidRPr="005A1F62">
              <w:rPr>
                <w:rFonts w:eastAsia="Arial Unicode MS"/>
              </w:rPr>
              <w:t xml:space="preserve"> </w:t>
            </w:r>
            <w:r w:rsidR="003C5E05" w:rsidRPr="005A1F62">
              <w:rPr>
                <w:rFonts w:eastAsia="Calibri"/>
                <w:lang w:eastAsia="en-US"/>
              </w:rPr>
              <w:t>(выполняется / выполняется частично / не выполняется)</w:t>
            </w:r>
          </w:p>
        </w:tc>
        <w:tc>
          <w:tcPr>
            <w:tcW w:w="533" w:type="dxa"/>
            <w:shd w:val="clear" w:color="auto" w:fill="FFFFFF" w:themeFill="background1"/>
            <w:noWrap/>
            <w:vAlign w:val="center"/>
          </w:tcPr>
          <w:p w14:paraId="167245C1"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59B6E637" w14:textId="77777777" w:rsidTr="00C6229E">
        <w:trPr>
          <w:trHeight w:val="20"/>
        </w:trPr>
        <w:tc>
          <w:tcPr>
            <w:tcW w:w="417" w:type="dxa"/>
            <w:shd w:val="clear" w:color="auto" w:fill="FFFFFF" w:themeFill="background1"/>
            <w:noWrap/>
            <w:vAlign w:val="center"/>
          </w:tcPr>
          <w:p w14:paraId="202BEF85" w14:textId="77777777" w:rsidR="00651F1B" w:rsidRPr="005A1F62" w:rsidRDefault="00651F1B" w:rsidP="00C6229E">
            <w:pPr>
              <w:tabs>
                <w:tab w:val="left" w:pos="709"/>
              </w:tabs>
              <w:jc w:val="center"/>
              <w:rPr>
                <w:rFonts w:eastAsia="Arial Unicode MS"/>
              </w:rPr>
            </w:pPr>
            <w:r w:rsidRPr="005A1F62">
              <w:rPr>
                <w:rFonts w:eastAsia="Arial Unicode MS"/>
              </w:rPr>
              <w:t>2</w:t>
            </w:r>
          </w:p>
        </w:tc>
        <w:tc>
          <w:tcPr>
            <w:tcW w:w="8408" w:type="dxa"/>
            <w:shd w:val="clear" w:color="auto" w:fill="FFFFFF" w:themeFill="background1"/>
            <w:vAlign w:val="center"/>
          </w:tcPr>
          <w:p w14:paraId="50907C5C" w14:textId="257EE461" w:rsidR="00651F1B" w:rsidRPr="005A1F62" w:rsidRDefault="00651F1B" w:rsidP="00C6229E">
            <w:pPr>
              <w:tabs>
                <w:tab w:val="left" w:pos="709"/>
              </w:tabs>
              <w:jc w:val="both"/>
              <w:rPr>
                <w:rFonts w:eastAsia="Arial Unicode MS"/>
              </w:rPr>
            </w:pPr>
            <w:r w:rsidRPr="005A1F62">
              <w:rPr>
                <w:rFonts w:eastAsia="Arial Unicode MS"/>
              </w:rPr>
              <w:t>В документах по управлению риском ликвидности регламентированы конкретные мероприятия по восполнению ликвидности в случае ее дефицита (реализация ликвидных активов, наиболее доступные способы привлечения дополнительных ресурсов)</w:t>
            </w:r>
            <w:r w:rsidR="003C5E05" w:rsidRPr="005A1F62">
              <w:rPr>
                <w:rFonts w:eastAsia="Arial Unicode MS"/>
              </w:rPr>
              <w:t xml:space="preserve"> </w:t>
            </w:r>
            <w:r w:rsidR="003C5E05" w:rsidRPr="005A1F62">
              <w:t>(выполняется / не выполняется)</w:t>
            </w:r>
          </w:p>
        </w:tc>
        <w:tc>
          <w:tcPr>
            <w:tcW w:w="533" w:type="dxa"/>
            <w:shd w:val="clear" w:color="auto" w:fill="FFFFFF" w:themeFill="background1"/>
            <w:noWrap/>
            <w:vAlign w:val="center"/>
          </w:tcPr>
          <w:p w14:paraId="51FFB45B"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697A2FAB" w14:textId="77777777" w:rsidTr="00C6229E">
        <w:trPr>
          <w:trHeight w:val="20"/>
        </w:trPr>
        <w:tc>
          <w:tcPr>
            <w:tcW w:w="417" w:type="dxa"/>
            <w:shd w:val="clear" w:color="auto" w:fill="FFFFFF" w:themeFill="background1"/>
            <w:noWrap/>
            <w:vAlign w:val="center"/>
          </w:tcPr>
          <w:p w14:paraId="58AAC00B" w14:textId="77777777" w:rsidR="00651F1B" w:rsidRPr="005A1F62" w:rsidRDefault="00651F1B" w:rsidP="00C6229E">
            <w:pPr>
              <w:tabs>
                <w:tab w:val="left" w:pos="709"/>
              </w:tabs>
              <w:jc w:val="center"/>
              <w:rPr>
                <w:rFonts w:eastAsia="Arial Unicode MS"/>
              </w:rPr>
            </w:pPr>
            <w:r w:rsidRPr="005A1F62">
              <w:rPr>
                <w:rFonts w:eastAsia="Arial Unicode MS"/>
              </w:rPr>
              <w:t>3</w:t>
            </w:r>
          </w:p>
        </w:tc>
        <w:tc>
          <w:tcPr>
            <w:tcW w:w="8408" w:type="dxa"/>
            <w:shd w:val="clear" w:color="auto" w:fill="FFFFFF" w:themeFill="background1"/>
            <w:noWrap/>
            <w:vAlign w:val="center"/>
          </w:tcPr>
          <w:p w14:paraId="29964DB3" w14:textId="6C377B34" w:rsidR="00651F1B" w:rsidRPr="005A1F62" w:rsidRDefault="00651F1B" w:rsidP="00C6229E">
            <w:pPr>
              <w:tabs>
                <w:tab w:val="left" w:pos="709"/>
              </w:tabs>
              <w:jc w:val="both"/>
            </w:pPr>
            <w:r w:rsidRPr="005A1F62">
              <w:t xml:space="preserve">В документах по управлению риском ликвидности детально описаны процедуры принятия решений в случае возникновения «конфликта интересов» между ликвидностью и прибыльностью, обусловленного, например, низкой </w:t>
            </w:r>
            <w:r w:rsidRPr="005A1F62">
              <w:lastRenderedPageBreak/>
              <w:t>доходностью ликвидных активов, высокой стоимостью заемных средств</w:t>
            </w:r>
            <w:r w:rsidR="003C5E05" w:rsidRPr="005A1F62">
              <w:t xml:space="preserve"> </w:t>
            </w:r>
            <w:r w:rsidR="003C5E05" w:rsidRPr="005A1F62">
              <w:rPr>
                <w:rFonts w:eastAsia="Calibri"/>
                <w:lang w:eastAsia="en-US"/>
              </w:rPr>
              <w:t>(выполняется / не выполняется)</w:t>
            </w:r>
          </w:p>
        </w:tc>
        <w:tc>
          <w:tcPr>
            <w:tcW w:w="533" w:type="dxa"/>
            <w:shd w:val="clear" w:color="auto" w:fill="FFFFFF" w:themeFill="background1"/>
            <w:noWrap/>
            <w:vAlign w:val="center"/>
          </w:tcPr>
          <w:p w14:paraId="062F8E7E" w14:textId="77777777" w:rsidR="00651F1B" w:rsidRPr="005A1F62" w:rsidRDefault="00651F1B" w:rsidP="00C6229E">
            <w:pPr>
              <w:tabs>
                <w:tab w:val="left" w:pos="709"/>
              </w:tabs>
              <w:jc w:val="center"/>
              <w:rPr>
                <w:rFonts w:eastAsia="Arial Unicode MS"/>
              </w:rPr>
            </w:pPr>
            <w:r w:rsidRPr="005A1F62">
              <w:rPr>
                <w:rFonts w:eastAsia="Arial Unicode MS"/>
              </w:rPr>
              <w:lastRenderedPageBreak/>
              <w:t>2</w:t>
            </w:r>
          </w:p>
        </w:tc>
      </w:tr>
      <w:tr w:rsidR="00651F1B" w:rsidRPr="005A1F62" w14:paraId="738A00B7" w14:textId="77777777" w:rsidTr="00C6229E">
        <w:trPr>
          <w:trHeight w:val="20"/>
        </w:trPr>
        <w:tc>
          <w:tcPr>
            <w:tcW w:w="417" w:type="dxa"/>
            <w:shd w:val="clear" w:color="auto" w:fill="FFFFFF" w:themeFill="background1"/>
            <w:noWrap/>
            <w:vAlign w:val="center"/>
          </w:tcPr>
          <w:p w14:paraId="0F83A04B" w14:textId="77777777" w:rsidR="00651F1B" w:rsidRPr="005A1F62" w:rsidRDefault="00651F1B" w:rsidP="00C6229E">
            <w:pPr>
              <w:tabs>
                <w:tab w:val="left" w:pos="709"/>
              </w:tabs>
              <w:jc w:val="center"/>
              <w:rPr>
                <w:rFonts w:eastAsia="Arial Unicode MS"/>
              </w:rPr>
            </w:pPr>
            <w:r w:rsidRPr="005A1F62">
              <w:rPr>
                <w:rFonts w:eastAsia="Arial Unicode MS"/>
              </w:rPr>
              <w:t>4</w:t>
            </w:r>
          </w:p>
        </w:tc>
        <w:tc>
          <w:tcPr>
            <w:tcW w:w="8408" w:type="dxa"/>
            <w:shd w:val="clear" w:color="auto" w:fill="FFFFFF" w:themeFill="background1"/>
            <w:noWrap/>
            <w:vAlign w:val="center"/>
          </w:tcPr>
          <w:p w14:paraId="47A929AC" w14:textId="17CC6E56" w:rsidR="00651F1B" w:rsidRPr="005A1F62" w:rsidRDefault="00651F1B" w:rsidP="00C6229E">
            <w:pPr>
              <w:tabs>
                <w:tab w:val="left" w:pos="709"/>
              </w:tabs>
              <w:jc w:val="both"/>
            </w:pPr>
            <w:r w:rsidRPr="005A1F62">
              <w:t>Процедуры управления риском ликвидности предусматривают установление и ежедневный контроль выполнения лимитов (максимальная величина разрыва ликвидности, соотношение предоставленных кредитов и средств на счетах клиентов, лимит на использование остатков на расчетных счетах клиентов для формирования портфеля срочных инструментов, прочие лимиты); количество и характер лимитов, по мнению Агентства, соответствует спектру активных и пассивных операций банка; банк может оперативно предоставить управленческую отчетность о выполнении лимитов</w:t>
            </w:r>
            <w:r w:rsidR="003C5E05" w:rsidRPr="005A1F62">
              <w:t xml:space="preserve"> </w:t>
            </w:r>
            <w:r w:rsidR="003C5E05" w:rsidRPr="005A1F62">
              <w:rPr>
                <w:rFonts w:eastAsia="Calibri"/>
                <w:lang w:eastAsia="en-US"/>
              </w:rPr>
              <w:t>(выполняется / выполняется частично / не выполняется)</w:t>
            </w:r>
          </w:p>
        </w:tc>
        <w:tc>
          <w:tcPr>
            <w:tcW w:w="533" w:type="dxa"/>
            <w:shd w:val="clear" w:color="auto" w:fill="FFFFFF" w:themeFill="background1"/>
            <w:noWrap/>
            <w:vAlign w:val="center"/>
          </w:tcPr>
          <w:p w14:paraId="3FB08FD0"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2D4D57A3" w14:textId="77777777" w:rsidTr="00C6229E">
        <w:trPr>
          <w:trHeight w:val="20"/>
        </w:trPr>
        <w:tc>
          <w:tcPr>
            <w:tcW w:w="417" w:type="dxa"/>
            <w:shd w:val="clear" w:color="auto" w:fill="FFFFFF" w:themeFill="background1"/>
            <w:noWrap/>
            <w:vAlign w:val="center"/>
          </w:tcPr>
          <w:p w14:paraId="104A6ABD" w14:textId="77777777" w:rsidR="00651F1B" w:rsidRPr="005A1F62" w:rsidRDefault="00651F1B" w:rsidP="00C6229E">
            <w:pPr>
              <w:tabs>
                <w:tab w:val="left" w:pos="709"/>
              </w:tabs>
              <w:jc w:val="center"/>
              <w:rPr>
                <w:rFonts w:eastAsia="Arial Unicode MS"/>
              </w:rPr>
            </w:pPr>
            <w:r w:rsidRPr="005A1F62">
              <w:rPr>
                <w:rFonts w:eastAsia="Arial Unicode MS"/>
              </w:rPr>
              <w:t>5</w:t>
            </w:r>
          </w:p>
        </w:tc>
        <w:tc>
          <w:tcPr>
            <w:tcW w:w="8408" w:type="dxa"/>
            <w:shd w:val="clear" w:color="auto" w:fill="FFFFFF" w:themeFill="background1"/>
            <w:noWrap/>
            <w:vAlign w:val="center"/>
          </w:tcPr>
          <w:p w14:paraId="11ED8AB0" w14:textId="71C31A3B" w:rsidR="00651F1B" w:rsidRPr="005A1F62" w:rsidRDefault="00651F1B" w:rsidP="00C6229E">
            <w:pPr>
              <w:tabs>
                <w:tab w:val="left" w:pos="709"/>
              </w:tabs>
              <w:jc w:val="both"/>
            </w:pPr>
            <w:r w:rsidRPr="005A1F62">
              <w:t>Банк устанавливает и соблюдает лимиты на зависимость ресурсной базы от средств одного юридического / физического лица; величина соответствующих лимитов оценивается Агентством как адекватная</w:t>
            </w:r>
            <w:r w:rsidR="003C5E05" w:rsidRPr="005A1F62">
              <w:t xml:space="preserve"> </w:t>
            </w:r>
            <w:r w:rsidR="003C5E05" w:rsidRPr="005A1F62">
              <w:rPr>
                <w:rFonts w:eastAsia="Calibri"/>
                <w:lang w:eastAsia="en-US"/>
              </w:rPr>
              <w:t>(выполняется / выполняется частично / не выполняется)</w:t>
            </w:r>
          </w:p>
        </w:tc>
        <w:tc>
          <w:tcPr>
            <w:tcW w:w="533" w:type="dxa"/>
            <w:shd w:val="clear" w:color="auto" w:fill="FFFFFF" w:themeFill="background1"/>
            <w:noWrap/>
            <w:vAlign w:val="center"/>
          </w:tcPr>
          <w:p w14:paraId="60EE33FD"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619248EA" w14:textId="77777777" w:rsidTr="00C6229E">
        <w:trPr>
          <w:trHeight w:val="20"/>
        </w:trPr>
        <w:tc>
          <w:tcPr>
            <w:tcW w:w="417" w:type="dxa"/>
            <w:shd w:val="clear" w:color="auto" w:fill="FFFFFF" w:themeFill="background1"/>
            <w:noWrap/>
            <w:vAlign w:val="center"/>
          </w:tcPr>
          <w:p w14:paraId="0B27E32E" w14:textId="77777777" w:rsidR="00651F1B" w:rsidRPr="005A1F62" w:rsidRDefault="00651F1B" w:rsidP="00C6229E">
            <w:pPr>
              <w:tabs>
                <w:tab w:val="left" w:pos="709"/>
              </w:tabs>
              <w:jc w:val="center"/>
              <w:rPr>
                <w:rFonts w:eastAsia="Arial Unicode MS"/>
              </w:rPr>
            </w:pPr>
            <w:r w:rsidRPr="005A1F62">
              <w:rPr>
                <w:rFonts w:eastAsia="Arial Unicode MS"/>
              </w:rPr>
              <w:t>6</w:t>
            </w:r>
          </w:p>
        </w:tc>
        <w:tc>
          <w:tcPr>
            <w:tcW w:w="8408" w:type="dxa"/>
            <w:shd w:val="clear" w:color="auto" w:fill="FFFFFF" w:themeFill="background1"/>
            <w:noWrap/>
            <w:vAlign w:val="center"/>
          </w:tcPr>
          <w:p w14:paraId="144322D2" w14:textId="73797749" w:rsidR="00651F1B" w:rsidRPr="005A1F62" w:rsidRDefault="00651F1B" w:rsidP="00C6229E">
            <w:pPr>
              <w:tabs>
                <w:tab w:val="left" w:pos="709"/>
              </w:tabs>
              <w:jc w:val="both"/>
              <w:rPr>
                <w:rFonts w:eastAsia="Arial Unicode MS"/>
              </w:rPr>
            </w:pPr>
            <w:r w:rsidRPr="005A1F62">
              <w:t>Банк устанавливает и соблюдает лимиты на зависимость ресурсной базы от средств одного источника; величина соответствующих лимитов оценивается Агентством как адекватная</w:t>
            </w:r>
            <w:r w:rsidR="003C5E05" w:rsidRPr="005A1F62">
              <w:t xml:space="preserve"> </w:t>
            </w:r>
            <w:r w:rsidR="003C5E05" w:rsidRPr="005A1F62">
              <w:rPr>
                <w:rFonts w:eastAsia="Calibri"/>
                <w:lang w:eastAsia="en-US"/>
              </w:rPr>
              <w:t>(выполняется / выполняется частично / не выполняется)</w:t>
            </w:r>
          </w:p>
        </w:tc>
        <w:tc>
          <w:tcPr>
            <w:tcW w:w="533" w:type="dxa"/>
            <w:shd w:val="clear" w:color="auto" w:fill="FFFFFF" w:themeFill="background1"/>
            <w:noWrap/>
            <w:vAlign w:val="center"/>
          </w:tcPr>
          <w:p w14:paraId="6E9B9439"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412F7CAE" w14:textId="77777777" w:rsidTr="00C6229E">
        <w:trPr>
          <w:trHeight w:val="20"/>
        </w:trPr>
        <w:tc>
          <w:tcPr>
            <w:tcW w:w="417" w:type="dxa"/>
            <w:shd w:val="clear" w:color="auto" w:fill="FFFFFF" w:themeFill="background1"/>
            <w:noWrap/>
            <w:vAlign w:val="center"/>
          </w:tcPr>
          <w:p w14:paraId="44041CBD" w14:textId="77777777" w:rsidR="00651F1B" w:rsidRPr="005A1F62" w:rsidRDefault="00651F1B" w:rsidP="00C6229E">
            <w:pPr>
              <w:tabs>
                <w:tab w:val="left" w:pos="709"/>
              </w:tabs>
              <w:jc w:val="center"/>
              <w:rPr>
                <w:rFonts w:eastAsia="Arial Unicode MS"/>
              </w:rPr>
            </w:pPr>
            <w:r w:rsidRPr="005A1F62">
              <w:rPr>
                <w:rFonts w:eastAsia="Arial Unicode MS"/>
              </w:rPr>
              <w:t>7</w:t>
            </w:r>
          </w:p>
        </w:tc>
        <w:tc>
          <w:tcPr>
            <w:tcW w:w="8408" w:type="dxa"/>
            <w:shd w:val="clear" w:color="auto" w:fill="FFFFFF" w:themeFill="background1"/>
            <w:noWrap/>
            <w:vAlign w:val="center"/>
          </w:tcPr>
          <w:p w14:paraId="6CCF4F6E" w14:textId="4FAE491B" w:rsidR="00651F1B" w:rsidRPr="005A1F62" w:rsidRDefault="00651F1B" w:rsidP="00C6229E">
            <w:pPr>
              <w:tabs>
                <w:tab w:val="left" w:pos="709"/>
              </w:tabs>
              <w:jc w:val="both"/>
              <w:rPr>
                <w:rFonts w:eastAsia="Arial Unicode MS"/>
              </w:rPr>
            </w:pPr>
            <w:r w:rsidRPr="005A1F62">
              <w:rPr>
                <w:rFonts w:eastAsia="Arial Unicode MS"/>
              </w:rPr>
              <w:t>Методика управления риском ликвидности использует элементы моделирования состояния активов и пассивов, учитывающие «поведенческие» характеристики, базирующиеся на прогнозах поведения клиентов</w:t>
            </w:r>
            <w:r w:rsidR="003C5E05" w:rsidRPr="005A1F62">
              <w:rPr>
                <w:rFonts w:eastAsia="Arial Unicode MS"/>
              </w:rPr>
              <w:t xml:space="preserve"> </w:t>
            </w:r>
            <w:r w:rsidR="003C5E05" w:rsidRPr="005A1F62">
              <w:t>(выполняется / не выполняется)</w:t>
            </w:r>
          </w:p>
        </w:tc>
        <w:tc>
          <w:tcPr>
            <w:tcW w:w="533" w:type="dxa"/>
            <w:shd w:val="clear" w:color="auto" w:fill="FFFFFF" w:themeFill="background1"/>
            <w:noWrap/>
            <w:vAlign w:val="center"/>
          </w:tcPr>
          <w:p w14:paraId="682727D1"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184CB194" w14:textId="77777777" w:rsidTr="00C6229E">
        <w:trPr>
          <w:trHeight w:val="20"/>
        </w:trPr>
        <w:tc>
          <w:tcPr>
            <w:tcW w:w="417" w:type="dxa"/>
            <w:shd w:val="clear" w:color="auto" w:fill="FFFFFF" w:themeFill="background1"/>
            <w:noWrap/>
            <w:vAlign w:val="center"/>
          </w:tcPr>
          <w:p w14:paraId="55CEED6F" w14:textId="77777777" w:rsidR="00651F1B" w:rsidRPr="005A1F62" w:rsidRDefault="00651F1B" w:rsidP="00C6229E">
            <w:pPr>
              <w:tabs>
                <w:tab w:val="left" w:pos="709"/>
              </w:tabs>
              <w:jc w:val="center"/>
              <w:rPr>
                <w:rFonts w:eastAsia="Arial Unicode MS"/>
              </w:rPr>
            </w:pPr>
            <w:r w:rsidRPr="005A1F62">
              <w:rPr>
                <w:rFonts w:eastAsia="Arial Unicode MS"/>
              </w:rPr>
              <w:t>8</w:t>
            </w:r>
          </w:p>
        </w:tc>
        <w:tc>
          <w:tcPr>
            <w:tcW w:w="8408" w:type="dxa"/>
            <w:shd w:val="clear" w:color="auto" w:fill="FFFFFF" w:themeFill="background1"/>
            <w:noWrap/>
            <w:vAlign w:val="center"/>
          </w:tcPr>
          <w:p w14:paraId="7E77AD70" w14:textId="245B80A9" w:rsidR="00651F1B" w:rsidRPr="005A1F62" w:rsidRDefault="00651F1B" w:rsidP="00C6229E">
            <w:pPr>
              <w:tabs>
                <w:tab w:val="left" w:pos="709"/>
              </w:tabs>
              <w:jc w:val="both"/>
            </w:pPr>
            <w:r w:rsidRPr="005A1F62">
              <w:rPr>
                <w:rFonts w:eastAsia="Arial Unicode MS"/>
              </w:rPr>
              <w:t>Проводится стресс-тестирование по уязвимости банка к рискам ликвидности; стресс-тестирование проводится в нескольких сценариях, спектр и характер которых оценивается Агентством как достаточно консервативный и соответствующий профилю рисков банка</w:t>
            </w:r>
            <w:r w:rsidR="003C5E05" w:rsidRPr="005A1F62">
              <w:rPr>
                <w:rFonts w:eastAsia="Arial Unicode MS"/>
              </w:rPr>
              <w:t xml:space="preserve"> </w:t>
            </w:r>
            <w:r w:rsidR="003C5E05" w:rsidRPr="005A1F62">
              <w:rPr>
                <w:rFonts w:eastAsia="Calibri"/>
                <w:lang w:eastAsia="en-US"/>
              </w:rPr>
              <w:t>(выполняется / выполняется частично / не выполняется)</w:t>
            </w:r>
          </w:p>
        </w:tc>
        <w:tc>
          <w:tcPr>
            <w:tcW w:w="533" w:type="dxa"/>
            <w:shd w:val="clear" w:color="auto" w:fill="FFFFFF" w:themeFill="background1"/>
            <w:noWrap/>
            <w:vAlign w:val="center"/>
          </w:tcPr>
          <w:p w14:paraId="50459407"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79099A20" w14:textId="77777777" w:rsidTr="00C6229E">
        <w:trPr>
          <w:trHeight w:val="20"/>
        </w:trPr>
        <w:tc>
          <w:tcPr>
            <w:tcW w:w="417" w:type="dxa"/>
            <w:shd w:val="clear" w:color="auto" w:fill="FFFFFF" w:themeFill="background1"/>
            <w:noWrap/>
            <w:vAlign w:val="center"/>
          </w:tcPr>
          <w:p w14:paraId="514536DB" w14:textId="77777777" w:rsidR="00651F1B" w:rsidRPr="005A1F62" w:rsidRDefault="00651F1B" w:rsidP="00C6229E">
            <w:pPr>
              <w:tabs>
                <w:tab w:val="left" w:pos="709"/>
              </w:tabs>
              <w:jc w:val="center"/>
              <w:rPr>
                <w:rFonts w:eastAsia="Arial Unicode MS"/>
              </w:rPr>
            </w:pPr>
            <w:r w:rsidRPr="005A1F62">
              <w:rPr>
                <w:rFonts w:eastAsia="Arial Unicode MS"/>
              </w:rPr>
              <w:t>9</w:t>
            </w:r>
          </w:p>
        </w:tc>
        <w:tc>
          <w:tcPr>
            <w:tcW w:w="8408" w:type="dxa"/>
            <w:shd w:val="clear" w:color="auto" w:fill="FFFFFF" w:themeFill="background1"/>
            <w:noWrap/>
            <w:vAlign w:val="center"/>
          </w:tcPr>
          <w:p w14:paraId="67566352" w14:textId="6FDE084B" w:rsidR="00651F1B" w:rsidRPr="005A1F62" w:rsidRDefault="00651F1B" w:rsidP="00C6229E">
            <w:pPr>
              <w:tabs>
                <w:tab w:val="left" w:pos="709"/>
              </w:tabs>
              <w:jc w:val="both"/>
              <w:rPr>
                <w:rFonts w:eastAsia="Arial Unicode MS"/>
              </w:rPr>
            </w:pPr>
            <w:r w:rsidRPr="005A1F62">
              <w:rPr>
                <w:rFonts w:eastAsia="Arial Unicode MS"/>
              </w:rPr>
              <w:t>Существует актуальный (обновленный не ранее, чем год назад) план финансирования деятельности в случаях непрогнозируемого снижения ликвидности, полнота и детализация которого оценивается Агентством как соответствующая профилю рисков банка</w:t>
            </w:r>
            <w:r w:rsidR="003C5E05" w:rsidRPr="005A1F62">
              <w:rPr>
                <w:rFonts w:eastAsia="Arial Unicode MS"/>
              </w:rPr>
              <w:t xml:space="preserve"> </w:t>
            </w:r>
            <w:r w:rsidR="003C5E05" w:rsidRPr="005A1F62">
              <w:t>(выполняется / не выполняется)</w:t>
            </w:r>
          </w:p>
        </w:tc>
        <w:tc>
          <w:tcPr>
            <w:tcW w:w="533" w:type="dxa"/>
            <w:shd w:val="clear" w:color="auto" w:fill="FFFFFF" w:themeFill="background1"/>
            <w:noWrap/>
            <w:vAlign w:val="center"/>
          </w:tcPr>
          <w:p w14:paraId="782D32FA" w14:textId="77777777" w:rsidR="00651F1B" w:rsidRPr="005A1F62" w:rsidRDefault="00651F1B" w:rsidP="00C6229E">
            <w:pPr>
              <w:tabs>
                <w:tab w:val="left" w:pos="709"/>
              </w:tabs>
              <w:jc w:val="center"/>
              <w:rPr>
                <w:rFonts w:eastAsia="Arial Unicode MS"/>
              </w:rPr>
            </w:pPr>
            <w:r w:rsidRPr="005A1F62">
              <w:rPr>
                <w:rFonts w:eastAsia="Arial Unicode MS"/>
              </w:rPr>
              <w:t>2</w:t>
            </w:r>
          </w:p>
        </w:tc>
      </w:tr>
    </w:tbl>
    <w:p w14:paraId="006AC0D4" w14:textId="77777777" w:rsidR="00651F1B" w:rsidRPr="005A1F62" w:rsidRDefault="00651F1B" w:rsidP="00651F1B">
      <w:pPr>
        <w:tabs>
          <w:tab w:val="left" w:pos="709"/>
        </w:tabs>
        <w:jc w:val="both"/>
      </w:pPr>
    </w:p>
    <w:p w14:paraId="1A743A98" w14:textId="77777777" w:rsidR="00651F1B" w:rsidRPr="005A1F62" w:rsidRDefault="00651F1B" w:rsidP="00651F1B">
      <w:pPr>
        <w:tabs>
          <w:tab w:val="left" w:pos="709"/>
        </w:tabs>
        <w:ind w:firstLine="567"/>
        <w:jc w:val="both"/>
      </w:pPr>
      <w:r w:rsidRPr="005A1F62">
        <w:t>Балл за управление риском ликвидности устанавливается равным -1, если выявлены признаки вывода активов, что выражено установкой стресс-фактора активно-пассивных операций любой силы на основании пункта 4.1.6.1 настоящей методологии.</w:t>
      </w:r>
    </w:p>
    <w:p w14:paraId="77F887D2" w14:textId="77777777" w:rsidR="00651F1B" w:rsidRPr="005A1F62" w:rsidRDefault="00651F1B" w:rsidP="00651F1B">
      <w:pPr>
        <w:tabs>
          <w:tab w:val="left" w:pos="709"/>
        </w:tabs>
        <w:ind w:firstLine="567"/>
        <w:jc w:val="both"/>
      </w:pPr>
      <w:r w:rsidRPr="005A1F62">
        <w:t>Балл за управление риском ликвидности не может быть выше -0,5, если в течение последних 12 месяцев имели место факты нарушения любого из нормативов ликвидности.</w:t>
      </w:r>
    </w:p>
    <w:p w14:paraId="147F8E3F" w14:textId="45D9427A" w:rsidR="00651F1B" w:rsidRPr="005A1F62" w:rsidRDefault="00651F1B" w:rsidP="00651F1B">
      <w:pPr>
        <w:tabs>
          <w:tab w:val="left" w:pos="709"/>
        </w:tabs>
        <w:ind w:firstLine="567"/>
        <w:jc w:val="both"/>
      </w:pPr>
      <w:r w:rsidRPr="005A1F62">
        <w:t xml:space="preserve">Балл за управление риском ликвидности не может быть выше 0, если в течение последних 6 месяцев имели место факты снижения любого из следующих показателей </w:t>
      </w:r>
      <w:proofErr w:type="gramStart"/>
      <w:r w:rsidRPr="005A1F62">
        <w:t>ниже указанных</w:t>
      </w:r>
      <w:proofErr w:type="gramEnd"/>
      <w:r w:rsidRPr="005A1F62">
        <w:t xml:space="preserve"> значений (для Н4 и скорректированного Н4 – превышения указанных значений), которые Агентство считает сигнальными:</w:t>
      </w:r>
    </w:p>
    <w:p w14:paraId="3AD80BE7" w14:textId="77777777" w:rsidR="00C6229E" w:rsidRPr="005A1F62" w:rsidRDefault="00C6229E" w:rsidP="00651F1B">
      <w:pPr>
        <w:tabs>
          <w:tab w:val="left" w:pos="709"/>
        </w:tabs>
        <w:ind w:firstLine="567"/>
        <w:jc w:val="both"/>
      </w:pPr>
    </w:p>
    <w:tbl>
      <w:tblPr>
        <w:tblStyle w:val="af0"/>
        <w:tblW w:w="0" w:type="auto"/>
        <w:shd w:val="clear" w:color="auto" w:fill="FFFFFF" w:themeFill="background1"/>
        <w:tblLook w:val="04A0" w:firstRow="1" w:lastRow="0" w:firstColumn="1" w:lastColumn="0" w:noHBand="0" w:noVBand="1"/>
      </w:tblPr>
      <w:tblGrid>
        <w:gridCol w:w="6516"/>
        <w:gridCol w:w="2829"/>
      </w:tblGrid>
      <w:tr w:rsidR="00651F1B" w:rsidRPr="005A1F62" w14:paraId="62EFD0FE" w14:textId="77777777" w:rsidTr="00C6229E">
        <w:tc>
          <w:tcPr>
            <w:tcW w:w="6516" w:type="dxa"/>
            <w:shd w:val="clear" w:color="auto" w:fill="D9D9D9" w:themeFill="background1" w:themeFillShade="D9"/>
          </w:tcPr>
          <w:p w14:paraId="7C80C7FF" w14:textId="77777777" w:rsidR="00651F1B" w:rsidRPr="005A1F62" w:rsidRDefault="00651F1B" w:rsidP="00FE3B86">
            <w:pPr>
              <w:tabs>
                <w:tab w:val="left" w:pos="709"/>
              </w:tabs>
              <w:rPr>
                <w:rFonts w:eastAsia="Arial Unicode MS"/>
                <w:b/>
                <w:bCs/>
              </w:rPr>
            </w:pPr>
            <w:r w:rsidRPr="005A1F62">
              <w:rPr>
                <w:rFonts w:eastAsia="Arial Unicode MS"/>
                <w:b/>
                <w:bCs/>
              </w:rPr>
              <w:t>Показатель</w:t>
            </w:r>
          </w:p>
        </w:tc>
        <w:tc>
          <w:tcPr>
            <w:tcW w:w="2829" w:type="dxa"/>
            <w:shd w:val="clear" w:color="auto" w:fill="D9D9D9" w:themeFill="background1" w:themeFillShade="D9"/>
            <w:vAlign w:val="center"/>
          </w:tcPr>
          <w:p w14:paraId="73857BEB" w14:textId="77777777" w:rsidR="00651F1B" w:rsidRPr="005A1F62" w:rsidRDefault="00651F1B" w:rsidP="00C6229E">
            <w:pPr>
              <w:tabs>
                <w:tab w:val="left" w:pos="709"/>
              </w:tabs>
              <w:jc w:val="center"/>
              <w:rPr>
                <w:rFonts w:eastAsia="Arial Unicode MS"/>
                <w:b/>
                <w:bCs/>
              </w:rPr>
            </w:pPr>
            <w:r w:rsidRPr="005A1F62">
              <w:rPr>
                <w:rFonts w:eastAsia="Arial Unicode MS"/>
                <w:b/>
                <w:bCs/>
              </w:rPr>
              <w:t>Сигнальное значение</w:t>
            </w:r>
          </w:p>
        </w:tc>
      </w:tr>
      <w:tr w:rsidR="00651F1B" w:rsidRPr="005A1F62" w14:paraId="5894C3F7" w14:textId="77777777" w:rsidTr="00C6229E">
        <w:tc>
          <w:tcPr>
            <w:tcW w:w="6516" w:type="dxa"/>
            <w:shd w:val="clear" w:color="auto" w:fill="FFFFFF" w:themeFill="background1"/>
          </w:tcPr>
          <w:p w14:paraId="25318C66" w14:textId="77777777" w:rsidR="00651F1B" w:rsidRPr="005A1F62" w:rsidRDefault="00651F1B" w:rsidP="00FE3B86">
            <w:pPr>
              <w:tabs>
                <w:tab w:val="left" w:pos="709"/>
              </w:tabs>
              <w:jc w:val="both"/>
            </w:pPr>
            <w:r w:rsidRPr="005A1F62">
              <w:rPr>
                <w:color w:val="000000"/>
              </w:rPr>
              <w:t>Норматив мгновенной ликвидности (Н2) - для банка с универсальной лицензией / соотношение высоколиквидных активов и обязательств по счетам до востребования - для банка с базовой лицензией</w:t>
            </w:r>
          </w:p>
        </w:tc>
        <w:tc>
          <w:tcPr>
            <w:tcW w:w="2829" w:type="dxa"/>
            <w:shd w:val="clear" w:color="auto" w:fill="FFFFFF" w:themeFill="background1"/>
            <w:vAlign w:val="center"/>
          </w:tcPr>
          <w:p w14:paraId="78E3DCA6" w14:textId="77777777" w:rsidR="00651F1B" w:rsidRPr="005A1F62" w:rsidRDefault="00651F1B" w:rsidP="00FE3B86">
            <w:pPr>
              <w:tabs>
                <w:tab w:val="left" w:pos="709"/>
              </w:tabs>
              <w:jc w:val="center"/>
            </w:pPr>
            <w:r w:rsidRPr="005A1F62">
              <w:t>18%</w:t>
            </w:r>
          </w:p>
        </w:tc>
      </w:tr>
      <w:tr w:rsidR="00651F1B" w:rsidRPr="005A1F62" w14:paraId="6E4B7CE9" w14:textId="77777777" w:rsidTr="00C6229E">
        <w:tc>
          <w:tcPr>
            <w:tcW w:w="6516" w:type="dxa"/>
            <w:shd w:val="clear" w:color="auto" w:fill="FFFFFF" w:themeFill="background1"/>
          </w:tcPr>
          <w:p w14:paraId="5E2EB7B7" w14:textId="77777777" w:rsidR="00651F1B" w:rsidRPr="005A1F62" w:rsidRDefault="00651F1B" w:rsidP="00FE3B86">
            <w:pPr>
              <w:tabs>
                <w:tab w:val="left" w:pos="709"/>
              </w:tabs>
              <w:jc w:val="both"/>
            </w:pPr>
            <w:r w:rsidRPr="005A1F62">
              <w:rPr>
                <w:color w:val="000000"/>
              </w:rPr>
              <w:lastRenderedPageBreak/>
              <w:t>Скорректированный норматив мгновенной ликвидности (Н2 без учета Овм*) – только для банков с универсальной лицензией</w:t>
            </w:r>
          </w:p>
        </w:tc>
        <w:tc>
          <w:tcPr>
            <w:tcW w:w="2829" w:type="dxa"/>
            <w:shd w:val="clear" w:color="auto" w:fill="FFFFFF" w:themeFill="background1"/>
            <w:vAlign w:val="center"/>
          </w:tcPr>
          <w:p w14:paraId="414AD148" w14:textId="77777777" w:rsidR="00651F1B" w:rsidRPr="005A1F62" w:rsidRDefault="00651F1B" w:rsidP="00FE3B86">
            <w:pPr>
              <w:tabs>
                <w:tab w:val="left" w:pos="709"/>
              </w:tabs>
              <w:jc w:val="center"/>
            </w:pPr>
            <w:r w:rsidRPr="005A1F62">
              <w:t>14%</w:t>
            </w:r>
          </w:p>
        </w:tc>
      </w:tr>
      <w:tr w:rsidR="00651F1B" w:rsidRPr="005A1F62" w14:paraId="093D11FC" w14:textId="77777777" w:rsidTr="00C6229E">
        <w:tc>
          <w:tcPr>
            <w:tcW w:w="6516" w:type="dxa"/>
            <w:shd w:val="clear" w:color="auto" w:fill="FFFFFF" w:themeFill="background1"/>
          </w:tcPr>
          <w:p w14:paraId="6103FAF7" w14:textId="77777777" w:rsidR="00651F1B" w:rsidRPr="005A1F62" w:rsidRDefault="00651F1B" w:rsidP="00FE3B86">
            <w:pPr>
              <w:tabs>
                <w:tab w:val="left" w:pos="709"/>
              </w:tabs>
              <w:jc w:val="both"/>
            </w:pPr>
            <w:r w:rsidRPr="005A1F62">
              <w:rPr>
                <w:color w:val="000000"/>
              </w:rPr>
              <w:t>Устойчивость запаса ликвидности к досрочному изъятию средств (доля привлеченных средств срочностью свыше 1 дня за исключением субординированных депозитов (кредитов) и иных средств без возможности досрочного изъятия на оцениваемом горизонте, досрочное изъятие которой за 1 день приведет к нарушению норматива Н2) - для банка с универсальной лицензией / устойчивость запаса ликвидности к досрочному изъятию средств (доля привлеченных средств срочностью свыше 1 дня за исключением субординированных депозитов (кредитов), и иных средств без возможности досрочного изъятия на оцениваемом горизонте, досрочное изъятие которой за 1 день приведет к полному истощению запаса высоколиквидных активов) - для банка с базовой лицензией</w:t>
            </w:r>
          </w:p>
        </w:tc>
        <w:tc>
          <w:tcPr>
            <w:tcW w:w="2829" w:type="dxa"/>
            <w:shd w:val="clear" w:color="auto" w:fill="FFFFFF" w:themeFill="background1"/>
            <w:vAlign w:val="center"/>
          </w:tcPr>
          <w:p w14:paraId="70BFCD8A" w14:textId="77777777" w:rsidR="00651F1B" w:rsidRPr="005A1F62" w:rsidRDefault="00651F1B" w:rsidP="00FE3B86">
            <w:pPr>
              <w:tabs>
                <w:tab w:val="left" w:pos="709"/>
              </w:tabs>
              <w:jc w:val="center"/>
            </w:pPr>
            <w:r w:rsidRPr="005A1F62">
              <w:t>9%</w:t>
            </w:r>
          </w:p>
        </w:tc>
      </w:tr>
      <w:tr w:rsidR="00651F1B" w:rsidRPr="005A1F62" w14:paraId="6F93BA45" w14:textId="77777777" w:rsidTr="00C6229E">
        <w:tc>
          <w:tcPr>
            <w:tcW w:w="6516" w:type="dxa"/>
            <w:shd w:val="clear" w:color="auto" w:fill="FFFFFF" w:themeFill="background1"/>
          </w:tcPr>
          <w:p w14:paraId="06E7A4ED" w14:textId="77777777" w:rsidR="00651F1B" w:rsidRPr="005A1F62" w:rsidRDefault="00651F1B" w:rsidP="00FE3B86">
            <w:pPr>
              <w:tabs>
                <w:tab w:val="left" w:pos="709"/>
              </w:tabs>
              <w:jc w:val="both"/>
            </w:pPr>
            <w:r w:rsidRPr="005A1F62">
              <w:rPr>
                <w:color w:val="000000"/>
              </w:rPr>
              <w:t>Норматив текущей ликвидности (Н3)</w:t>
            </w:r>
          </w:p>
        </w:tc>
        <w:tc>
          <w:tcPr>
            <w:tcW w:w="2829" w:type="dxa"/>
            <w:shd w:val="clear" w:color="auto" w:fill="FFFFFF" w:themeFill="background1"/>
            <w:vAlign w:val="center"/>
          </w:tcPr>
          <w:p w14:paraId="7FAECA4C" w14:textId="77777777" w:rsidR="00651F1B" w:rsidRPr="005A1F62" w:rsidRDefault="00651F1B" w:rsidP="00FE3B86">
            <w:pPr>
              <w:tabs>
                <w:tab w:val="left" w:pos="709"/>
              </w:tabs>
              <w:jc w:val="center"/>
            </w:pPr>
            <w:r w:rsidRPr="005A1F62">
              <w:t>55%</w:t>
            </w:r>
          </w:p>
        </w:tc>
      </w:tr>
      <w:tr w:rsidR="00651F1B" w:rsidRPr="005A1F62" w14:paraId="336BA333" w14:textId="77777777" w:rsidTr="00C6229E">
        <w:tc>
          <w:tcPr>
            <w:tcW w:w="6516" w:type="dxa"/>
            <w:shd w:val="clear" w:color="auto" w:fill="FFFFFF" w:themeFill="background1"/>
          </w:tcPr>
          <w:p w14:paraId="115DE23B" w14:textId="77777777" w:rsidR="00651F1B" w:rsidRPr="005A1F62" w:rsidRDefault="00651F1B" w:rsidP="00FE3B86">
            <w:pPr>
              <w:tabs>
                <w:tab w:val="left" w:pos="709"/>
              </w:tabs>
              <w:jc w:val="both"/>
            </w:pPr>
            <w:r w:rsidRPr="005A1F62">
              <w:rPr>
                <w:color w:val="000000"/>
              </w:rPr>
              <w:t>Скорректированный норматив текущей ликвидности (Н3 без учета Овт*)</w:t>
            </w:r>
          </w:p>
        </w:tc>
        <w:tc>
          <w:tcPr>
            <w:tcW w:w="2829" w:type="dxa"/>
            <w:shd w:val="clear" w:color="auto" w:fill="FFFFFF" w:themeFill="background1"/>
            <w:vAlign w:val="center"/>
          </w:tcPr>
          <w:p w14:paraId="59BC99F8" w14:textId="77777777" w:rsidR="00651F1B" w:rsidRPr="005A1F62" w:rsidRDefault="00651F1B" w:rsidP="00FE3B86">
            <w:pPr>
              <w:tabs>
                <w:tab w:val="left" w:pos="709"/>
              </w:tabs>
              <w:jc w:val="center"/>
            </w:pPr>
            <w:r w:rsidRPr="005A1F62">
              <w:t>45%</w:t>
            </w:r>
          </w:p>
        </w:tc>
      </w:tr>
      <w:tr w:rsidR="00651F1B" w:rsidRPr="005A1F62" w14:paraId="6B95DC0B" w14:textId="77777777" w:rsidTr="00C6229E">
        <w:tc>
          <w:tcPr>
            <w:tcW w:w="6516" w:type="dxa"/>
            <w:shd w:val="clear" w:color="auto" w:fill="FFFFFF" w:themeFill="background1"/>
          </w:tcPr>
          <w:p w14:paraId="4360A8C7" w14:textId="77777777" w:rsidR="00651F1B" w:rsidRPr="005A1F62" w:rsidRDefault="00651F1B" w:rsidP="00FE3B86">
            <w:pPr>
              <w:tabs>
                <w:tab w:val="left" w:pos="709"/>
              </w:tabs>
              <w:jc w:val="both"/>
            </w:pPr>
            <w:r w:rsidRPr="005A1F62">
              <w:rPr>
                <w:color w:val="000000"/>
              </w:rPr>
              <w:t>Устойчивость запаса ликвидности к досрочному изъятию средств (доля привлеченных средств срочностью свыше 30 дней за исключением субординированных депозитов (кредитов) и иных средств без возможности досрочного изъятия на оцениваемом горизонте, досрочное изъятие которой за один месяц приведет к нарушению норматива Н3)</w:t>
            </w:r>
          </w:p>
        </w:tc>
        <w:tc>
          <w:tcPr>
            <w:tcW w:w="2829" w:type="dxa"/>
            <w:shd w:val="clear" w:color="auto" w:fill="FFFFFF" w:themeFill="background1"/>
            <w:vAlign w:val="center"/>
          </w:tcPr>
          <w:p w14:paraId="6E37BE8B" w14:textId="77777777" w:rsidR="00651F1B" w:rsidRPr="005A1F62" w:rsidRDefault="00651F1B" w:rsidP="00FE3B86">
            <w:pPr>
              <w:tabs>
                <w:tab w:val="left" w:pos="709"/>
              </w:tabs>
              <w:jc w:val="center"/>
            </w:pPr>
            <w:r w:rsidRPr="005A1F62">
              <w:t>15%</w:t>
            </w:r>
          </w:p>
        </w:tc>
      </w:tr>
      <w:tr w:rsidR="00651F1B" w:rsidRPr="005A1F62" w14:paraId="52264695" w14:textId="77777777" w:rsidTr="00C6229E">
        <w:tc>
          <w:tcPr>
            <w:tcW w:w="6516" w:type="dxa"/>
            <w:shd w:val="clear" w:color="auto" w:fill="FFFFFF" w:themeFill="background1"/>
          </w:tcPr>
          <w:p w14:paraId="6F279472" w14:textId="77777777" w:rsidR="00651F1B" w:rsidRPr="005A1F62" w:rsidRDefault="00651F1B" w:rsidP="00FE3B86">
            <w:pPr>
              <w:tabs>
                <w:tab w:val="left" w:pos="709"/>
              </w:tabs>
              <w:jc w:val="both"/>
            </w:pPr>
            <w:r w:rsidRPr="005A1F62">
              <w:rPr>
                <w:color w:val="000000"/>
              </w:rPr>
              <w:t>Соотношение ликвидных активов (Лат) и привлеченных средств за исключением субординированных депозитов (кредитов), до погашения которых остается не менее пяти лет</w:t>
            </w:r>
          </w:p>
        </w:tc>
        <w:tc>
          <w:tcPr>
            <w:tcW w:w="2829" w:type="dxa"/>
            <w:shd w:val="clear" w:color="auto" w:fill="FFFFFF" w:themeFill="background1"/>
            <w:vAlign w:val="center"/>
          </w:tcPr>
          <w:p w14:paraId="5C76BC65" w14:textId="77777777" w:rsidR="00651F1B" w:rsidRPr="005A1F62" w:rsidRDefault="00651F1B" w:rsidP="00FE3B86">
            <w:pPr>
              <w:tabs>
                <w:tab w:val="left" w:pos="709"/>
              </w:tabs>
              <w:jc w:val="center"/>
            </w:pPr>
            <w:r w:rsidRPr="005A1F62">
              <w:t>18%</w:t>
            </w:r>
          </w:p>
        </w:tc>
      </w:tr>
      <w:tr w:rsidR="00651F1B" w:rsidRPr="005A1F62" w14:paraId="2BEEC0FC" w14:textId="77777777" w:rsidTr="00C6229E">
        <w:tc>
          <w:tcPr>
            <w:tcW w:w="6516" w:type="dxa"/>
            <w:shd w:val="clear" w:color="auto" w:fill="FFFFFF" w:themeFill="background1"/>
          </w:tcPr>
          <w:p w14:paraId="216E9E71" w14:textId="77777777" w:rsidR="00651F1B" w:rsidRPr="005A1F62" w:rsidRDefault="00651F1B" w:rsidP="00FE3B86">
            <w:pPr>
              <w:tabs>
                <w:tab w:val="left" w:pos="709"/>
              </w:tabs>
              <w:jc w:val="both"/>
            </w:pPr>
            <w:r w:rsidRPr="005A1F62">
              <w:rPr>
                <w:color w:val="000000"/>
              </w:rPr>
              <w:t>Норматив долгосрочной ликвидности (Н4)</w:t>
            </w:r>
          </w:p>
        </w:tc>
        <w:tc>
          <w:tcPr>
            <w:tcW w:w="2829" w:type="dxa"/>
            <w:shd w:val="clear" w:color="auto" w:fill="FFFFFF" w:themeFill="background1"/>
            <w:vAlign w:val="center"/>
          </w:tcPr>
          <w:p w14:paraId="2BC12680" w14:textId="77777777" w:rsidR="00651F1B" w:rsidRPr="005A1F62" w:rsidRDefault="00651F1B" w:rsidP="00FE3B86">
            <w:pPr>
              <w:tabs>
                <w:tab w:val="left" w:pos="709"/>
              </w:tabs>
              <w:jc w:val="center"/>
            </w:pPr>
            <w:r w:rsidRPr="005A1F62">
              <w:t>110%</w:t>
            </w:r>
          </w:p>
        </w:tc>
      </w:tr>
      <w:tr w:rsidR="00651F1B" w:rsidRPr="005A1F62" w14:paraId="5B0B1983" w14:textId="77777777" w:rsidTr="00C6229E">
        <w:tc>
          <w:tcPr>
            <w:tcW w:w="6516" w:type="dxa"/>
            <w:shd w:val="clear" w:color="auto" w:fill="FFFFFF" w:themeFill="background1"/>
          </w:tcPr>
          <w:p w14:paraId="016E5E24" w14:textId="77777777" w:rsidR="00651F1B" w:rsidRPr="005A1F62" w:rsidRDefault="00651F1B" w:rsidP="00FE3B86">
            <w:pPr>
              <w:tabs>
                <w:tab w:val="left" w:pos="709"/>
              </w:tabs>
              <w:jc w:val="both"/>
            </w:pPr>
            <w:r w:rsidRPr="005A1F62">
              <w:rPr>
                <w:color w:val="000000"/>
              </w:rPr>
              <w:t>Скорректированный (в соответствии с разделом 2.7 настоящей методологии) норматив долгосрочной ликвидности (Н4)</w:t>
            </w:r>
          </w:p>
        </w:tc>
        <w:tc>
          <w:tcPr>
            <w:tcW w:w="2829" w:type="dxa"/>
            <w:shd w:val="clear" w:color="auto" w:fill="FFFFFF" w:themeFill="background1"/>
            <w:vAlign w:val="center"/>
          </w:tcPr>
          <w:p w14:paraId="021E2F59" w14:textId="77777777" w:rsidR="00651F1B" w:rsidRPr="005A1F62" w:rsidRDefault="00651F1B" w:rsidP="00FE3B86">
            <w:pPr>
              <w:tabs>
                <w:tab w:val="left" w:pos="709"/>
              </w:tabs>
              <w:jc w:val="center"/>
            </w:pPr>
            <w:r w:rsidRPr="005A1F62">
              <w:t>150%</w:t>
            </w:r>
          </w:p>
        </w:tc>
      </w:tr>
    </w:tbl>
    <w:p w14:paraId="5549DFE3" w14:textId="77777777" w:rsidR="00C6229E" w:rsidRPr="005A1F62" w:rsidRDefault="00C6229E" w:rsidP="00651F1B">
      <w:pPr>
        <w:tabs>
          <w:tab w:val="left" w:pos="709"/>
        </w:tabs>
        <w:ind w:firstLine="567"/>
        <w:jc w:val="both"/>
      </w:pPr>
    </w:p>
    <w:p w14:paraId="53DE940F" w14:textId="54517D89" w:rsidR="00651F1B" w:rsidRPr="005A1F62" w:rsidRDefault="00651F1B" w:rsidP="00651F1B">
      <w:pPr>
        <w:tabs>
          <w:tab w:val="left" w:pos="709"/>
        </w:tabs>
        <w:ind w:firstLine="567"/>
        <w:jc w:val="both"/>
      </w:pPr>
      <w:r w:rsidRPr="005A1F62">
        <w:t>Нарушение указанных выше сигнальных значений по нормативу мгновенной ликвидности, скорректированному нормативу мгновенной ликвидности и устойчивости запаса ликвидности к досрочному изъятию средств на горизонте одного дня может не рассматриваться как ограничение балла за управление риском ликвидности, если при стабильной величине ликвидных активов оно обусловлено сокращением высоколиквидных активов в силу незначительного формального увеличения их срочности при их учете на отчетную дату, предшествующую неоперационным дням (например, реклассификация размещенных кредитов и (или) депозитов «овернайт» в активы срочностью от 2 до 7 дней перед праздничными днями).</w:t>
      </w:r>
    </w:p>
    <w:p w14:paraId="1CE2F066" w14:textId="77777777" w:rsidR="00651F1B" w:rsidRPr="005A1F62" w:rsidRDefault="00651F1B" w:rsidP="00651F1B">
      <w:pPr>
        <w:tabs>
          <w:tab w:val="left" w:pos="709"/>
        </w:tabs>
        <w:jc w:val="both"/>
      </w:pPr>
    </w:p>
    <w:p w14:paraId="492D3094" w14:textId="77777777" w:rsidR="00651F1B" w:rsidRPr="005A1F62" w:rsidRDefault="00651F1B" w:rsidP="00651F1B">
      <w:pPr>
        <w:tabs>
          <w:tab w:val="left" w:pos="709"/>
        </w:tabs>
        <w:ind w:firstLine="567"/>
        <w:jc w:val="both"/>
      </w:pPr>
      <w:r w:rsidRPr="005A1F62">
        <w:t>Балл за операционные риски определяется как минимум из двух оценок: управление операционным риском, связанным с кассой, и управление операционным и репутационным рисками.</w:t>
      </w:r>
    </w:p>
    <w:p w14:paraId="65AD6818" w14:textId="77777777" w:rsidR="00651F1B" w:rsidRPr="005A1F62" w:rsidRDefault="00651F1B" w:rsidP="00651F1B">
      <w:pPr>
        <w:tabs>
          <w:tab w:val="left" w:pos="709"/>
        </w:tabs>
        <w:ind w:firstLine="567"/>
        <w:jc w:val="both"/>
        <w:rPr>
          <w:b/>
        </w:rPr>
      </w:pPr>
    </w:p>
    <w:p w14:paraId="487F41C0" w14:textId="77777777" w:rsidR="00651F1B" w:rsidRPr="005A1F62" w:rsidRDefault="00651F1B" w:rsidP="00651F1B">
      <w:pPr>
        <w:tabs>
          <w:tab w:val="left" w:pos="709"/>
        </w:tabs>
        <w:ind w:firstLine="567"/>
        <w:jc w:val="both"/>
        <w:rPr>
          <w:b/>
        </w:rPr>
      </w:pPr>
      <w:r w:rsidRPr="005A1F62">
        <w:rPr>
          <w:b/>
        </w:rPr>
        <w:t>Чек-лист для оценки качества управления операционными рисками и репутационными рисками</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8199"/>
        <w:gridCol w:w="590"/>
      </w:tblGrid>
      <w:tr w:rsidR="00651F1B" w:rsidRPr="005A1F62" w14:paraId="7E7369DD" w14:textId="77777777" w:rsidTr="00C6229E">
        <w:trPr>
          <w:trHeight w:val="20"/>
        </w:trPr>
        <w:tc>
          <w:tcPr>
            <w:tcW w:w="0" w:type="auto"/>
            <w:shd w:val="clear" w:color="auto" w:fill="D9D9D9" w:themeFill="background1" w:themeFillShade="D9"/>
            <w:noWrap/>
            <w:vAlign w:val="center"/>
          </w:tcPr>
          <w:p w14:paraId="550A4534" w14:textId="77777777" w:rsidR="00651F1B" w:rsidRPr="005A1F62" w:rsidRDefault="00651F1B" w:rsidP="00C6229E">
            <w:pPr>
              <w:tabs>
                <w:tab w:val="left" w:pos="709"/>
              </w:tabs>
              <w:jc w:val="center"/>
              <w:rPr>
                <w:rFonts w:eastAsia="Arial Unicode MS"/>
                <w:b/>
                <w:bCs/>
              </w:rPr>
            </w:pPr>
            <w:r w:rsidRPr="005A1F62">
              <w:rPr>
                <w:rFonts w:eastAsia="Arial Unicode MS"/>
                <w:b/>
                <w:bCs/>
              </w:rPr>
              <w:lastRenderedPageBreak/>
              <w:t>№</w:t>
            </w:r>
          </w:p>
        </w:tc>
        <w:tc>
          <w:tcPr>
            <w:tcW w:w="0" w:type="auto"/>
            <w:shd w:val="clear" w:color="auto" w:fill="D9D9D9" w:themeFill="background1" w:themeFillShade="D9"/>
            <w:vAlign w:val="center"/>
          </w:tcPr>
          <w:p w14:paraId="060DCFA9" w14:textId="77777777" w:rsidR="00651F1B" w:rsidRPr="005A1F62" w:rsidRDefault="00651F1B" w:rsidP="00C6229E">
            <w:pPr>
              <w:tabs>
                <w:tab w:val="left" w:pos="709"/>
              </w:tabs>
              <w:jc w:val="both"/>
              <w:rPr>
                <w:rFonts w:eastAsia="Arial Unicode MS"/>
                <w:b/>
              </w:rPr>
            </w:pPr>
            <w:r w:rsidRPr="005A1F62">
              <w:rPr>
                <w:rFonts w:eastAsia="Arial Unicode MS"/>
                <w:b/>
              </w:rPr>
              <w:t>Операционные и репутационные риски</w:t>
            </w:r>
          </w:p>
        </w:tc>
        <w:tc>
          <w:tcPr>
            <w:tcW w:w="0" w:type="auto"/>
            <w:shd w:val="clear" w:color="auto" w:fill="D9D9D9" w:themeFill="background1" w:themeFillShade="D9"/>
            <w:vAlign w:val="center"/>
          </w:tcPr>
          <w:p w14:paraId="5AE42BDB" w14:textId="77777777" w:rsidR="00651F1B" w:rsidRPr="005A1F62" w:rsidRDefault="00651F1B" w:rsidP="00C6229E">
            <w:pPr>
              <w:tabs>
                <w:tab w:val="left" w:pos="709"/>
              </w:tabs>
              <w:jc w:val="center"/>
              <w:rPr>
                <w:rFonts w:eastAsia="Arial Unicode MS"/>
                <w:b/>
                <w:bCs/>
              </w:rPr>
            </w:pPr>
            <w:r w:rsidRPr="005A1F62">
              <w:rPr>
                <w:rFonts w:eastAsia="Arial Unicode MS"/>
                <w:b/>
                <w:bCs/>
              </w:rPr>
              <w:t>Вес</w:t>
            </w:r>
          </w:p>
        </w:tc>
      </w:tr>
      <w:tr w:rsidR="00651F1B" w:rsidRPr="005A1F62" w14:paraId="0B9140BC" w14:textId="77777777" w:rsidTr="00C6229E">
        <w:trPr>
          <w:trHeight w:val="20"/>
        </w:trPr>
        <w:tc>
          <w:tcPr>
            <w:tcW w:w="0" w:type="auto"/>
            <w:shd w:val="clear" w:color="auto" w:fill="auto"/>
            <w:noWrap/>
            <w:vAlign w:val="center"/>
          </w:tcPr>
          <w:p w14:paraId="2CB14669" w14:textId="77777777" w:rsidR="00651F1B" w:rsidRPr="005A1F62" w:rsidRDefault="00651F1B" w:rsidP="00C6229E">
            <w:pPr>
              <w:tabs>
                <w:tab w:val="left" w:pos="709"/>
              </w:tabs>
              <w:jc w:val="center"/>
              <w:rPr>
                <w:rFonts w:eastAsia="Arial Unicode MS"/>
              </w:rPr>
            </w:pPr>
            <w:r w:rsidRPr="005A1F62">
              <w:rPr>
                <w:rFonts w:eastAsia="Arial Unicode MS"/>
              </w:rPr>
              <w:t>1</w:t>
            </w:r>
          </w:p>
        </w:tc>
        <w:tc>
          <w:tcPr>
            <w:tcW w:w="0" w:type="auto"/>
            <w:shd w:val="clear" w:color="auto" w:fill="auto"/>
            <w:vAlign w:val="center"/>
          </w:tcPr>
          <w:p w14:paraId="27E6FF31" w14:textId="005FFE18" w:rsidR="00651F1B" w:rsidRPr="005A1F62" w:rsidRDefault="00651F1B" w:rsidP="00C6229E">
            <w:pPr>
              <w:tabs>
                <w:tab w:val="left" w:pos="709"/>
              </w:tabs>
              <w:jc w:val="both"/>
              <w:rPr>
                <w:rFonts w:eastAsia="Arial Unicode MS"/>
              </w:rPr>
            </w:pPr>
            <w:r w:rsidRPr="005A1F62">
              <w:rPr>
                <w:rFonts w:eastAsia="Arial Unicode MS"/>
              </w:rPr>
              <w:t>Существует адекватный документ, регламентирующий управление операционными рисками</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63D8B47E"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615B21F8" w14:textId="77777777" w:rsidTr="00C6229E">
        <w:trPr>
          <w:trHeight w:val="20"/>
        </w:trPr>
        <w:tc>
          <w:tcPr>
            <w:tcW w:w="0" w:type="auto"/>
            <w:shd w:val="clear" w:color="auto" w:fill="auto"/>
            <w:noWrap/>
            <w:vAlign w:val="center"/>
          </w:tcPr>
          <w:p w14:paraId="5E6D228B" w14:textId="77777777" w:rsidR="00651F1B" w:rsidRPr="005A1F62" w:rsidRDefault="00651F1B" w:rsidP="00C6229E">
            <w:pPr>
              <w:tabs>
                <w:tab w:val="left" w:pos="709"/>
              </w:tabs>
              <w:jc w:val="center"/>
              <w:rPr>
                <w:rFonts w:eastAsia="Arial Unicode MS"/>
              </w:rPr>
            </w:pPr>
            <w:r w:rsidRPr="005A1F62">
              <w:rPr>
                <w:rFonts w:eastAsia="Arial Unicode MS"/>
              </w:rPr>
              <w:t>2</w:t>
            </w:r>
          </w:p>
        </w:tc>
        <w:tc>
          <w:tcPr>
            <w:tcW w:w="0" w:type="auto"/>
            <w:shd w:val="clear" w:color="auto" w:fill="auto"/>
            <w:vAlign w:val="center"/>
          </w:tcPr>
          <w:p w14:paraId="1BD31BD2" w14:textId="72C1A438" w:rsidR="00651F1B" w:rsidRPr="005A1F62" w:rsidRDefault="00651F1B" w:rsidP="00C6229E">
            <w:pPr>
              <w:tabs>
                <w:tab w:val="left" w:pos="709"/>
              </w:tabs>
              <w:jc w:val="both"/>
              <w:rPr>
                <w:rFonts w:eastAsia="Arial Unicode MS"/>
              </w:rPr>
            </w:pPr>
            <w:r w:rsidRPr="005A1F62">
              <w:rPr>
                <w:rFonts w:eastAsia="Arial Unicode MS"/>
              </w:rPr>
              <w:t>Существует база данных по операционным убыткам</w:t>
            </w:r>
            <w:r w:rsidR="00332F42" w:rsidRPr="005A1F62">
              <w:rPr>
                <w:rFonts w:eastAsia="Arial Unicode MS"/>
              </w:rPr>
              <w:t xml:space="preserve">. База </w:t>
            </w:r>
            <w:proofErr w:type="gramStart"/>
            <w:r w:rsidR="00332F42" w:rsidRPr="005A1F62">
              <w:rPr>
                <w:rFonts w:eastAsia="Arial Unicode MS"/>
              </w:rPr>
              <w:t xml:space="preserve">данных </w:t>
            </w:r>
            <w:r w:rsidRPr="005A1F62">
              <w:rPr>
                <w:rFonts w:eastAsia="Arial Unicode MS"/>
              </w:rPr>
              <w:t xml:space="preserve"> ведется</w:t>
            </w:r>
            <w:proofErr w:type="gramEnd"/>
            <w:r w:rsidRPr="005A1F62">
              <w:rPr>
                <w:rFonts w:eastAsia="Arial Unicode MS"/>
              </w:rPr>
              <w:t xml:space="preserve"> на протяжении не менее трех лет</w:t>
            </w:r>
            <w:r w:rsidR="00332F42" w:rsidRPr="005A1F62">
              <w:rPr>
                <w:rFonts w:eastAsia="Arial Unicode MS"/>
              </w:rPr>
              <w:t xml:space="preserve"> </w:t>
            </w:r>
            <w:r w:rsidR="00332F42" w:rsidRPr="005A1F62">
              <w:rPr>
                <w:rFonts w:eastAsia="Calibri"/>
                <w:lang w:eastAsia="en-US"/>
              </w:rPr>
              <w:t>(выполняется / выполняется частично / не выполняется)</w:t>
            </w:r>
          </w:p>
        </w:tc>
        <w:tc>
          <w:tcPr>
            <w:tcW w:w="0" w:type="auto"/>
            <w:shd w:val="clear" w:color="auto" w:fill="auto"/>
            <w:noWrap/>
            <w:vAlign w:val="center"/>
          </w:tcPr>
          <w:p w14:paraId="0CDEFB4B" w14:textId="77777777" w:rsidR="00651F1B" w:rsidRPr="005A1F62" w:rsidRDefault="00651F1B" w:rsidP="00C6229E">
            <w:pPr>
              <w:tabs>
                <w:tab w:val="left" w:pos="709"/>
              </w:tabs>
              <w:jc w:val="center"/>
              <w:rPr>
                <w:rFonts w:eastAsia="Arial Unicode MS"/>
              </w:rPr>
            </w:pPr>
            <w:r w:rsidRPr="005A1F62">
              <w:rPr>
                <w:rFonts w:eastAsia="Arial Unicode MS"/>
              </w:rPr>
              <w:t>4</w:t>
            </w:r>
          </w:p>
        </w:tc>
      </w:tr>
      <w:tr w:rsidR="00651F1B" w:rsidRPr="005A1F62" w14:paraId="37F5EF31" w14:textId="77777777" w:rsidTr="00C6229E">
        <w:trPr>
          <w:trHeight w:val="20"/>
        </w:trPr>
        <w:tc>
          <w:tcPr>
            <w:tcW w:w="0" w:type="auto"/>
            <w:shd w:val="clear" w:color="auto" w:fill="auto"/>
            <w:noWrap/>
            <w:vAlign w:val="center"/>
          </w:tcPr>
          <w:p w14:paraId="00330A01" w14:textId="77777777" w:rsidR="00651F1B" w:rsidRPr="005A1F62" w:rsidRDefault="00651F1B" w:rsidP="00C6229E">
            <w:pPr>
              <w:tabs>
                <w:tab w:val="left" w:pos="709"/>
              </w:tabs>
              <w:jc w:val="center"/>
              <w:rPr>
                <w:rFonts w:eastAsia="Arial Unicode MS"/>
              </w:rPr>
            </w:pPr>
            <w:r w:rsidRPr="005A1F62">
              <w:rPr>
                <w:rFonts w:eastAsia="Arial Unicode MS"/>
              </w:rPr>
              <w:t>3</w:t>
            </w:r>
          </w:p>
        </w:tc>
        <w:tc>
          <w:tcPr>
            <w:tcW w:w="0" w:type="auto"/>
            <w:shd w:val="clear" w:color="auto" w:fill="auto"/>
            <w:vAlign w:val="center"/>
          </w:tcPr>
          <w:p w14:paraId="411372D9" w14:textId="75DED957" w:rsidR="00651F1B" w:rsidRPr="005A1F62" w:rsidRDefault="00651F1B" w:rsidP="00C6229E">
            <w:pPr>
              <w:tabs>
                <w:tab w:val="left" w:pos="709"/>
              </w:tabs>
              <w:jc w:val="both"/>
              <w:rPr>
                <w:rFonts w:eastAsia="Arial Unicode MS"/>
              </w:rPr>
            </w:pPr>
            <w:r w:rsidRPr="005A1F62">
              <w:rPr>
                <w:rFonts w:eastAsia="Arial Unicode MS"/>
              </w:rPr>
              <w:t>Ответственность за ведение базы данных распределяется между отделами (не концентрируется в подразделении, генерирующем риск)</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2229C84D"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4CF6246D" w14:textId="77777777" w:rsidTr="00C6229E">
        <w:trPr>
          <w:trHeight w:val="20"/>
        </w:trPr>
        <w:tc>
          <w:tcPr>
            <w:tcW w:w="0" w:type="auto"/>
            <w:shd w:val="clear" w:color="auto" w:fill="auto"/>
            <w:noWrap/>
            <w:vAlign w:val="center"/>
          </w:tcPr>
          <w:p w14:paraId="70E5EDA2" w14:textId="77777777" w:rsidR="00651F1B" w:rsidRPr="005A1F62" w:rsidRDefault="00651F1B" w:rsidP="00C6229E">
            <w:pPr>
              <w:tabs>
                <w:tab w:val="left" w:pos="709"/>
              </w:tabs>
              <w:jc w:val="center"/>
              <w:rPr>
                <w:rFonts w:eastAsia="Arial Unicode MS"/>
              </w:rPr>
            </w:pPr>
            <w:r w:rsidRPr="005A1F62">
              <w:rPr>
                <w:rFonts w:eastAsia="Arial Unicode MS"/>
              </w:rPr>
              <w:t>4</w:t>
            </w:r>
          </w:p>
        </w:tc>
        <w:tc>
          <w:tcPr>
            <w:tcW w:w="0" w:type="auto"/>
            <w:shd w:val="clear" w:color="auto" w:fill="auto"/>
            <w:vAlign w:val="center"/>
          </w:tcPr>
          <w:p w14:paraId="3FDA60F4" w14:textId="4994C369" w:rsidR="00651F1B" w:rsidRPr="005A1F62" w:rsidRDefault="00651F1B" w:rsidP="00C6229E">
            <w:pPr>
              <w:tabs>
                <w:tab w:val="left" w:pos="709"/>
              </w:tabs>
              <w:jc w:val="both"/>
              <w:rPr>
                <w:rFonts w:eastAsia="Arial Unicode MS"/>
              </w:rPr>
            </w:pPr>
            <w:r w:rsidRPr="005A1F62">
              <w:rPr>
                <w:rFonts w:eastAsia="Arial Unicode MS"/>
              </w:rPr>
              <w:t>Для ограничения доступа к конфиденциальной информации используется дополнительная защита (USB-токены, цифровая подпись и пр.)</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37C64948"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72D70E5F" w14:textId="77777777" w:rsidTr="00C6229E">
        <w:trPr>
          <w:trHeight w:val="20"/>
        </w:trPr>
        <w:tc>
          <w:tcPr>
            <w:tcW w:w="0" w:type="auto"/>
            <w:shd w:val="clear" w:color="auto" w:fill="auto"/>
            <w:noWrap/>
            <w:vAlign w:val="center"/>
          </w:tcPr>
          <w:p w14:paraId="19E03833" w14:textId="77777777" w:rsidR="00651F1B" w:rsidRPr="005A1F62" w:rsidRDefault="00651F1B" w:rsidP="00C6229E">
            <w:pPr>
              <w:tabs>
                <w:tab w:val="left" w:pos="709"/>
              </w:tabs>
              <w:jc w:val="center"/>
              <w:rPr>
                <w:rFonts w:eastAsia="Arial Unicode MS"/>
              </w:rPr>
            </w:pPr>
            <w:r w:rsidRPr="005A1F62">
              <w:rPr>
                <w:rFonts w:eastAsia="Arial Unicode MS"/>
              </w:rPr>
              <w:t>5</w:t>
            </w:r>
          </w:p>
        </w:tc>
        <w:tc>
          <w:tcPr>
            <w:tcW w:w="0" w:type="auto"/>
            <w:shd w:val="clear" w:color="auto" w:fill="auto"/>
            <w:vAlign w:val="center"/>
          </w:tcPr>
          <w:p w14:paraId="49D8C4C2" w14:textId="4247F0C3" w:rsidR="00651F1B" w:rsidRPr="005A1F62" w:rsidRDefault="00651F1B" w:rsidP="00C6229E">
            <w:pPr>
              <w:tabs>
                <w:tab w:val="left" w:pos="709"/>
              </w:tabs>
              <w:jc w:val="both"/>
              <w:rPr>
                <w:rFonts w:eastAsia="Arial Unicode MS"/>
              </w:rPr>
            </w:pPr>
            <w:r w:rsidRPr="005A1F62">
              <w:rPr>
                <w:rFonts w:eastAsia="Arial Unicode MS"/>
              </w:rPr>
              <w:t>За последние 12 месяцев в банке не наблюдалась кардинальная смена руководства, либо смена руководства происходила в плановом режиме с минимальными рисками нарушения законодательства и нарушения операционной деятельности</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1C012437"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493C5D05" w14:textId="77777777" w:rsidTr="00C6229E">
        <w:trPr>
          <w:trHeight w:val="20"/>
        </w:trPr>
        <w:tc>
          <w:tcPr>
            <w:tcW w:w="0" w:type="auto"/>
            <w:shd w:val="clear" w:color="auto" w:fill="auto"/>
            <w:noWrap/>
            <w:vAlign w:val="center"/>
          </w:tcPr>
          <w:p w14:paraId="3F4F3BC9" w14:textId="77777777" w:rsidR="00651F1B" w:rsidRPr="005A1F62" w:rsidRDefault="00651F1B" w:rsidP="00C6229E">
            <w:pPr>
              <w:tabs>
                <w:tab w:val="left" w:pos="709"/>
              </w:tabs>
              <w:jc w:val="center"/>
              <w:rPr>
                <w:rFonts w:eastAsia="Arial Unicode MS"/>
              </w:rPr>
            </w:pPr>
            <w:r w:rsidRPr="005A1F62">
              <w:rPr>
                <w:rFonts w:eastAsia="Arial Unicode MS"/>
              </w:rPr>
              <w:t>6</w:t>
            </w:r>
          </w:p>
        </w:tc>
        <w:tc>
          <w:tcPr>
            <w:tcW w:w="0" w:type="auto"/>
            <w:shd w:val="clear" w:color="auto" w:fill="auto"/>
            <w:vAlign w:val="center"/>
          </w:tcPr>
          <w:p w14:paraId="5DB56FCD" w14:textId="766BC27A" w:rsidR="00651F1B" w:rsidRPr="005A1F62" w:rsidRDefault="00651F1B" w:rsidP="00C6229E">
            <w:pPr>
              <w:tabs>
                <w:tab w:val="left" w:pos="709"/>
              </w:tabs>
              <w:jc w:val="both"/>
              <w:rPr>
                <w:rFonts w:eastAsia="Arial Unicode MS"/>
              </w:rPr>
            </w:pPr>
            <w:r w:rsidRPr="005A1F62">
              <w:rPr>
                <w:rFonts w:eastAsia="Arial Unicode MS"/>
              </w:rPr>
              <w:t>Уровень текучести кадров не превышает 25% за год либо составляет от 25% до 50%, но это характерно для бизнес-модели банка, и риск массовых нарушений трудового законодательства минимален</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148EE6E3"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72D07D1A" w14:textId="77777777" w:rsidTr="00C6229E">
        <w:trPr>
          <w:trHeight w:val="20"/>
        </w:trPr>
        <w:tc>
          <w:tcPr>
            <w:tcW w:w="0" w:type="auto"/>
            <w:shd w:val="clear" w:color="auto" w:fill="auto"/>
            <w:noWrap/>
            <w:vAlign w:val="center"/>
          </w:tcPr>
          <w:p w14:paraId="2BC95864" w14:textId="77777777" w:rsidR="00651F1B" w:rsidRPr="005A1F62" w:rsidRDefault="00651F1B" w:rsidP="00C6229E">
            <w:pPr>
              <w:tabs>
                <w:tab w:val="left" w:pos="709"/>
              </w:tabs>
              <w:jc w:val="center"/>
              <w:rPr>
                <w:rFonts w:eastAsia="Arial Unicode MS"/>
              </w:rPr>
            </w:pPr>
            <w:r w:rsidRPr="005A1F62">
              <w:rPr>
                <w:rFonts w:eastAsia="Arial Unicode MS"/>
              </w:rPr>
              <w:t>7</w:t>
            </w:r>
          </w:p>
        </w:tc>
        <w:tc>
          <w:tcPr>
            <w:tcW w:w="0" w:type="auto"/>
            <w:shd w:val="clear" w:color="auto" w:fill="auto"/>
            <w:vAlign w:val="center"/>
          </w:tcPr>
          <w:p w14:paraId="6650CA6B" w14:textId="1F10B5A3" w:rsidR="00651F1B" w:rsidRPr="005A1F62" w:rsidRDefault="00651F1B" w:rsidP="00C6229E">
            <w:pPr>
              <w:tabs>
                <w:tab w:val="left" w:pos="709"/>
              </w:tabs>
              <w:jc w:val="both"/>
              <w:rPr>
                <w:rFonts w:eastAsia="Arial Unicode MS"/>
              </w:rPr>
            </w:pPr>
            <w:r w:rsidRPr="005A1F62">
              <w:rPr>
                <w:rFonts w:eastAsia="Arial Unicode MS"/>
              </w:rPr>
              <w:t xml:space="preserve">Банк не реже одного раза в год проводит проверки фактического местонахождения компаний со значительными оборотами по счетам </w:t>
            </w:r>
            <w:r w:rsidR="00332F42" w:rsidRPr="005A1F62">
              <w:rPr>
                <w:rFonts w:eastAsia="Calibri"/>
                <w:lang w:eastAsia="en-US"/>
              </w:rPr>
              <w:t>(выполняется / не выполняется)</w:t>
            </w:r>
          </w:p>
        </w:tc>
        <w:tc>
          <w:tcPr>
            <w:tcW w:w="0" w:type="auto"/>
            <w:shd w:val="clear" w:color="auto" w:fill="auto"/>
            <w:noWrap/>
            <w:vAlign w:val="center"/>
          </w:tcPr>
          <w:p w14:paraId="44725FC2"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04106682" w14:textId="77777777" w:rsidTr="00C6229E">
        <w:trPr>
          <w:trHeight w:val="20"/>
        </w:trPr>
        <w:tc>
          <w:tcPr>
            <w:tcW w:w="0" w:type="auto"/>
            <w:shd w:val="clear" w:color="auto" w:fill="auto"/>
            <w:noWrap/>
            <w:vAlign w:val="center"/>
          </w:tcPr>
          <w:p w14:paraId="435C304D" w14:textId="77777777" w:rsidR="00651F1B" w:rsidRPr="005A1F62" w:rsidRDefault="00651F1B" w:rsidP="00C6229E">
            <w:pPr>
              <w:tabs>
                <w:tab w:val="left" w:pos="709"/>
              </w:tabs>
              <w:jc w:val="center"/>
              <w:rPr>
                <w:rFonts w:eastAsia="Arial Unicode MS"/>
              </w:rPr>
            </w:pPr>
            <w:r w:rsidRPr="005A1F62">
              <w:rPr>
                <w:rFonts w:eastAsia="Arial Unicode MS"/>
              </w:rPr>
              <w:t>8</w:t>
            </w:r>
          </w:p>
        </w:tc>
        <w:tc>
          <w:tcPr>
            <w:tcW w:w="0" w:type="auto"/>
            <w:shd w:val="clear" w:color="auto" w:fill="auto"/>
            <w:vAlign w:val="center"/>
          </w:tcPr>
          <w:p w14:paraId="42B5DC81" w14:textId="6E42A4D4" w:rsidR="00651F1B" w:rsidRPr="005A1F62" w:rsidRDefault="00651F1B" w:rsidP="00C6229E">
            <w:pPr>
              <w:tabs>
                <w:tab w:val="left" w:pos="709"/>
              </w:tabs>
              <w:jc w:val="both"/>
              <w:rPr>
                <w:rFonts w:eastAsia="Arial Unicode MS"/>
              </w:rPr>
            </w:pPr>
            <w:r w:rsidRPr="005A1F62">
              <w:rPr>
                <w:rFonts w:eastAsia="Arial Unicode MS"/>
              </w:rPr>
              <w:t>Банк применяет введение повышенных тарифов за обслуживание расчетного счета при подозрениях в транзитном характере операций</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55D9153B"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7C24C979" w14:textId="77777777" w:rsidTr="00C6229E">
        <w:trPr>
          <w:trHeight w:val="20"/>
        </w:trPr>
        <w:tc>
          <w:tcPr>
            <w:tcW w:w="0" w:type="auto"/>
            <w:shd w:val="clear" w:color="auto" w:fill="auto"/>
            <w:noWrap/>
            <w:vAlign w:val="center"/>
          </w:tcPr>
          <w:p w14:paraId="04393630" w14:textId="77777777" w:rsidR="00651F1B" w:rsidRPr="005A1F62" w:rsidRDefault="00651F1B" w:rsidP="00C6229E">
            <w:pPr>
              <w:tabs>
                <w:tab w:val="left" w:pos="709"/>
              </w:tabs>
              <w:jc w:val="center"/>
              <w:rPr>
                <w:rFonts w:eastAsia="Arial Unicode MS"/>
              </w:rPr>
            </w:pPr>
            <w:r w:rsidRPr="005A1F62">
              <w:rPr>
                <w:rFonts w:eastAsia="Arial Unicode MS"/>
              </w:rPr>
              <w:t>9</w:t>
            </w:r>
          </w:p>
        </w:tc>
        <w:tc>
          <w:tcPr>
            <w:tcW w:w="0" w:type="auto"/>
            <w:shd w:val="clear" w:color="auto" w:fill="auto"/>
            <w:vAlign w:val="center"/>
          </w:tcPr>
          <w:p w14:paraId="21E08251" w14:textId="0DBA5686" w:rsidR="00651F1B" w:rsidRPr="005A1F62" w:rsidRDefault="00651F1B" w:rsidP="00C6229E">
            <w:pPr>
              <w:tabs>
                <w:tab w:val="left" w:pos="709"/>
              </w:tabs>
              <w:jc w:val="both"/>
              <w:rPr>
                <w:rFonts w:eastAsia="Arial Unicode MS"/>
              </w:rPr>
            </w:pPr>
            <w:r w:rsidRPr="005A1F62">
              <w:rPr>
                <w:rFonts w:eastAsia="Arial Unicode MS"/>
              </w:rPr>
              <w:t xml:space="preserve">Банк применяет иные методы противодействия легализации (отключение интернет-банка, торможение платежей, временная блокировка / закрытие счетов и пр.) </w:t>
            </w:r>
            <w:r w:rsidR="00332F42" w:rsidRPr="005A1F62">
              <w:rPr>
                <w:rFonts w:eastAsia="Calibri"/>
                <w:lang w:eastAsia="en-US"/>
              </w:rPr>
              <w:t>(выполняется / не выполняется)</w:t>
            </w:r>
          </w:p>
        </w:tc>
        <w:tc>
          <w:tcPr>
            <w:tcW w:w="0" w:type="auto"/>
            <w:shd w:val="clear" w:color="auto" w:fill="auto"/>
            <w:noWrap/>
            <w:vAlign w:val="center"/>
          </w:tcPr>
          <w:p w14:paraId="3CF41DB7"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0809EFDD" w14:textId="77777777" w:rsidTr="00C6229E">
        <w:trPr>
          <w:trHeight w:val="20"/>
        </w:trPr>
        <w:tc>
          <w:tcPr>
            <w:tcW w:w="0" w:type="auto"/>
            <w:shd w:val="clear" w:color="auto" w:fill="auto"/>
            <w:noWrap/>
            <w:vAlign w:val="center"/>
          </w:tcPr>
          <w:p w14:paraId="2A52188D" w14:textId="77777777" w:rsidR="00651F1B" w:rsidRPr="005A1F62" w:rsidRDefault="00651F1B" w:rsidP="00C6229E">
            <w:pPr>
              <w:tabs>
                <w:tab w:val="left" w:pos="709"/>
              </w:tabs>
              <w:jc w:val="center"/>
              <w:rPr>
                <w:rFonts w:eastAsia="Arial Unicode MS"/>
              </w:rPr>
            </w:pPr>
            <w:r w:rsidRPr="005A1F62">
              <w:rPr>
                <w:rFonts w:eastAsia="Arial Unicode MS"/>
              </w:rPr>
              <w:t>10</w:t>
            </w:r>
          </w:p>
        </w:tc>
        <w:tc>
          <w:tcPr>
            <w:tcW w:w="0" w:type="auto"/>
            <w:shd w:val="clear" w:color="auto" w:fill="auto"/>
            <w:vAlign w:val="center"/>
          </w:tcPr>
          <w:p w14:paraId="2A849AC9" w14:textId="57E6EDA6" w:rsidR="00651F1B" w:rsidRPr="005A1F62" w:rsidRDefault="00651F1B" w:rsidP="00C6229E">
            <w:pPr>
              <w:tabs>
                <w:tab w:val="left" w:pos="709"/>
              </w:tabs>
              <w:jc w:val="both"/>
              <w:rPr>
                <w:rFonts w:eastAsia="Arial Unicode MS"/>
                <w:bCs/>
              </w:rPr>
            </w:pPr>
            <w:r w:rsidRPr="005A1F62">
              <w:rPr>
                <w:rFonts w:eastAsia="Arial Unicode MS"/>
                <w:bCs/>
              </w:rPr>
              <w:t>Головной офис банка находится в его собственности или арендуется у дружественных структур (например, у собственников)</w:t>
            </w:r>
            <w:r w:rsidR="00332F42" w:rsidRPr="005A1F62">
              <w:rPr>
                <w:rFonts w:eastAsia="Arial Unicode MS"/>
                <w:bC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3C32E863"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25526127" w14:textId="77777777" w:rsidTr="00C6229E">
        <w:trPr>
          <w:trHeight w:val="20"/>
        </w:trPr>
        <w:tc>
          <w:tcPr>
            <w:tcW w:w="0" w:type="auto"/>
            <w:shd w:val="clear" w:color="auto" w:fill="D9D9D9" w:themeFill="background1" w:themeFillShade="D9"/>
            <w:noWrap/>
            <w:vAlign w:val="center"/>
          </w:tcPr>
          <w:p w14:paraId="0043B938" w14:textId="77777777" w:rsidR="00651F1B" w:rsidRPr="005A1F62" w:rsidRDefault="00651F1B" w:rsidP="00C6229E">
            <w:pPr>
              <w:tabs>
                <w:tab w:val="left" w:pos="709"/>
              </w:tabs>
              <w:jc w:val="center"/>
              <w:rPr>
                <w:rFonts w:eastAsia="Arial Unicode MS"/>
              </w:rPr>
            </w:pPr>
          </w:p>
        </w:tc>
        <w:tc>
          <w:tcPr>
            <w:tcW w:w="0" w:type="auto"/>
            <w:shd w:val="clear" w:color="auto" w:fill="D9D9D9" w:themeFill="background1" w:themeFillShade="D9"/>
            <w:vAlign w:val="center"/>
          </w:tcPr>
          <w:p w14:paraId="41255B35" w14:textId="77777777" w:rsidR="00651F1B" w:rsidRPr="005A1F62" w:rsidRDefault="00651F1B" w:rsidP="00C6229E">
            <w:pPr>
              <w:tabs>
                <w:tab w:val="left" w:pos="709"/>
              </w:tabs>
              <w:jc w:val="both"/>
              <w:rPr>
                <w:rFonts w:eastAsia="Arial Unicode MS"/>
                <w:b/>
                <w:bCs/>
              </w:rPr>
            </w:pPr>
            <w:r w:rsidRPr="005A1F62">
              <w:rPr>
                <w:rFonts w:eastAsia="Arial Unicode MS"/>
                <w:b/>
                <w:bCs/>
              </w:rPr>
              <w:t>Меры, направленные на минимизацию повреждений либо утраты основных средств и других материальных активов</w:t>
            </w:r>
          </w:p>
        </w:tc>
        <w:tc>
          <w:tcPr>
            <w:tcW w:w="0" w:type="auto"/>
            <w:shd w:val="clear" w:color="auto" w:fill="D9D9D9" w:themeFill="background1" w:themeFillShade="D9"/>
            <w:noWrap/>
            <w:vAlign w:val="center"/>
          </w:tcPr>
          <w:p w14:paraId="5128CD22" w14:textId="0E1EEF9E" w:rsidR="00651F1B" w:rsidRPr="005A1F62" w:rsidRDefault="00651F1B" w:rsidP="00C6229E">
            <w:pPr>
              <w:tabs>
                <w:tab w:val="left" w:pos="709"/>
              </w:tabs>
              <w:jc w:val="center"/>
              <w:rPr>
                <w:rFonts w:eastAsia="Arial Unicode MS"/>
              </w:rPr>
            </w:pPr>
          </w:p>
        </w:tc>
      </w:tr>
      <w:tr w:rsidR="00651F1B" w:rsidRPr="005A1F62" w14:paraId="602DCD41" w14:textId="77777777" w:rsidTr="00C6229E">
        <w:trPr>
          <w:trHeight w:val="20"/>
        </w:trPr>
        <w:tc>
          <w:tcPr>
            <w:tcW w:w="0" w:type="auto"/>
            <w:shd w:val="clear" w:color="auto" w:fill="auto"/>
            <w:noWrap/>
            <w:vAlign w:val="center"/>
          </w:tcPr>
          <w:p w14:paraId="6465D9CD" w14:textId="77777777" w:rsidR="00651F1B" w:rsidRPr="005A1F62" w:rsidRDefault="00651F1B" w:rsidP="00C6229E">
            <w:pPr>
              <w:tabs>
                <w:tab w:val="left" w:pos="709"/>
              </w:tabs>
              <w:jc w:val="center"/>
              <w:rPr>
                <w:rFonts w:eastAsia="Arial Unicode MS"/>
              </w:rPr>
            </w:pPr>
            <w:r w:rsidRPr="005A1F62">
              <w:rPr>
                <w:rFonts w:eastAsia="Arial Unicode MS"/>
              </w:rPr>
              <w:t>11</w:t>
            </w:r>
          </w:p>
        </w:tc>
        <w:tc>
          <w:tcPr>
            <w:tcW w:w="0" w:type="auto"/>
            <w:shd w:val="clear" w:color="auto" w:fill="auto"/>
            <w:vAlign w:val="center"/>
          </w:tcPr>
          <w:p w14:paraId="32617600" w14:textId="670AB455" w:rsidR="00651F1B" w:rsidRPr="005A1F62" w:rsidRDefault="00651F1B" w:rsidP="00C6229E">
            <w:pPr>
              <w:tabs>
                <w:tab w:val="left" w:pos="709"/>
              </w:tabs>
              <w:jc w:val="both"/>
              <w:rPr>
                <w:rFonts w:eastAsia="Arial Unicode MS"/>
              </w:rPr>
            </w:pPr>
            <w:r w:rsidRPr="005A1F62">
              <w:rPr>
                <w:rFonts w:eastAsia="Arial Unicode MS"/>
              </w:rPr>
              <w:t>В головном офисе банка обеспечен приемлемый уровень защиты от краж, подтоплений, пожаров (охрана, видеонаблюдение), либо компания находится в офисе не ниже класса С1 по международной классификации (С1, В, А1, А2, А3)</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5FF8A063" w14:textId="53DB464E"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63BA3D54" w14:textId="77777777" w:rsidTr="00C6229E">
        <w:trPr>
          <w:trHeight w:val="20"/>
        </w:trPr>
        <w:tc>
          <w:tcPr>
            <w:tcW w:w="0" w:type="auto"/>
            <w:shd w:val="clear" w:color="auto" w:fill="auto"/>
            <w:noWrap/>
            <w:vAlign w:val="center"/>
          </w:tcPr>
          <w:p w14:paraId="582827E7" w14:textId="77777777" w:rsidR="00651F1B" w:rsidRPr="005A1F62" w:rsidRDefault="00651F1B" w:rsidP="00C6229E">
            <w:pPr>
              <w:tabs>
                <w:tab w:val="left" w:pos="709"/>
              </w:tabs>
              <w:jc w:val="center"/>
              <w:rPr>
                <w:rFonts w:eastAsia="Arial Unicode MS"/>
              </w:rPr>
            </w:pPr>
            <w:r w:rsidRPr="005A1F62">
              <w:rPr>
                <w:rFonts w:eastAsia="Arial Unicode MS"/>
              </w:rPr>
              <w:t>12</w:t>
            </w:r>
          </w:p>
        </w:tc>
        <w:tc>
          <w:tcPr>
            <w:tcW w:w="0" w:type="auto"/>
            <w:shd w:val="clear" w:color="auto" w:fill="auto"/>
            <w:vAlign w:val="center"/>
          </w:tcPr>
          <w:p w14:paraId="178FBB56" w14:textId="09C5E106" w:rsidR="00651F1B" w:rsidRPr="005A1F62" w:rsidRDefault="00651F1B" w:rsidP="00C6229E">
            <w:pPr>
              <w:tabs>
                <w:tab w:val="left" w:pos="709"/>
              </w:tabs>
              <w:jc w:val="both"/>
              <w:rPr>
                <w:rFonts w:eastAsia="Arial Unicode MS"/>
              </w:rPr>
            </w:pPr>
            <w:r w:rsidRPr="005A1F62">
              <w:rPr>
                <w:rFonts w:eastAsia="Arial Unicode MS"/>
              </w:rPr>
              <w:t xml:space="preserve">Не менее 50% имущества банка застраховано от кражи, подтопления, пожара в страховых компаниях с условными рейтинговыми классами </w:t>
            </w:r>
            <w:r w:rsidRPr="005A1F62">
              <w:rPr>
                <w:rFonts w:eastAsia="Arial Unicode MS"/>
                <w:lang w:val="en-US"/>
              </w:rPr>
              <w:t>ruBBB</w:t>
            </w:r>
            <w:r w:rsidRPr="005A1F62">
              <w:rPr>
                <w:rFonts w:eastAsia="Arial Unicode MS"/>
              </w:rPr>
              <w:t xml:space="preserve">+ и </w:t>
            </w:r>
            <w:proofErr w:type="gramStart"/>
            <w:r w:rsidRPr="005A1F62">
              <w:rPr>
                <w:rFonts w:eastAsia="Arial Unicode MS"/>
              </w:rPr>
              <w:t xml:space="preserve">выше </w:t>
            </w:r>
            <w:r w:rsidR="00332F42" w:rsidRPr="005A1F62">
              <w:rPr>
                <w:rFonts w:eastAsia="Calibri"/>
                <w:lang w:eastAsia="en-US"/>
              </w:rPr>
              <w:t xml:space="preserve"> (</w:t>
            </w:r>
            <w:proofErr w:type="gramEnd"/>
            <w:r w:rsidR="00332F42" w:rsidRPr="005A1F62">
              <w:rPr>
                <w:rFonts w:eastAsia="Calibri"/>
                <w:lang w:eastAsia="en-US"/>
              </w:rPr>
              <w:t>выполняется / не выполняется)</w:t>
            </w:r>
          </w:p>
        </w:tc>
        <w:tc>
          <w:tcPr>
            <w:tcW w:w="0" w:type="auto"/>
            <w:shd w:val="clear" w:color="auto" w:fill="auto"/>
            <w:noWrap/>
            <w:vAlign w:val="center"/>
          </w:tcPr>
          <w:p w14:paraId="001293BC"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6C89E7D2" w14:textId="77777777" w:rsidTr="00C6229E">
        <w:trPr>
          <w:trHeight w:val="20"/>
        </w:trPr>
        <w:tc>
          <w:tcPr>
            <w:tcW w:w="0" w:type="auto"/>
            <w:shd w:val="clear" w:color="auto" w:fill="auto"/>
            <w:noWrap/>
            <w:vAlign w:val="center"/>
          </w:tcPr>
          <w:p w14:paraId="7ACFBBE5" w14:textId="77777777" w:rsidR="00651F1B" w:rsidRPr="005A1F62" w:rsidRDefault="00651F1B" w:rsidP="00C6229E">
            <w:pPr>
              <w:tabs>
                <w:tab w:val="left" w:pos="709"/>
              </w:tabs>
              <w:jc w:val="center"/>
              <w:rPr>
                <w:rFonts w:eastAsia="Arial Unicode MS"/>
              </w:rPr>
            </w:pPr>
            <w:r w:rsidRPr="005A1F62">
              <w:rPr>
                <w:rFonts w:eastAsia="Arial Unicode MS"/>
              </w:rPr>
              <w:t>13</w:t>
            </w:r>
          </w:p>
        </w:tc>
        <w:tc>
          <w:tcPr>
            <w:tcW w:w="0" w:type="auto"/>
            <w:shd w:val="clear" w:color="auto" w:fill="auto"/>
            <w:vAlign w:val="center"/>
          </w:tcPr>
          <w:p w14:paraId="0E683BC0" w14:textId="07565B9B" w:rsidR="00651F1B" w:rsidRPr="005A1F62" w:rsidRDefault="00651F1B" w:rsidP="00C6229E">
            <w:pPr>
              <w:tabs>
                <w:tab w:val="left" w:pos="709"/>
              </w:tabs>
              <w:jc w:val="both"/>
              <w:rPr>
                <w:rFonts w:eastAsia="Arial Unicode MS"/>
              </w:rPr>
            </w:pPr>
            <w:r w:rsidRPr="005A1F62">
              <w:rPr>
                <w:rFonts w:eastAsia="Arial Unicode MS"/>
              </w:rPr>
              <w:t xml:space="preserve">Банк имеет полис ВВВ от страховой компании с условным рейтинговым классом </w:t>
            </w:r>
            <w:r w:rsidRPr="005A1F62">
              <w:rPr>
                <w:rFonts w:eastAsia="Arial Unicode MS"/>
                <w:lang w:val="en-US"/>
              </w:rPr>
              <w:t>ruBBB</w:t>
            </w:r>
            <w:r w:rsidRPr="005A1F62">
              <w:rPr>
                <w:rFonts w:eastAsia="Arial Unicode MS"/>
              </w:rPr>
              <w:t xml:space="preserve">+ и выше </w:t>
            </w:r>
            <w:r w:rsidR="00332F42" w:rsidRPr="005A1F62">
              <w:rPr>
                <w:rFonts w:eastAsia="Calibri"/>
                <w:lang w:eastAsia="en-US"/>
              </w:rPr>
              <w:t>(выполняется / не выполняется)</w:t>
            </w:r>
          </w:p>
        </w:tc>
        <w:tc>
          <w:tcPr>
            <w:tcW w:w="0" w:type="auto"/>
            <w:shd w:val="clear" w:color="auto" w:fill="auto"/>
            <w:noWrap/>
            <w:vAlign w:val="center"/>
          </w:tcPr>
          <w:p w14:paraId="4FC8FC75" w14:textId="77777777" w:rsidR="00651F1B" w:rsidRPr="005A1F62" w:rsidRDefault="00651F1B" w:rsidP="00C6229E">
            <w:pPr>
              <w:tabs>
                <w:tab w:val="left" w:pos="709"/>
              </w:tabs>
              <w:jc w:val="center"/>
              <w:rPr>
                <w:rFonts w:eastAsia="Arial Unicode MS"/>
                <w:lang w:val="en-US"/>
              </w:rPr>
            </w:pPr>
            <w:r w:rsidRPr="005A1F62">
              <w:rPr>
                <w:rFonts w:eastAsia="Arial Unicode MS"/>
              </w:rPr>
              <w:t>3</w:t>
            </w:r>
            <w:r w:rsidRPr="005A1F62">
              <w:rPr>
                <w:rFonts w:eastAsia="Arial Unicode MS"/>
                <w:lang w:val="en-US"/>
              </w:rPr>
              <w:t>,5</w:t>
            </w:r>
          </w:p>
        </w:tc>
      </w:tr>
      <w:tr w:rsidR="00651F1B" w:rsidRPr="005A1F62" w14:paraId="207290DF" w14:textId="77777777" w:rsidTr="00C6229E">
        <w:trPr>
          <w:trHeight w:val="20"/>
        </w:trPr>
        <w:tc>
          <w:tcPr>
            <w:tcW w:w="0" w:type="auto"/>
            <w:shd w:val="clear" w:color="auto" w:fill="auto"/>
            <w:noWrap/>
            <w:vAlign w:val="center"/>
          </w:tcPr>
          <w:p w14:paraId="018F62E5" w14:textId="77777777" w:rsidR="00651F1B" w:rsidRPr="005A1F62" w:rsidRDefault="00651F1B" w:rsidP="00C6229E">
            <w:pPr>
              <w:tabs>
                <w:tab w:val="left" w:pos="709"/>
              </w:tabs>
              <w:jc w:val="center"/>
              <w:rPr>
                <w:rFonts w:eastAsia="Arial Unicode MS"/>
              </w:rPr>
            </w:pPr>
            <w:r w:rsidRPr="005A1F62">
              <w:rPr>
                <w:rFonts w:eastAsia="Arial Unicode MS"/>
              </w:rPr>
              <w:t>14</w:t>
            </w:r>
          </w:p>
        </w:tc>
        <w:tc>
          <w:tcPr>
            <w:tcW w:w="0" w:type="auto"/>
            <w:shd w:val="clear" w:color="auto" w:fill="auto"/>
            <w:vAlign w:val="center"/>
          </w:tcPr>
          <w:p w14:paraId="74D1AB8D" w14:textId="3417EB91" w:rsidR="00651F1B" w:rsidRPr="005A1F62" w:rsidRDefault="00651F1B" w:rsidP="00C6229E">
            <w:pPr>
              <w:tabs>
                <w:tab w:val="left" w:pos="709"/>
              </w:tabs>
              <w:jc w:val="both"/>
              <w:rPr>
                <w:rFonts w:eastAsia="Arial Unicode MS"/>
              </w:rPr>
            </w:pPr>
            <w:r w:rsidRPr="005A1F62">
              <w:rPr>
                <w:rFonts w:eastAsia="Arial Unicode MS"/>
              </w:rPr>
              <w:t xml:space="preserve">Банк имеет полис </w:t>
            </w:r>
            <w:r w:rsidRPr="005A1F62">
              <w:rPr>
                <w:rFonts w:eastAsia="Arial Unicode MS"/>
                <w:lang w:val="en-US"/>
              </w:rPr>
              <w:t>ECC</w:t>
            </w:r>
            <w:r w:rsidRPr="005A1F62">
              <w:rPr>
                <w:rFonts w:eastAsia="Arial Unicode MS"/>
              </w:rPr>
              <w:t xml:space="preserve"> от страховой компании с условным рейтинговым классом </w:t>
            </w:r>
            <w:r w:rsidRPr="005A1F62">
              <w:rPr>
                <w:rFonts w:eastAsia="Arial Unicode MS"/>
                <w:lang w:val="en-US"/>
              </w:rPr>
              <w:t>ruBBB</w:t>
            </w:r>
            <w:r w:rsidRPr="005A1F62">
              <w:rPr>
                <w:rFonts w:eastAsia="Arial Unicode MS"/>
              </w:rPr>
              <w:t xml:space="preserve">+ и выше </w:t>
            </w:r>
            <w:r w:rsidR="00332F42" w:rsidRPr="005A1F62">
              <w:rPr>
                <w:rFonts w:eastAsia="Calibri"/>
                <w:lang w:eastAsia="en-US"/>
              </w:rPr>
              <w:t>(выполняется / не выполняется)</w:t>
            </w:r>
          </w:p>
        </w:tc>
        <w:tc>
          <w:tcPr>
            <w:tcW w:w="0" w:type="auto"/>
            <w:shd w:val="clear" w:color="auto" w:fill="auto"/>
            <w:noWrap/>
            <w:vAlign w:val="center"/>
          </w:tcPr>
          <w:p w14:paraId="2AAF418D" w14:textId="77777777" w:rsidR="00651F1B" w:rsidRPr="005A1F62" w:rsidRDefault="00651F1B" w:rsidP="00C6229E">
            <w:pPr>
              <w:tabs>
                <w:tab w:val="left" w:pos="709"/>
              </w:tabs>
              <w:jc w:val="center"/>
              <w:rPr>
                <w:rFonts w:eastAsia="Arial Unicode MS"/>
                <w:lang w:val="en-US"/>
              </w:rPr>
            </w:pPr>
            <w:r w:rsidRPr="005A1F62">
              <w:rPr>
                <w:rFonts w:eastAsia="Arial Unicode MS"/>
                <w:lang w:val="en-US"/>
              </w:rPr>
              <w:t>3,5</w:t>
            </w:r>
          </w:p>
        </w:tc>
      </w:tr>
      <w:tr w:rsidR="00651F1B" w:rsidRPr="005A1F62" w14:paraId="46C02056" w14:textId="77777777" w:rsidTr="00C6229E">
        <w:trPr>
          <w:trHeight w:val="20"/>
        </w:trPr>
        <w:tc>
          <w:tcPr>
            <w:tcW w:w="0" w:type="auto"/>
            <w:shd w:val="clear" w:color="auto" w:fill="D9D9D9" w:themeFill="background1" w:themeFillShade="D9"/>
            <w:noWrap/>
            <w:vAlign w:val="center"/>
          </w:tcPr>
          <w:p w14:paraId="662C7BE6" w14:textId="77777777" w:rsidR="00651F1B" w:rsidRPr="005A1F62" w:rsidRDefault="00651F1B" w:rsidP="00C6229E">
            <w:pPr>
              <w:tabs>
                <w:tab w:val="left" w:pos="709"/>
              </w:tabs>
              <w:jc w:val="center"/>
              <w:rPr>
                <w:rFonts w:eastAsia="Arial Unicode MS"/>
              </w:rPr>
            </w:pPr>
          </w:p>
        </w:tc>
        <w:tc>
          <w:tcPr>
            <w:tcW w:w="0" w:type="auto"/>
            <w:shd w:val="clear" w:color="auto" w:fill="D9D9D9" w:themeFill="background1" w:themeFillShade="D9"/>
            <w:vAlign w:val="center"/>
          </w:tcPr>
          <w:p w14:paraId="539A0BEF" w14:textId="77777777" w:rsidR="00651F1B" w:rsidRPr="005A1F62" w:rsidRDefault="00651F1B" w:rsidP="00C6229E">
            <w:pPr>
              <w:tabs>
                <w:tab w:val="left" w:pos="709"/>
              </w:tabs>
              <w:jc w:val="both"/>
              <w:rPr>
                <w:rFonts w:eastAsia="Arial Unicode MS"/>
                <w:b/>
                <w:bCs/>
              </w:rPr>
            </w:pPr>
            <w:r w:rsidRPr="005A1F62">
              <w:rPr>
                <w:rFonts w:eastAsia="Arial Unicode MS"/>
                <w:b/>
                <w:bCs/>
              </w:rPr>
              <w:t>Меры, направленные на минимизацию случаев выхода из строя оборудования и систем</w:t>
            </w:r>
          </w:p>
        </w:tc>
        <w:tc>
          <w:tcPr>
            <w:tcW w:w="0" w:type="auto"/>
            <w:shd w:val="clear" w:color="auto" w:fill="D9D9D9" w:themeFill="background1" w:themeFillShade="D9"/>
            <w:noWrap/>
            <w:vAlign w:val="center"/>
          </w:tcPr>
          <w:p w14:paraId="57C8A072" w14:textId="1E250A3C" w:rsidR="00651F1B" w:rsidRPr="005A1F62" w:rsidRDefault="00651F1B" w:rsidP="00C6229E">
            <w:pPr>
              <w:tabs>
                <w:tab w:val="left" w:pos="709"/>
              </w:tabs>
              <w:jc w:val="center"/>
              <w:rPr>
                <w:rFonts w:eastAsia="Arial Unicode MS"/>
              </w:rPr>
            </w:pPr>
          </w:p>
        </w:tc>
      </w:tr>
      <w:tr w:rsidR="00651F1B" w:rsidRPr="005A1F62" w14:paraId="3123B9E5" w14:textId="77777777" w:rsidTr="00C6229E">
        <w:trPr>
          <w:trHeight w:val="20"/>
        </w:trPr>
        <w:tc>
          <w:tcPr>
            <w:tcW w:w="0" w:type="auto"/>
            <w:shd w:val="clear" w:color="auto" w:fill="auto"/>
            <w:noWrap/>
            <w:vAlign w:val="center"/>
          </w:tcPr>
          <w:p w14:paraId="53A564CC" w14:textId="77777777" w:rsidR="00651F1B" w:rsidRPr="005A1F62" w:rsidRDefault="00651F1B" w:rsidP="00C6229E">
            <w:pPr>
              <w:tabs>
                <w:tab w:val="left" w:pos="709"/>
              </w:tabs>
              <w:jc w:val="center"/>
              <w:rPr>
                <w:rFonts w:eastAsia="Arial Unicode MS"/>
              </w:rPr>
            </w:pPr>
            <w:r w:rsidRPr="005A1F62">
              <w:rPr>
                <w:rFonts w:eastAsia="Arial Unicode MS"/>
              </w:rPr>
              <w:t>15</w:t>
            </w:r>
          </w:p>
        </w:tc>
        <w:tc>
          <w:tcPr>
            <w:tcW w:w="0" w:type="auto"/>
            <w:shd w:val="clear" w:color="auto" w:fill="auto"/>
            <w:vAlign w:val="center"/>
          </w:tcPr>
          <w:p w14:paraId="0B18D2FC" w14:textId="02A55323" w:rsidR="00651F1B" w:rsidRPr="005A1F62" w:rsidRDefault="00651F1B" w:rsidP="00C6229E">
            <w:pPr>
              <w:tabs>
                <w:tab w:val="left" w:pos="709"/>
              </w:tabs>
              <w:jc w:val="both"/>
              <w:rPr>
                <w:rFonts w:eastAsia="Arial Unicode MS"/>
              </w:rPr>
            </w:pPr>
            <w:r w:rsidRPr="005A1F62">
              <w:rPr>
                <w:rFonts w:eastAsia="Arial Unicode MS"/>
              </w:rPr>
              <w:t>Основные серверы банка обновлялись не более четырех лет назад</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5262BE1A" w14:textId="77777777" w:rsidR="00651F1B" w:rsidRPr="005A1F62" w:rsidRDefault="00651F1B" w:rsidP="00C6229E">
            <w:pPr>
              <w:tabs>
                <w:tab w:val="left" w:pos="709"/>
              </w:tabs>
              <w:jc w:val="center"/>
              <w:rPr>
                <w:rFonts w:eastAsia="Arial Unicode MS"/>
              </w:rPr>
            </w:pPr>
            <w:r w:rsidRPr="005A1F62">
              <w:rPr>
                <w:rFonts w:eastAsia="Arial Unicode MS"/>
              </w:rPr>
              <w:t>4</w:t>
            </w:r>
          </w:p>
        </w:tc>
      </w:tr>
      <w:tr w:rsidR="00651F1B" w:rsidRPr="005A1F62" w14:paraId="5908DE35" w14:textId="77777777" w:rsidTr="00C6229E">
        <w:trPr>
          <w:trHeight w:val="20"/>
        </w:trPr>
        <w:tc>
          <w:tcPr>
            <w:tcW w:w="0" w:type="auto"/>
            <w:shd w:val="clear" w:color="auto" w:fill="auto"/>
            <w:noWrap/>
            <w:vAlign w:val="center"/>
          </w:tcPr>
          <w:p w14:paraId="429F66D9" w14:textId="77777777" w:rsidR="00651F1B" w:rsidRPr="005A1F62" w:rsidRDefault="00651F1B" w:rsidP="00C6229E">
            <w:pPr>
              <w:tabs>
                <w:tab w:val="left" w:pos="709"/>
              </w:tabs>
              <w:jc w:val="center"/>
              <w:rPr>
                <w:rFonts w:eastAsia="Arial Unicode MS"/>
              </w:rPr>
            </w:pPr>
            <w:r w:rsidRPr="005A1F62">
              <w:rPr>
                <w:rFonts w:eastAsia="Arial Unicode MS"/>
              </w:rPr>
              <w:lastRenderedPageBreak/>
              <w:t>16</w:t>
            </w:r>
          </w:p>
        </w:tc>
        <w:tc>
          <w:tcPr>
            <w:tcW w:w="0" w:type="auto"/>
            <w:shd w:val="clear" w:color="auto" w:fill="auto"/>
            <w:vAlign w:val="center"/>
          </w:tcPr>
          <w:p w14:paraId="783978CE" w14:textId="2C1B41A3" w:rsidR="00651F1B" w:rsidRPr="005A1F62" w:rsidRDefault="00651F1B" w:rsidP="00C6229E">
            <w:pPr>
              <w:tabs>
                <w:tab w:val="left" w:pos="709"/>
              </w:tabs>
              <w:jc w:val="both"/>
              <w:rPr>
                <w:rFonts w:eastAsia="Arial Unicode MS"/>
              </w:rPr>
            </w:pPr>
            <w:r w:rsidRPr="005A1F62">
              <w:rPr>
                <w:rFonts w:eastAsia="Arial Unicode MS"/>
              </w:rPr>
              <w:t>Обеспечено резервное копирование информации не реже одного раза в день</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4FDC7F34"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7A37FE10" w14:textId="77777777" w:rsidTr="00C6229E">
        <w:trPr>
          <w:trHeight w:val="20"/>
        </w:trPr>
        <w:tc>
          <w:tcPr>
            <w:tcW w:w="0" w:type="auto"/>
            <w:shd w:val="clear" w:color="auto" w:fill="auto"/>
            <w:noWrap/>
            <w:vAlign w:val="center"/>
          </w:tcPr>
          <w:p w14:paraId="44417BCF" w14:textId="77777777" w:rsidR="00651F1B" w:rsidRPr="005A1F62" w:rsidRDefault="00651F1B" w:rsidP="00C6229E">
            <w:pPr>
              <w:tabs>
                <w:tab w:val="left" w:pos="709"/>
              </w:tabs>
              <w:jc w:val="center"/>
              <w:rPr>
                <w:rFonts w:eastAsia="Arial Unicode MS"/>
              </w:rPr>
            </w:pPr>
            <w:bookmarkStart w:id="225" w:name="_Hlk43310309"/>
            <w:r w:rsidRPr="005A1F62">
              <w:rPr>
                <w:rFonts w:eastAsia="Arial Unicode MS"/>
              </w:rPr>
              <w:t>17</w:t>
            </w:r>
          </w:p>
        </w:tc>
        <w:tc>
          <w:tcPr>
            <w:tcW w:w="0" w:type="auto"/>
            <w:shd w:val="clear" w:color="auto" w:fill="auto"/>
            <w:vAlign w:val="center"/>
          </w:tcPr>
          <w:p w14:paraId="1F3784E6" w14:textId="3BF3C351" w:rsidR="00651F1B" w:rsidRPr="005A1F62" w:rsidRDefault="00651F1B" w:rsidP="00C6229E">
            <w:pPr>
              <w:tabs>
                <w:tab w:val="left" w:pos="709"/>
              </w:tabs>
              <w:jc w:val="both"/>
              <w:rPr>
                <w:rFonts w:eastAsia="Arial Unicode MS"/>
              </w:rPr>
            </w:pPr>
            <w:bookmarkStart w:id="226" w:name="_Hlk43304605"/>
            <w:r w:rsidRPr="005A1F62">
              <w:rPr>
                <w:rFonts w:eastAsia="Arial Unicode MS"/>
              </w:rPr>
              <w:t>Банк располагает резервными серверами</w:t>
            </w:r>
            <w:r w:rsidR="00332F42" w:rsidRPr="005A1F62">
              <w:t>. М</w:t>
            </w:r>
            <w:r w:rsidRPr="005A1F62">
              <w:t xml:space="preserve">есторасположение </w:t>
            </w:r>
            <w:r w:rsidR="00332F42" w:rsidRPr="005A1F62">
              <w:rPr>
                <w:rFonts w:eastAsia="Arial Unicode MS"/>
              </w:rPr>
              <w:t>резервных серверов</w:t>
            </w:r>
            <w:r w:rsidR="00332F42" w:rsidRPr="005A1F62">
              <w:t xml:space="preserve"> </w:t>
            </w:r>
            <w:r w:rsidRPr="005A1F62">
              <w:t>отлично от основного сервера</w:t>
            </w:r>
            <w:r w:rsidR="00332F42" w:rsidRPr="005A1F62">
              <w:t xml:space="preserve"> (</w:t>
            </w:r>
            <w:r w:rsidR="00332F42" w:rsidRPr="005A1F62">
              <w:rPr>
                <w:rFonts w:eastAsia="Calibri"/>
                <w:lang w:eastAsia="en-US"/>
              </w:rPr>
              <w:t>выполняется / выполняется частично / не выполняется)</w:t>
            </w:r>
            <w:bookmarkEnd w:id="226"/>
          </w:p>
        </w:tc>
        <w:tc>
          <w:tcPr>
            <w:tcW w:w="0" w:type="auto"/>
            <w:shd w:val="clear" w:color="auto" w:fill="auto"/>
            <w:noWrap/>
            <w:vAlign w:val="center"/>
          </w:tcPr>
          <w:p w14:paraId="2FF23715" w14:textId="77777777" w:rsidR="00651F1B" w:rsidRPr="005A1F62" w:rsidRDefault="00651F1B" w:rsidP="00C6229E">
            <w:pPr>
              <w:tabs>
                <w:tab w:val="left" w:pos="709"/>
              </w:tabs>
              <w:jc w:val="center"/>
              <w:rPr>
                <w:rFonts w:eastAsia="Arial Unicode MS"/>
              </w:rPr>
            </w:pPr>
            <w:r w:rsidRPr="005A1F62">
              <w:rPr>
                <w:rFonts w:eastAsia="Arial Unicode MS"/>
              </w:rPr>
              <w:t>1</w:t>
            </w:r>
          </w:p>
        </w:tc>
      </w:tr>
      <w:bookmarkEnd w:id="225"/>
      <w:tr w:rsidR="00651F1B" w:rsidRPr="005A1F62" w14:paraId="53834829" w14:textId="77777777" w:rsidTr="00C6229E">
        <w:trPr>
          <w:trHeight w:val="20"/>
        </w:trPr>
        <w:tc>
          <w:tcPr>
            <w:tcW w:w="0" w:type="auto"/>
            <w:shd w:val="clear" w:color="auto" w:fill="auto"/>
            <w:noWrap/>
            <w:vAlign w:val="center"/>
          </w:tcPr>
          <w:p w14:paraId="511A990F" w14:textId="77777777" w:rsidR="00651F1B" w:rsidRPr="005A1F62" w:rsidRDefault="00651F1B" w:rsidP="00C6229E">
            <w:pPr>
              <w:tabs>
                <w:tab w:val="left" w:pos="709"/>
              </w:tabs>
              <w:jc w:val="center"/>
              <w:rPr>
                <w:rFonts w:eastAsia="Arial Unicode MS"/>
              </w:rPr>
            </w:pPr>
            <w:r w:rsidRPr="005A1F62">
              <w:rPr>
                <w:rFonts w:eastAsia="Arial Unicode MS"/>
              </w:rPr>
              <w:t>18</w:t>
            </w:r>
          </w:p>
        </w:tc>
        <w:tc>
          <w:tcPr>
            <w:tcW w:w="0" w:type="auto"/>
            <w:shd w:val="clear" w:color="auto" w:fill="auto"/>
            <w:vAlign w:val="center"/>
          </w:tcPr>
          <w:p w14:paraId="046EA800" w14:textId="3D6A5712" w:rsidR="00651F1B" w:rsidRPr="005A1F62" w:rsidRDefault="00651F1B" w:rsidP="00C6229E">
            <w:pPr>
              <w:tabs>
                <w:tab w:val="left" w:pos="709"/>
              </w:tabs>
              <w:jc w:val="both"/>
              <w:rPr>
                <w:rFonts w:eastAsia="Arial Unicode MS"/>
              </w:rPr>
            </w:pPr>
            <w:r w:rsidRPr="005A1F62">
              <w:rPr>
                <w:rFonts w:eastAsia="Arial Unicode MS"/>
              </w:rPr>
              <w:t>Банк располагает резервными каналами связи</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242FA96C" w14:textId="77777777" w:rsidR="00651F1B" w:rsidRPr="005A1F62" w:rsidRDefault="00651F1B" w:rsidP="00C6229E">
            <w:pPr>
              <w:tabs>
                <w:tab w:val="left" w:pos="709"/>
              </w:tabs>
              <w:jc w:val="center"/>
              <w:rPr>
                <w:rFonts w:eastAsia="Arial Unicode MS"/>
              </w:rPr>
            </w:pPr>
            <w:r w:rsidRPr="005A1F62">
              <w:rPr>
                <w:rFonts w:eastAsia="Arial Unicode MS"/>
              </w:rPr>
              <w:t>1</w:t>
            </w:r>
          </w:p>
        </w:tc>
      </w:tr>
      <w:tr w:rsidR="00651F1B" w:rsidRPr="005A1F62" w14:paraId="29E40072" w14:textId="77777777" w:rsidTr="00C6229E">
        <w:trPr>
          <w:trHeight w:val="20"/>
        </w:trPr>
        <w:tc>
          <w:tcPr>
            <w:tcW w:w="0" w:type="auto"/>
            <w:shd w:val="clear" w:color="auto" w:fill="auto"/>
            <w:noWrap/>
            <w:vAlign w:val="center"/>
          </w:tcPr>
          <w:p w14:paraId="6E742203" w14:textId="77777777" w:rsidR="00651F1B" w:rsidRPr="005A1F62" w:rsidRDefault="00651F1B" w:rsidP="00C6229E">
            <w:pPr>
              <w:tabs>
                <w:tab w:val="left" w:pos="709"/>
              </w:tabs>
              <w:jc w:val="center"/>
              <w:rPr>
                <w:rFonts w:eastAsia="Arial Unicode MS"/>
              </w:rPr>
            </w:pPr>
            <w:r w:rsidRPr="005A1F62">
              <w:rPr>
                <w:rFonts w:eastAsia="Arial Unicode MS"/>
              </w:rPr>
              <w:t>19</w:t>
            </w:r>
          </w:p>
        </w:tc>
        <w:tc>
          <w:tcPr>
            <w:tcW w:w="0" w:type="auto"/>
            <w:shd w:val="clear" w:color="auto" w:fill="auto"/>
            <w:vAlign w:val="center"/>
          </w:tcPr>
          <w:p w14:paraId="7849B41D" w14:textId="6350B9C0" w:rsidR="00651F1B" w:rsidRPr="005A1F62" w:rsidRDefault="00651F1B" w:rsidP="00C6229E">
            <w:pPr>
              <w:tabs>
                <w:tab w:val="left" w:pos="709"/>
              </w:tabs>
              <w:jc w:val="both"/>
              <w:rPr>
                <w:rFonts w:eastAsia="Arial Unicode MS"/>
              </w:rPr>
            </w:pPr>
            <w:r w:rsidRPr="005A1F62">
              <w:rPr>
                <w:rFonts w:eastAsia="Arial Unicode MS"/>
              </w:rPr>
              <w:t>Головной офис банка имеет резервные источники питания</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3E8FB372" w14:textId="77777777" w:rsidR="00651F1B" w:rsidRPr="005A1F62" w:rsidRDefault="00651F1B" w:rsidP="00C6229E">
            <w:pPr>
              <w:tabs>
                <w:tab w:val="left" w:pos="709"/>
              </w:tabs>
              <w:jc w:val="center"/>
              <w:rPr>
                <w:rFonts w:eastAsia="Arial Unicode MS"/>
              </w:rPr>
            </w:pPr>
            <w:r w:rsidRPr="005A1F62">
              <w:rPr>
                <w:rFonts w:eastAsia="Arial Unicode MS"/>
              </w:rPr>
              <w:t>3</w:t>
            </w:r>
          </w:p>
        </w:tc>
      </w:tr>
      <w:tr w:rsidR="00651F1B" w:rsidRPr="005A1F62" w14:paraId="1196EAF3" w14:textId="77777777" w:rsidTr="00C6229E">
        <w:trPr>
          <w:trHeight w:val="20"/>
        </w:trPr>
        <w:tc>
          <w:tcPr>
            <w:tcW w:w="0" w:type="auto"/>
            <w:shd w:val="clear" w:color="auto" w:fill="D9D9D9" w:themeFill="background1" w:themeFillShade="D9"/>
            <w:noWrap/>
            <w:vAlign w:val="center"/>
          </w:tcPr>
          <w:p w14:paraId="2AF1DBB3" w14:textId="77777777" w:rsidR="00651F1B" w:rsidRPr="005A1F62" w:rsidRDefault="00651F1B" w:rsidP="00C6229E">
            <w:pPr>
              <w:tabs>
                <w:tab w:val="left" w:pos="709"/>
              </w:tabs>
              <w:jc w:val="center"/>
              <w:rPr>
                <w:rFonts w:eastAsia="Arial Unicode MS"/>
              </w:rPr>
            </w:pPr>
          </w:p>
        </w:tc>
        <w:tc>
          <w:tcPr>
            <w:tcW w:w="0" w:type="auto"/>
            <w:shd w:val="clear" w:color="auto" w:fill="D9D9D9" w:themeFill="background1" w:themeFillShade="D9"/>
            <w:vAlign w:val="center"/>
          </w:tcPr>
          <w:p w14:paraId="1B86240B" w14:textId="77777777" w:rsidR="00651F1B" w:rsidRPr="005A1F62" w:rsidRDefault="00651F1B" w:rsidP="00C6229E">
            <w:pPr>
              <w:tabs>
                <w:tab w:val="left" w:pos="709"/>
              </w:tabs>
              <w:jc w:val="both"/>
              <w:rPr>
                <w:rFonts w:eastAsia="Arial Unicode MS"/>
                <w:b/>
                <w:bCs/>
              </w:rPr>
            </w:pPr>
            <w:r w:rsidRPr="005A1F62">
              <w:rPr>
                <w:rFonts w:eastAsia="Arial Unicode MS"/>
                <w:b/>
                <w:bCs/>
              </w:rPr>
              <w:t>Меры, направленные на минимизацию потерь от ненадлежащей организации деятельности</w:t>
            </w:r>
          </w:p>
        </w:tc>
        <w:tc>
          <w:tcPr>
            <w:tcW w:w="0" w:type="auto"/>
            <w:shd w:val="clear" w:color="auto" w:fill="D9D9D9" w:themeFill="background1" w:themeFillShade="D9"/>
            <w:noWrap/>
            <w:vAlign w:val="center"/>
          </w:tcPr>
          <w:p w14:paraId="04216E73" w14:textId="0E0668DB" w:rsidR="00651F1B" w:rsidRPr="005A1F62" w:rsidRDefault="00651F1B" w:rsidP="00C6229E">
            <w:pPr>
              <w:tabs>
                <w:tab w:val="left" w:pos="709"/>
              </w:tabs>
              <w:jc w:val="center"/>
              <w:rPr>
                <w:rFonts w:eastAsia="Arial Unicode MS"/>
              </w:rPr>
            </w:pPr>
          </w:p>
        </w:tc>
      </w:tr>
      <w:tr w:rsidR="00651F1B" w:rsidRPr="005A1F62" w14:paraId="0B228FD0" w14:textId="77777777" w:rsidTr="00C6229E">
        <w:trPr>
          <w:trHeight w:val="20"/>
        </w:trPr>
        <w:tc>
          <w:tcPr>
            <w:tcW w:w="0" w:type="auto"/>
            <w:shd w:val="clear" w:color="auto" w:fill="auto"/>
            <w:noWrap/>
            <w:vAlign w:val="center"/>
          </w:tcPr>
          <w:p w14:paraId="65C03674" w14:textId="77777777" w:rsidR="00651F1B" w:rsidRPr="005A1F62" w:rsidRDefault="00651F1B" w:rsidP="00C6229E">
            <w:pPr>
              <w:tabs>
                <w:tab w:val="left" w:pos="709"/>
              </w:tabs>
              <w:jc w:val="center"/>
              <w:rPr>
                <w:rFonts w:eastAsia="Arial Unicode MS"/>
              </w:rPr>
            </w:pPr>
            <w:r w:rsidRPr="005A1F62">
              <w:rPr>
                <w:rFonts w:eastAsia="Arial Unicode MS"/>
              </w:rPr>
              <w:t>20</w:t>
            </w:r>
          </w:p>
        </w:tc>
        <w:tc>
          <w:tcPr>
            <w:tcW w:w="0" w:type="auto"/>
            <w:shd w:val="clear" w:color="auto" w:fill="auto"/>
            <w:vAlign w:val="center"/>
          </w:tcPr>
          <w:p w14:paraId="19F5F99A" w14:textId="45F13B8E" w:rsidR="00651F1B" w:rsidRPr="005A1F62" w:rsidRDefault="00651F1B" w:rsidP="00C6229E">
            <w:pPr>
              <w:tabs>
                <w:tab w:val="left" w:pos="709"/>
              </w:tabs>
              <w:jc w:val="both"/>
              <w:rPr>
                <w:rFonts w:eastAsia="Arial Unicode MS"/>
              </w:rPr>
            </w:pPr>
            <w:r w:rsidRPr="005A1F62">
              <w:rPr>
                <w:rFonts w:eastAsia="Arial Unicode MS"/>
              </w:rPr>
              <w:t>Банк не позднее чем за 12 месяцев до оценки получил (подтвердил) сертификат менеджмента качества (ISO), при этом компания, выдавшая сертификат, имеет хорошую репутацию (репутация аудитора по ИСО считается высокой, если он имеет аккредитацию хотя бы при одном из следующих органов по аккредитации: UKAS (Великобритания), DAR (Германия), SAS (Швейцария), COFRAC (Франция), ANAB (США), JAB (Япония))</w:t>
            </w:r>
            <w:r w:rsidR="00332F42" w:rsidRPr="005A1F62">
              <w:rPr>
                <w:rFonts w:eastAsia="Arial Unicode MS"/>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0C754D49" w14:textId="77777777" w:rsidR="00651F1B" w:rsidRPr="005A1F62" w:rsidRDefault="00651F1B" w:rsidP="00C6229E">
            <w:pPr>
              <w:tabs>
                <w:tab w:val="left" w:pos="709"/>
              </w:tabs>
              <w:jc w:val="center"/>
              <w:rPr>
                <w:rFonts w:eastAsia="Arial Unicode MS"/>
              </w:rPr>
            </w:pPr>
            <w:r w:rsidRPr="005A1F62">
              <w:rPr>
                <w:rFonts w:eastAsia="Arial Unicode MS"/>
              </w:rPr>
              <w:t>2</w:t>
            </w:r>
          </w:p>
        </w:tc>
      </w:tr>
      <w:tr w:rsidR="00651F1B" w:rsidRPr="005A1F62" w14:paraId="1D8D02F1" w14:textId="77777777" w:rsidTr="00C6229E">
        <w:trPr>
          <w:trHeight w:val="20"/>
        </w:trPr>
        <w:tc>
          <w:tcPr>
            <w:tcW w:w="0" w:type="auto"/>
            <w:shd w:val="clear" w:color="auto" w:fill="D9D9D9" w:themeFill="background1" w:themeFillShade="D9"/>
            <w:noWrap/>
            <w:vAlign w:val="center"/>
          </w:tcPr>
          <w:p w14:paraId="47F3CB12" w14:textId="77777777" w:rsidR="00651F1B" w:rsidRPr="005A1F62" w:rsidRDefault="00651F1B" w:rsidP="00C6229E">
            <w:pPr>
              <w:tabs>
                <w:tab w:val="left" w:pos="709"/>
              </w:tabs>
              <w:jc w:val="center"/>
              <w:rPr>
                <w:rFonts w:eastAsia="Arial Unicode MS"/>
              </w:rPr>
            </w:pPr>
          </w:p>
        </w:tc>
        <w:tc>
          <w:tcPr>
            <w:tcW w:w="0" w:type="auto"/>
            <w:shd w:val="clear" w:color="auto" w:fill="D9D9D9" w:themeFill="background1" w:themeFillShade="D9"/>
            <w:vAlign w:val="center"/>
          </w:tcPr>
          <w:p w14:paraId="6EC24754" w14:textId="77777777" w:rsidR="00651F1B" w:rsidRPr="005A1F62" w:rsidRDefault="00651F1B" w:rsidP="00C6229E">
            <w:pPr>
              <w:tabs>
                <w:tab w:val="left" w:pos="709"/>
              </w:tabs>
              <w:jc w:val="both"/>
              <w:rPr>
                <w:rFonts w:eastAsia="Arial Unicode MS"/>
                <w:b/>
                <w:bCs/>
              </w:rPr>
            </w:pPr>
            <w:r w:rsidRPr="005A1F62">
              <w:rPr>
                <w:rFonts w:eastAsia="Arial Unicode MS"/>
                <w:b/>
                <w:bCs/>
              </w:rPr>
              <w:t>Результаты управления</w:t>
            </w:r>
          </w:p>
        </w:tc>
        <w:tc>
          <w:tcPr>
            <w:tcW w:w="0" w:type="auto"/>
            <w:shd w:val="clear" w:color="auto" w:fill="D9D9D9" w:themeFill="background1" w:themeFillShade="D9"/>
            <w:noWrap/>
            <w:vAlign w:val="center"/>
          </w:tcPr>
          <w:p w14:paraId="2E3760E5" w14:textId="77777777" w:rsidR="00651F1B" w:rsidRPr="005A1F62" w:rsidRDefault="00651F1B" w:rsidP="00C6229E">
            <w:pPr>
              <w:tabs>
                <w:tab w:val="left" w:pos="709"/>
              </w:tabs>
              <w:jc w:val="center"/>
              <w:rPr>
                <w:rFonts w:eastAsia="Arial Unicode MS"/>
              </w:rPr>
            </w:pPr>
          </w:p>
        </w:tc>
      </w:tr>
      <w:tr w:rsidR="00651F1B" w:rsidRPr="005A1F62" w14:paraId="590FAC60" w14:textId="77777777" w:rsidTr="00C6229E">
        <w:trPr>
          <w:trHeight w:val="20"/>
        </w:trPr>
        <w:tc>
          <w:tcPr>
            <w:tcW w:w="0" w:type="auto"/>
            <w:shd w:val="clear" w:color="auto" w:fill="auto"/>
            <w:noWrap/>
            <w:vAlign w:val="center"/>
          </w:tcPr>
          <w:p w14:paraId="45B6918C" w14:textId="77777777" w:rsidR="00651F1B" w:rsidRPr="005A1F62" w:rsidRDefault="00651F1B" w:rsidP="00C6229E">
            <w:pPr>
              <w:tabs>
                <w:tab w:val="left" w:pos="709"/>
              </w:tabs>
              <w:jc w:val="center"/>
              <w:rPr>
                <w:rFonts w:eastAsia="Arial Unicode MS"/>
              </w:rPr>
            </w:pPr>
            <w:r w:rsidRPr="005A1F62">
              <w:rPr>
                <w:rFonts w:eastAsia="Arial Unicode MS"/>
              </w:rPr>
              <w:t>21</w:t>
            </w:r>
          </w:p>
        </w:tc>
        <w:tc>
          <w:tcPr>
            <w:tcW w:w="0" w:type="auto"/>
            <w:shd w:val="clear" w:color="auto" w:fill="auto"/>
            <w:vAlign w:val="center"/>
          </w:tcPr>
          <w:p w14:paraId="07FA71F8" w14:textId="0F653704" w:rsidR="00651F1B" w:rsidRPr="005A1F62" w:rsidRDefault="00651F1B" w:rsidP="00C6229E">
            <w:pPr>
              <w:tabs>
                <w:tab w:val="left" w:pos="709"/>
              </w:tabs>
              <w:jc w:val="both"/>
              <w:rPr>
                <w:rFonts w:eastAsia="Arial Unicode MS"/>
              </w:rPr>
            </w:pPr>
            <w:r w:rsidRPr="005A1F62">
              <w:rPr>
                <w:rFonts w:eastAsia="Arial Unicode MS"/>
              </w:rPr>
              <w:t xml:space="preserve">За предшествующие 12 месяцев банк не допускал просрочек по исполнению обязательств, связанных с реализацией операционных рисков (остатки и обороты по счетам 318 и 317, 47418, 90904, остатки по счетам </w:t>
            </w:r>
            <w:r w:rsidRPr="005A1F62">
              <w:rPr>
                <w:rFonts w:eastAsia="Arial Unicode MS"/>
                <w:color w:val="000000"/>
              </w:rPr>
              <w:t>91003 и 91004)</w:t>
            </w:r>
            <w:r w:rsidR="00332F42" w:rsidRPr="005A1F62">
              <w:rPr>
                <w:rFonts w:eastAsia="Arial Unicode MS"/>
                <w:color w:val="000000"/>
              </w:rPr>
              <w:t xml:space="preserve"> </w:t>
            </w:r>
            <w:r w:rsidR="00332F42" w:rsidRPr="005A1F62">
              <w:rPr>
                <w:rFonts w:eastAsia="Calibri"/>
                <w:lang w:eastAsia="en-US"/>
              </w:rPr>
              <w:t>(выполняется / не выполняется)</w:t>
            </w:r>
          </w:p>
        </w:tc>
        <w:tc>
          <w:tcPr>
            <w:tcW w:w="0" w:type="auto"/>
            <w:shd w:val="clear" w:color="auto" w:fill="auto"/>
            <w:noWrap/>
            <w:vAlign w:val="center"/>
          </w:tcPr>
          <w:p w14:paraId="2DF2DCDC" w14:textId="77777777" w:rsidR="00651F1B" w:rsidRPr="005A1F62" w:rsidRDefault="00651F1B" w:rsidP="00C6229E">
            <w:pPr>
              <w:tabs>
                <w:tab w:val="left" w:pos="709"/>
              </w:tabs>
              <w:jc w:val="center"/>
              <w:rPr>
                <w:rFonts w:eastAsia="Arial Unicode MS"/>
              </w:rPr>
            </w:pPr>
            <w:r w:rsidRPr="005A1F62">
              <w:rPr>
                <w:rFonts w:eastAsia="Arial Unicode MS"/>
              </w:rPr>
              <w:t>6</w:t>
            </w:r>
          </w:p>
        </w:tc>
      </w:tr>
      <w:tr w:rsidR="00651F1B" w:rsidRPr="005A1F62" w14:paraId="0BA4824B" w14:textId="77777777" w:rsidTr="00C6229E">
        <w:trPr>
          <w:trHeight w:val="20"/>
        </w:trPr>
        <w:tc>
          <w:tcPr>
            <w:tcW w:w="0" w:type="auto"/>
            <w:shd w:val="clear" w:color="auto" w:fill="auto"/>
            <w:noWrap/>
            <w:vAlign w:val="center"/>
          </w:tcPr>
          <w:p w14:paraId="4954D184" w14:textId="77777777" w:rsidR="00651F1B" w:rsidRPr="005A1F62" w:rsidRDefault="00651F1B" w:rsidP="00C6229E">
            <w:pPr>
              <w:tabs>
                <w:tab w:val="left" w:pos="709"/>
              </w:tabs>
              <w:jc w:val="center"/>
              <w:rPr>
                <w:rFonts w:eastAsia="Arial Unicode MS"/>
              </w:rPr>
            </w:pPr>
            <w:r w:rsidRPr="005A1F62">
              <w:rPr>
                <w:rFonts w:eastAsia="Arial Unicode MS"/>
              </w:rPr>
              <w:t>22</w:t>
            </w:r>
          </w:p>
        </w:tc>
        <w:tc>
          <w:tcPr>
            <w:tcW w:w="0" w:type="auto"/>
            <w:shd w:val="clear" w:color="auto" w:fill="auto"/>
            <w:vAlign w:val="center"/>
          </w:tcPr>
          <w:p w14:paraId="55F68B58" w14:textId="74034ECC" w:rsidR="00651F1B" w:rsidRPr="005A1F62" w:rsidRDefault="007F7204" w:rsidP="00C6229E">
            <w:pPr>
              <w:tabs>
                <w:tab w:val="left" w:pos="709"/>
              </w:tabs>
              <w:jc w:val="both"/>
              <w:rPr>
                <w:rFonts w:eastAsia="Arial Unicode MS"/>
              </w:rPr>
            </w:pPr>
            <w:r w:rsidRPr="005A1F62">
              <w:rPr>
                <w:rFonts w:eastAsia="Arial Unicode MS"/>
              </w:rPr>
              <w:t>А</w:t>
            </w:r>
            <w:r w:rsidR="00651F1B" w:rsidRPr="005A1F62">
              <w:rPr>
                <w:rFonts w:eastAsia="Arial Unicode MS"/>
              </w:rPr>
              <w:t>гентство не выявило существенных ошибок в предоставленной информации (анкета и отчетность)</w:t>
            </w:r>
            <w:r w:rsidR="00332F42" w:rsidRPr="005A1F62">
              <w:rPr>
                <w:rFonts w:eastAsia="Arial Unicode MS"/>
              </w:rPr>
              <w:t xml:space="preserve"> (</w:t>
            </w:r>
            <w:r w:rsidR="00332F42" w:rsidRPr="005A1F62">
              <w:rPr>
                <w:rFonts w:eastAsia="Calibri"/>
                <w:lang w:eastAsia="en-US"/>
              </w:rPr>
              <w:t>выполняется / выполняется частично / не выполняется)</w:t>
            </w:r>
          </w:p>
        </w:tc>
        <w:tc>
          <w:tcPr>
            <w:tcW w:w="0" w:type="auto"/>
            <w:shd w:val="clear" w:color="auto" w:fill="auto"/>
            <w:noWrap/>
            <w:vAlign w:val="center"/>
          </w:tcPr>
          <w:p w14:paraId="6E4C995D" w14:textId="77777777" w:rsidR="00651F1B" w:rsidRPr="005A1F62" w:rsidRDefault="00651F1B" w:rsidP="00C6229E">
            <w:pPr>
              <w:tabs>
                <w:tab w:val="left" w:pos="709"/>
              </w:tabs>
              <w:jc w:val="center"/>
              <w:rPr>
                <w:rFonts w:eastAsia="Arial Unicode MS"/>
              </w:rPr>
            </w:pPr>
            <w:r w:rsidRPr="005A1F62">
              <w:rPr>
                <w:rFonts w:eastAsia="Arial Unicode MS"/>
              </w:rPr>
              <w:t>6</w:t>
            </w:r>
          </w:p>
        </w:tc>
      </w:tr>
      <w:tr w:rsidR="00651F1B" w:rsidRPr="005A1F62" w14:paraId="3DF4B32B" w14:textId="77777777" w:rsidTr="00C6229E">
        <w:trPr>
          <w:trHeight w:val="20"/>
        </w:trPr>
        <w:tc>
          <w:tcPr>
            <w:tcW w:w="0" w:type="auto"/>
            <w:shd w:val="clear" w:color="auto" w:fill="auto"/>
            <w:noWrap/>
            <w:vAlign w:val="center"/>
          </w:tcPr>
          <w:p w14:paraId="41273450" w14:textId="77777777" w:rsidR="00651F1B" w:rsidRPr="005A1F62" w:rsidRDefault="00651F1B" w:rsidP="00C6229E">
            <w:pPr>
              <w:tabs>
                <w:tab w:val="left" w:pos="709"/>
              </w:tabs>
              <w:jc w:val="center"/>
              <w:rPr>
                <w:rFonts w:eastAsia="Arial Unicode MS"/>
              </w:rPr>
            </w:pPr>
            <w:r w:rsidRPr="005A1F62">
              <w:rPr>
                <w:rFonts w:eastAsia="Arial Unicode MS"/>
              </w:rPr>
              <w:t>23</w:t>
            </w:r>
          </w:p>
        </w:tc>
        <w:tc>
          <w:tcPr>
            <w:tcW w:w="0" w:type="auto"/>
            <w:shd w:val="clear" w:color="auto" w:fill="auto"/>
            <w:vAlign w:val="center"/>
          </w:tcPr>
          <w:p w14:paraId="180EBC54" w14:textId="78293C83" w:rsidR="00651F1B" w:rsidRPr="005A1F62" w:rsidRDefault="00651F1B" w:rsidP="00C6229E">
            <w:pPr>
              <w:tabs>
                <w:tab w:val="left" w:pos="709"/>
              </w:tabs>
              <w:jc w:val="both"/>
              <w:rPr>
                <w:rFonts w:eastAsia="Arial Unicode MS"/>
              </w:rPr>
            </w:pPr>
            <w:r w:rsidRPr="005A1F62">
              <w:rPr>
                <w:rFonts w:eastAsia="Arial Unicode MS"/>
              </w:rPr>
              <w:t xml:space="preserve">У </w:t>
            </w:r>
            <w:r w:rsidR="007F7204" w:rsidRPr="005A1F62">
              <w:rPr>
                <w:rFonts w:eastAsia="Arial Unicode MS"/>
              </w:rPr>
              <w:t>А</w:t>
            </w:r>
            <w:r w:rsidRPr="005A1F62">
              <w:rPr>
                <w:rFonts w:eastAsia="Arial Unicode MS"/>
              </w:rPr>
              <w:t>гентства нет информации о значимых случаях реализации операционных рисков, связанных с противоправными действиями третьих лиц и служащих банка, либо последствия реализованных операционных рисков эффективно урегулированы с минимизацией финансовых потерь и ущерба деловой репутации</w:t>
            </w:r>
            <w:r w:rsidR="00332F42" w:rsidRPr="005A1F62">
              <w:rPr>
                <w:rFonts w:eastAsia="Arial Unicode MS"/>
              </w:rPr>
              <w:t xml:space="preserve"> (</w:t>
            </w:r>
            <w:r w:rsidR="00332F42" w:rsidRPr="005A1F62">
              <w:rPr>
                <w:rFonts w:eastAsia="Calibri"/>
                <w:lang w:eastAsia="en-US"/>
              </w:rPr>
              <w:t>выполняется / выполняется частично / не выполняется)</w:t>
            </w:r>
          </w:p>
        </w:tc>
        <w:tc>
          <w:tcPr>
            <w:tcW w:w="0" w:type="auto"/>
            <w:shd w:val="clear" w:color="auto" w:fill="auto"/>
            <w:noWrap/>
            <w:vAlign w:val="center"/>
          </w:tcPr>
          <w:p w14:paraId="085B9F23" w14:textId="77777777" w:rsidR="00651F1B" w:rsidRPr="005A1F62" w:rsidRDefault="00651F1B" w:rsidP="00C6229E">
            <w:pPr>
              <w:tabs>
                <w:tab w:val="left" w:pos="709"/>
              </w:tabs>
              <w:jc w:val="center"/>
              <w:rPr>
                <w:rFonts w:eastAsia="Arial Unicode MS"/>
              </w:rPr>
            </w:pPr>
            <w:r w:rsidRPr="005A1F62">
              <w:rPr>
                <w:rFonts w:eastAsia="Arial Unicode MS"/>
              </w:rPr>
              <w:t>3</w:t>
            </w:r>
          </w:p>
        </w:tc>
      </w:tr>
    </w:tbl>
    <w:p w14:paraId="6F8A4DF6" w14:textId="77777777" w:rsidR="00651F1B" w:rsidRPr="005A1F62" w:rsidRDefault="00651F1B" w:rsidP="00651F1B">
      <w:pPr>
        <w:tabs>
          <w:tab w:val="left" w:pos="709"/>
          <w:tab w:val="left" w:pos="6486"/>
        </w:tabs>
        <w:ind w:firstLine="567"/>
        <w:rPr>
          <w:u w:val="single"/>
        </w:rPr>
      </w:pPr>
    </w:p>
    <w:p w14:paraId="27DDD24D" w14:textId="77777777" w:rsidR="00651F1B" w:rsidRPr="005A1F62" w:rsidRDefault="00651F1B" w:rsidP="00651F1B">
      <w:pPr>
        <w:tabs>
          <w:tab w:val="left" w:pos="709"/>
          <w:tab w:val="left" w:pos="6486"/>
        </w:tabs>
        <w:ind w:firstLine="567"/>
      </w:pPr>
      <w:r w:rsidRPr="005A1F62">
        <w:t>Управление операционным риском, связанным с кассой</w:t>
      </w:r>
    </w:p>
    <w:p w14:paraId="03D9983D" w14:textId="77777777" w:rsidR="00651F1B" w:rsidRPr="005A1F62" w:rsidRDefault="00651F1B" w:rsidP="00651F1B">
      <w:pPr>
        <w:tabs>
          <w:tab w:val="left" w:pos="709"/>
        </w:tabs>
        <w:ind w:firstLine="567"/>
      </w:pPr>
      <w:r w:rsidRPr="005A1F62">
        <w:t>Изначально все банки получают 1 балл за управление операционным риском, связанным с кассой, а затем из него производятся вычеты:</w:t>
      </w:r>
    </w:p>
    <w:p w14:paraId="4DB1FB7B" w14:textId="77777777" w:rsidR="00651F1B" w:rsidRPr="005A1F62" w:rsidRDefault="00651F1B" w:rsidP="00B73C6D">
      <w:pPr>
        <w:pStyle w:val="afb"/>
        <w:numPr>
          <w:ilvl w:val="0"/>
          <w:numId w:val="18"/>
        </w:numPr>
        <w:tabs>
          <w:tab w:val="left" w:pos="709"/>
        </w:tabs>
        <w:ind w:left="0" w:firstLine="567"/>
        <w:jc w:val="both"/>
      </w:pPr>
      <w:r w:rsidRPr="005A1F62">
        <w:t>Если доля кассы в активах превышает 7% на последнюю дату или в среднем за последние полгода, то вычитается 0,5, если показатель превышает 15%, то вычет 1. При этом если для кассы характерна низкая оборачиваемость (менее пяти раз за последний месяц или в среднем за последние полгода), то дополнительно вычитается 0,5 балла.</w:t>
      </w:r>
    </w:p>
    <w:p w14:paraId="400974AD" w14:textId="2ECDB61D" w:rsidR="00651F1B" w:rsidRPr="005A1F62" w:rsidRDefault="00651F1B" w:rsidP="00B73C6D">
      <w:pPr>
        <w:pStyle w:val="afb"/>
        <w:numPr>
          <w:ilvl w:val="0"/>
          <w:numId w:val="18"/>
        </w:numPr>
        <w:tabs>
          <w:tab w:val="left" w:pos="709"/>
        </w:tabs>
        <w:ind w:left="0" w:firstLine="567"/>
        <w:jc w:val="both"/>
      </w:pPr>
      <w:r w:rsidRPr="005A1F62">
        <w:t>Если застраховано менее 60% от счета 202 на последнюю дату или наличные средства застрахованы в страховой компании с условным рейтинговым классом ниже ru</w:t>
      </w:r>
      <w:r w:rsidRPr="005A1F62">
        <w:rPr>
          <w:lang w:val="en-US"/>
        </w:rPr>
        <w:t>BBB</w:t>
      </w:r>
      <w:r w:rsidRPr="005A1F62">
        <w:t>+, то вычитается 0,5 балла.</w:t>
      </w:r>
    </w:p>
    <w:p w14:paraId="45CDE644" w14:textId="77777777" w:rsidR="00651F1B" w:rsidRPr="005A1F62" w:rsidRDefault="00651F1B" w:rsidP="00B73C6D">
      <w:pPr>
        <w:pStyle w:val="afb"/>
        <w:numPr>
          <w:ilvl w:val="0"/>
          <w:numId w:val="18"/>
        </w:numPr>
        <w:tabs>
          <w:tab w:val="left" w:pos="709"/>
        </w:tabs>
        <w:ind w:left="0" w:firstLine="567"/>
        <w:jc w:val="both"/>
      </w:pPr>
      <w:r w:rsidRPr="005A1F62">
        <w:t xml:space="preserve">Если дебетовые обороты по счету 202 превышают 70% активов (за последний месяц или в среднем за последние полгода), то вычет составляет 0,5, если превышают более 100%, то вычитается 1. </w:t>
      </w:r>
    </w:p>
    <w:p w14:paraId="07079B3E" w14:textId="77777777" w:rsidR="00651F1B" w:rsidRPr="005A1F62" w:rsidRDefault="00651F1B" w:rsidP="00651F1B">
      <w:pPr>
        <w:tabs>
          <w:tab w:val="left" w:pos="709"/>
        </w:tabs>
        <w:ind w:firstLine="567"/>
        <w:jc w:val="both"/>
      </w:pPr>
      <w:r w:rsidRPr="005A1F62">
        <w:t>Возможные корректировки:</w:t>
      </w:r>
    </w:p>
    <w:p w14:paraId="49DB5983" w14:textId="4CDEDD54" w:rsidR="00651F1B" w:rsidRPr="005A1F62" w:rsidRDefault="00651F1B" w:rsidP="00651F1B">
      <w:pPr>
        <w:tabs>
          <w:tab w:val="left" w:pos="709"/>
        </w:tabs>
        <w:ind w:firstLine="567"/>
        <w:jc w:val="both"/>
      </w:pPr>
      <w:r w:rsidRPr="005A1F62">
        <w:t xml:space="preserve">1. Аналитик имеет право штрафовать банк за задержки в ответах на запросы </w:t>
      </w:r>
      <w:r w:rsidR="007F7204" w:rsidRPr="005A1F62">
        <w:t>А</w:t>
      </w:r>
      <w:r w:rsidRPr="005A1F62">
        <w:t xml:space="preserve">гентства в трех показателях: за управление операционными рисками, за IT-обеспечение (при невозможности IT-обеспечения подготовить расчет запрошенных показателей / форм) и за информационную прозрачность (при нежелании банка предоставлять запрошенную информацию). </w:t>
      </w:r>
    </w:p>
    <w:p w14:paraId="7F05D512" w14:textId="77777777" w:rsidR="00651F1B" w:rsidRPr="005A1F62" w:rsidRDefault="00651F1B" w:rsidP="00651F1B">
      <w:pPr>
        <w:tabs>
          <w:tab w:val="left" w:pos="709"/>
        </w:tabs>
        <w:ind w:firstLine="567"/>
        <w:jc w:val="both"/>
      </w:pPr>
      <w:r w:rsidRPr="005A1F62">
        <w:lastRenderedPageBreak/>
        <w:t xml:space="preserve">2. При оценке операционных рисков </w:t>
      </w:r>
      <w:proofErr w:type="spellStart"/>
      <w:r w:rsidRPr="005A1F62">
        <w:t>санаторов</w:t>
      </w:r>
      <w:proofErr w:type="spellEnd"/>
      <w:r w:rsidRPr="005A1F62">
        <w:t xml:space="preserve"> аналитик имеет право понизить балл на 0,5, если рейтингуемый банк является </w:t>
      </w:r>
      <w:proofErr w:type="spellStart"/>
      <w:r w:rsidRPr="005A1F62">
        <w:t>санатором</w:t>
      </w:r>
      <w:proofErr w:type="spellEnd"/>
      <w:r w:rsidRPr="005A1F62">
        <w:t xml:space="preserve"> другого банка. Вероятность реализации операционных рисков банка, принимающего другой банк на санацию, в любом случае и вне зависимости от каких-либо иных факторов возрастет в связи с отвлечением персонала для финансового оздоровления санируемого банка.</w:t>
      </w:r>
    </w:p>
    <w:p w14:paraId="1DCC159E" w14:textId="77777777" w:rsidR="00651F1B" w:rsidRPr="005A1F62" w:rsidRDefault="00651F1B" w:rsidP="00651F1B">
      <w:pPr>
        <w:tabs>
          <w:tab w:val="left" w:pos="709"/>
        </w:tabs>
        <w:ind w:firstLine="567"/>
        <w:jc w:val="both"/>
      </w:pPr>
      <w:r w:rsidRPr="005A1F62">
        <w:t xml:space="preserve">3. При оценке операционных и репутационных рисков балл может быть понижен на 0,5-1, если в течение последних 12 месяцев банк участвовал в сделках слияния и поглощения, при этом есть основания полагать, что процедура </w:t>
      </w:r>
      <w:r w:rsidRPr="005A1F62">
        <w:rPr>
          <w:bCs/>
          <w:lang w:val="en-US"/>
        </w:rPr>
        <w:t>d</w:t>
      </w:r>
      <w:proofErr w:type="spellStart"/>
      <w:r w:rsidRPr="005A1F62">
        <w:rPr>
          <w:bCs/>
        </w:rPr>
        <w:t>ue</w:t>
      </w:r>
      <w:proofErr w:type="spellEnd"/>
      <w:r w:rsidRPr="005A1F62">
        <w:rPr>
          <w:bCs/>
        </w:rPr>
        <w:t xml:space="preserve"> </w:t>
      </w:r>
      <w:r w:rsidRPr="005A1F62">
        <w:rPr>
          <w:bCs/>
          <w:lang w:val="en-US"/>
        </w:rPr>
        <w:t>d</w:t>
      </w:r>
      <w:proofErr w:type="spellStart"/>
      <w:r w:rsidRPr="005A1F62">
        <w:rPr>
          <w:bCs/>
        </w:rPr>
        <w:t>iligence</w:t>
      </w:r>
      <w:proofErr w:type="spellEnd"/>
      <w:r w:rsidRPr="005A1F62">
        <w:rPr>
          <w:rStyle w:val="a9"/>
          <w:bCs/>
        </w:rPr>
        <w:footnoteReference w:id="37"/>
      </w:r>
      <w:r w:rsidRPr="005A1F62">
        <w:t xml:space="preserve"> была проведена недостаточно консервативно.</w:t>
      </w:r>
    </w:p>
    <w:p w14:paraId="39660E76" w14:textId="77777777" w:rsidR="00651F1B" w:rsidRPr="005A1F62" w:rsidRDefault="00651F1B" w:rsidP="00651F1B">
      <w:pPr>
        <w:tabs>
          <w:tab w:val="left" w:pos="709"/>
        </w:tabs>
        <w:jc w:val="both"/>
      </w:pPr>
    </w:p>
    <w:p w14:paraId="3E6B6161" w14:textId="77777777" w:rsidR="009B681E" w:rsidRPr="005A1F62" w:rsidRDefault="009B681E" w:rsidP="00B73C6D">
      <w:pPr>
        <w:pStyle w:val="3"/>
        <w:numPr>
          <w:ilvl w:val="0"/>
          <w:numId w:val="19"/>
        </w:numPr>
        <w:tabs>
          <w:tab w:val="left" w:pos="709"/>
        </w:tabs>
        <w:spacing w:before="0" w:after="0"/>
        <w:ind w:left="0" w:firstLine="567"/>
        <w:rPr>
          <w:rFonts w:ascii="Times New Roman" w:hAnsi="Times New Roman" w:cs="Times New Roman"/>
        </w:rPr>
      </w:pPr>
      <w:bookmarkStart w:id="227" w:name="_Toc44433471"/>
      <w:r w:rsidRPr="005A1F62">
        <w:rPr>
          <w:rFonts w:ascii="Times New Roman" w:hAnsi="Times New Roman" w:cs="Times New Roman"/>
        </w:rPr>
        <w:t>Стратегическое обеспечение</w:t>
      </w:r>
      <w:bookmarkEnd w:id="219"/>
      <w:bookmarkEnd w:id="220"/>
      <w:bookmarkEnd w:id="221"/>
      <w:bookmarkEnd w:id="227"/>
    </w:p>
    <w:p w14:paraId="12B7BD59" w14:textId="77777777" w:rsidR="00C6229E" w:rsidRPr="005A1F62" w:rsidRDefault="00C6229E" w:rsidP="00DC2FED">
      <w:pPr>
        <w:tabs>
          <w:tab w:val="left" w:pos="709"/>
        </w:tabs>
        <w:ind w:firstLine="567"/>
        <w:jc w:val="both"/>
        <w:rPr>
          <w:u w:val="single"/>
        </w:rPr>
      </w:pPr>
    </w:p>
    <w:p w14:paraId="293CD7FF" w14:textId="26F150DC" w:rsidR="00A111C1" w:rsidRPr="005A1F62" w:rsidRDefault="009B681E" w:rsidP="00DC2FED">
      <w:pPr>
        <w:tabs>
          <w:tab w:val="left" w:pos="709"/>
        </w:tabs>
        <w:ind w:firstLine="567"/>
        <w:jc w:val="both"/>
      </w:pPr>
      <w:r w:rsidRPr="005A1F62">
        <w:rPr>
          <w:u w:val="single"/>
        </w:rPr>
        <w:t>Цель оценки</w:t>
      </w:r>
      <w:r w:rsidR="0035544A" w:rsidRPr="005A1F62">
        <w:rPr>
          <w:u w:val="single"/>
        </w:rPr>
        <w:t>:</w:t>
      </w:r>
      <w:r w:rsidR="0035544A" w:rsidRPr="005A1F62">
        <w:t xml:space="preserve"> о</w:t>
      </w:r>
      <w:r w:rsidRPr="005A1F62">
        <w:t>пределить, имеет ли деятельность банка достаточное стратегическое обеспечение, т</w:t>
      </w:r>
      <w:r w:rsidR="00562357" w:rsidRPr="005A1F62">
        <w:t>о есть</w:t>
      </w:r>
      <w:r w:rsidRPr="005A1F62">
        <w:t xml:space="preserve"> подчинена ли она стратегическим целям (средне- и долгосрочным), и каким образом организован процесс определения этих целей.</w:t>
      </w:r>
    </w:p>
    <w:p w14:paraId="1E371599" w14:textId="0D83C848" w:rsidR="009B681E" w:rsidRPr="005A1F62" w:rsidRDefault="003B6FB2" w:rsidP="00DC2FED">
      <w:pPr>
        <w:tabs>
          <w:tab w:val="left" w:pos="709"/>
        </w:tabs>
        <w:ind w:firstLine="567"/>
        <w:jc w:val="both"/>
      </w:pPr>
      <w:r w:rsidRPr="005A1F62">
        <w:t xml:space="preserve">Отсутствие актуальных стратегических документов не позволяет </w:t>
      </w:r>
      <w:r w:rsidR="007F7204" w:rsidRPr="005A1F62">
        <w:t>А</w:t>
      </w:r>
      <w:r w:rsidRPr="005A1F62">
        <w:t xml:space="preserve">гентству оценить возможности достижения поставленных целей и их влияния на конкурентоспособность банка, а также перспективы развития </w:t>
      </w:r>
      <w:r w:rsidR="00562357" w:rsidRPr="005A1F62">
        <w:t xml:space="preserve">банка </w:t>
      </w:r>
      <w:r w:rsidRPr="005A1F62">
        <w:t>в среднесрочном и долгосрочном периоде.</w:t>
      </w:r>
      <w:r w:rsidR="00A111C1" w:rsidRPr="005A1F62">
        <w:t xml:space="preserve"> Помимо наличия формальных документов по стратегии </w:t>
      </w:r>
      <w:r w:rsidR="007F7204" w:rsidRPr="005A1F62">
        <w:t>А</w:t>
      </w:r>
      <w:r w:rsidR="00A111C1" w:rsidRPr="005A1F62">
        <w:t xml:space="preserve">гентство </w:t>
      </w:r>
      <w:r w:rsidR="00D36FBC" w:rsidRPr="005A1F62">
        <w:t xml:space="preserve">стремится </w:t>
      </w:r>
      <w:r w:rsidR="00A111C1" w:rsidRPr="005A1F62">
        <w:t>оцени</w:t>
      </w:r>
      <w:r w:rsidR="00D36FBC" w:rsidRPr="005A1F62">
        <w:t>ть</w:t>
      </w:r>
      <w:r w:rsidR="00A111C1" w:rsidRPr="005A1F62">
        <w:t xml:space="preserve"> понима</w:t>
      </w:r>
      <w:r w:rsidR="00D36FBC" w:rsidRPr="005A1F62">
        <w:t>ние</w:t>
      </w:r>
      <w:r w:rsidR="00A111C1" w:rsidRPr="005A1F62">
        <w:t xml:space="preserve"> менеджментом </w:t>
      </w:r>
      <w:r w:rsidR="00D36FBC" w:rsidRPr="005A1F62">
        <w:t>стратегии развития, что важно для прогнозирования финансовых показателей, влияющих на кредитоспособность банка.</w:t>
      </w:r>
    </w:p>
    <w:p w14:paraId="219D710A" w14:textId="77777777" w:rsidR="007F7A20" w:rsidRPr="005A1F62" w:rsidRDefault="007F7A20" w:rsidP="00DC2FED">
      <w:pPr>
        <w:tabs>
          <w:tab w:val="left" w:pos="709"/>
        </w:tabs>
        <w:ind w:firstLine="567"/>
        <w:jc w:val="both"/>
      </w:pPr>
    </w:p>
    <w:p w14:paraId="42445EC1" w14:textId="77777777" w:rsidR="009B681E" w:rsidRPr="005A1F62" w:rsidRDefault="009B681E" w:rsidP="00DC2FED">
      <w:pPr>
        <w:tabs>
          <w:tab w:val="left" w:pos="709"/>
        </w:tabs>
        <w:ind w:firstLine="567"/>
        <w:rPr>
          <w:u w:val="single"/>
        </w:rPr>
      </w:pPr>
      <w:r w:rsidRPr="005A1F62">
        <w:rPr>
          <w:u w:val="single"/>
        </w:rPr>
        <w:t>Алгоритм выставления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8252"/>
      </w:tblGrid>
      <w:tr w:rsidR="009B681E" w:rsidRPr="005A1F62" w14:paraId="0AA73B8E" w14:textId="77777777" w:rsidTr="00C6229E">
        <w:tc>
          <w:tcPr>
            <w:tcW w:w="585" w:type="pct"/>
            <w:shd w:val="clear" w:color="auto" w:fill="D9D9D9" w:themeFill="background1" w:themeFillShade="D9"/>
            <w:vAlign w:val="center"/>
          </w:tcPr>
          <w:p w14:paraId="53F3F997" w14:textId="77777777" w:rsidR="009B681E" w:rsidRPr="005A1F62" w:rsidRDefault="009B681E" w:rsidP="00C6229E">
            <w:pPr>
              <w:tabs>
                <w:tab w:val="left" w:pos="709"/>
              </w:tabs>
              <w:jc w:val="center"/>
              <w:rPr>
                <w:b/>
              </w:rPr>
            </w:pPr>
            <w:r w:rsidRPr="005A1F62">
              <w:rPr>
                <w:b/>
              </w:rPr>
              <w:t>Оценка</w:t>
            </w:r>
          </w:p>
        </w:tc>
        <w:tc>
          <w:tcPr>
            <w:tcW w:w="4415" w:type="pct"/>
            <w:shd w:val="clear" w:color="auto" w:fill="D9D9D9" w:themeFill="background1" w:themeFillShade="D9"/>
            <w:vAlign w:val="center"/>
          </w:tcPr>
          <w:p w14:paraId="51BAE9C6" w14:textId="77777777" w:rsidR="009B681E" w:rsidRPr="005A1F62" w:rsidRDefault="009B681E" w:rsidP="00C6229E">
            <w:pPr>
              <w:tabs>
                <w:tab w:val="left" w:pos="709"/>
              </w:tabs>
              <w:jc w:val="both"/>
              <w:rPr>
                <w:b/>
              </w:rPr>
            </w:pPr>
            <w:r w:rsidRPr="005A1F62">
              <w:rPr>
                <w:b/>
              </w:rPr>
              <w:t xml:space="preserve">Условия присвоения оценки </w:t>
            </w:r>
          </w:p>
        </w:tc>
      </w:tr>
      <w:tr w:rsidR="009B681E" w:rsidRPr="005A1F62" w14:paraId="380BD4FB" w14:textId="77777777" w:rsidTr="00C6229E">
        <w:tc>
          <w:tcPr>
            <w:tcW w:w="585" w:type="pct"/>
            <w:vAlign w:val="center"/>
          </w:tcPr>
          <w:p w14:paraId="4CA47C45" w14:textId="77777777" w:rsidR="009B681E" w:rsidRPr="005A1F62" w:rsidRDefault="009B681E" w:rsidP="00C6229E">
            <w:pPr>
              <w:tabs>
                <w:tab w:val="left" w:pos="709"/>
              </w:tabs>
              <w:jc w:val="center"/>
              <w:rPr>
                <w:b/>
              </w:rPr>
            </w:pPr>
            <w:r w:rsidRPr="005A1F62">
              <w:rPr>
                <w:b/>
              </w:rPr>
              <w:t>1</w:t>
            </w:r>
          </w:p>
        </w:tc>
        <w:tc>
          <w:tcPr>
            <w:tcW w:w="4415" w:type="pct"/>
            <w:vAlign w:val="center"/>
          </w:tcPr>
          <w:p w14:paraId="5D403A0F" w14:textId="73B33185" w:rsidR="009B681E" w:rsidRPr="005A1F62" w:rsidRDefault="009B681E" w:rsidP="00C6229E">
            <w:pPr>
              <w:numPr>
                <w:ilvl w:val="0"/>
                <w:numId w:val="3"/>
              </w:numPr>
              <w:tabs>
                <w:tab w:val="clear" w:pos="935"/>
                <w:tab w:val="left" w:pos="709"/>
                <w:tab w:val="num" w:pos="755"/>
              </w:tabs>
              <w:ind w:left="0" w:firstLine="0"/>
              <w:jc w:val="both"/>
            </w:pPr>
            <w:r w:rsidRPr="005A1F62">
              <w:t>Банк имеет в наличии все необходимые стратегические документы (</w:t>
            </w:r>
            <w:r w:rsidR="000D5A25" w:rsidRPr="005A1F62">
              <w:t xml:space="preserve">поквартальный финансовый план на год, детализированная по годам стратегия развития на </w:t>
            </w:r>
            <w:r w:rsidR="007108E2" w:rsidRPr="005A1F62">
              <w:t>три</w:t>
            </w:r>
            <w:r w:rsidR="000D5A25" w:rsidRPr="005A1F62">
              <w:t>-</w:t>
            </w:r>
            <w:r w:rsidR="007108E2" w:rsidRPr="005A1F62">
              <w:t xml:space="preserve">пять </w:t>
            </w:r>
            <w:r w:rsidR="000D5A25" w:rsidRPr="005A1F62">
              <w:t>лет</w:t>
            </w:r>
            <w:r w:rsidRPr="005A1F62">
              <w:t>)</w:t>
            </w:r>
            <w:r w:rsidR="007108E2" w:rsidRPr="005A1F62">
              <w:t>;</w:t>
            </w:r>
          </w:p>
          <w:p w14:paraId="040026DF" w14:textId="4E1FFC4A" w:rsidR="009B681E" w:rsidRPr="005A1F62" w:rsidRDefault="007108E2" w:rsidP="00C6229E">
            <w:pPr>
              <w:numPr>
                <w:ilvl w:val="0"/>
                <w:numId w:val="3"/>
              </w:numPr>
              <w:tabs>
                <w:tab w:val="clear" w:pos="935"/>
                <w:tab w:val="left" w:pos="709"/>
                <w:tab w:val="num" w:pos="755"/>
              </w:tabs>
              <w:ind w:left="0" w:firstLine="0"/>
              <w:jc w:val="both"/>
            </w:pPr>
            <w:r w:rsidRPr="005A1F62">
              <w:t xml:space="preserve">в </w:t>
            </w:r>
            <w:r w:rsidR="009B681E" w:rsidRPr="005A1F62">
              <w:t xml:space="preserve">стратегических документах четко определены цели банка (методология </w:t>
            </w:r>
            <w:r w:rsidR="009B681E" w:rsidRPr="005A1F62">
              <w:rPr>
                <w:lang w:val="en-US"/>
              </w:rPr>
              <w:t>SMART</w:t>
            </w:r>
            <w:r w:rsidR="009B681E" w:rsidRPr="005A1F62">
              <w:rPr>
                <w:rStyle w:val="a9"/>
                <w:lang w:val="en-US"/>
              </w:rPr>
              <w:footnoteReference w:id="38"/>
            </w:r>
            <w:r w:rsidR="009B681E" w:rsidRPr="005A1F62">
              <w:t>)</w:t>
            </w:r>
            <w:r w:rsidRPr="005A1F62">
              <w:t>;</w:t>
            </w:r>
          </w:p>
          <w:p w14:paraId="14DFEF30" w14:textId="7BC6C7F1" w:rsidR="009B681E" w:rsidRPr="005A1F62" w:rsidRDefault="007108E2" w:rsidP="00C6229E">
            <w:pPr>
              <w:numPr>
                <w:ilvl w:val="0"/>
                <w:numId w:val="3"/>
              </w:numPr>
              <w:tabs>
                <w:tab w:val="clear" w:pos="935"/>
                <w:tab w:val="left" w:pos="709"/>
                <w:tab w:val="num" w:pos="755"/>
              </w:tabs>
              <w:ind w:left="0" w:firstLine="0"/>
              <w:jc w:val="both"/>
            </w:pPr>
            <w:r w:rsidRPr="005A1F62">
              <w:t xml:space="preserve">стратегия </w:t>
            </w:r>
            <w:r w:rsidR="009B681E" w:rsidRPr="005A1F62">
              <w:t>содержит перечень ключевых сегментов, анализ конкурентной среды, сильных и слабых сторон банка относительно конкурентов</w:t>
            </w:r>
            <w:r w:rsidRPr="005A1F62">
              <w:t>;</w:t>
            </w:r>
          </w:p>
          <w:p w14:paraId="6DE7C46C" w14:textId="0DD62D9C" w:rsidR="009B681E" w:rsidRPr="005A1F62" w:rsidRDefault="007108E2" w:rsidP="00C6229E">
            <w:pPr>
              <w:numPr>
                <w:ilvl w:val="0"/>
                <w:numId w:val="3"/>
              </w:numPr>
              <w:tabs>
                <w:tab w:val="clear" w:pos="935"/>
                <w:tab w:val="left" w:pos="709"/>
                <w:tab w:val="num" w:pos="755"/>
              </w:tabs>
              <w:ind w:left="0" w:firstLine="0"/>
              <w:jc w:val="both"/>
            </w:pPr>
            <w:r w:rsidRPr="005A1F62">
              <w:t xml:space="preserve">стратегия </w:t>
            </w:r>
            <w:r w:rsidR="009B681E" w:rsidRPr="005A1F62">
              <w:t>учитывает актуальные макроэкономические параметры (</w:t>
            </w:r>
            <w:r w:rsidR="00CD2645" w:rsidRPr="005A1F62">
              <w:t>в т</w:t>
            </w:r>
            <w:r w:rsidR="00562357" w:rsidRPr="005A1F62">
              <w:t>ом числе</w:t>
            </w:r>
            <w:r w:rsidR="00CD2645" w:rsidRPr="005A1F62">
              <w:t xml:space="preserve"> </w:t>
            </w:r>
            <w:r w:rsidR="009B681E" w:rsidRPr="005A1F62">
              <w:t>в качестве одного из сценариев)</w:t>
            </w:r>
            <w:r w:rsidRPr="005A1F62">
              <w:t>;</w:t>
            </w:r>
          </w:p>
          <w:p w14:paraId="6F676814" w14:textId="012E8086" w:rsidR="00CE3789" w:rsidRPr="005A1F62" w:rsidRDefault="007108E2" w:rsidP="00C6229E">
            <w:pPr>
              <w:numPr>
                <w:ilvl w:val="0"/>
                <w:numId w:val="3"/>
              </w:numPr>
              <w:tabs>
                <w:tab w:val="clear" w:pos="935"/>
                <w:tab w:val="left" w:pos="709"/>
                <w:tab w:val="num" w:pos="755"/>
              </w:tabs>
              <w:ind w:left="0" w:firstLine="0"/>
              <w:jc w:val="both"/>
            </w:pPr>
            <w:r w:rsidRPr="005A1F62">
              <w:t xml:space="preserve">определены </w:t>
            </w:r>
            <w:r w:rsidR="00CE3789" w:rsidRPr="005A1F62">
              <w:t>ответственные сотрудники за достижение стратегических целей</w:t>
            </w:r>
            <w:r w:rsidRPr="005A1F62">
              <w:t>;</w:t>
            </w:r>
          </w:p>
          <w:p w14:paraId="6D10C96A" w14:textId="6671651F" w:rsidR="009B681E" w:rsidRPr="005A1F62" w:rsidRDefault="007108E2" w:rsidP="00C6229E">
            <w:pPr>
              <w:numPr>
                <w:ilvl w:val="0"/>
                <w:numId w:val="3"/>
              </w:numPr>
              <w:tabs>
                <w:tab w:val="clear" w:pos="935"/>
                <w:tab w:val="left" w:pos="709"/>
                <w:tab w:val="num" w:pos="755"/>
              </w:tabs>
              <w:ind w:left="0" w:firstLine="0"/>
              <w:jc w:val="both"/>
            </w:pPr>
            <w:r w:rsidRPr="005A1F62">
              <w:t xml:space="preserve">движение </w:t>
            </w:r>
            <w:r w:rsidR="009B681E" w:rsidRPr="005A1F62">
              <w:t xml:space="preserve">в направлении заданных целей </w:t>
            </w:r>
            <w:r w:rsidR="00CE3789" w:rsidRPr="005A1F62">
              <w:t xml:space="preserve">соответствует возможностям банка в сложившейся рыночной конъюнктуре (целевые темпы роста отдельных показателей значительно не превышают прогнозные значения по банковскому сектору) и </w:t>
            </w:r>
            <w:r w:rsidR="009B681E" w:rsidRPr="005A1F62">
              <w:t xml:space="preserve">способствует усилению </w:t>
            </w:r>
            <w:r w:rsidR="00CE3789" w:rsidRPr="005A1F62">
              <w:t xml:space="preserve">его </w:t>
            </w:r>
            <w:r w:rsidR="009B681E" w:rsidRPr="005A1F62">
              <w:t>конкурентных позиций</w:t>
            </w:r>
          </w:p>
        </w:tc>
      </w:tr>
      <w:tr w:rsidR="009B681E" w:rsidRPr="005A1F62" w14:paraId="7431095A" w14:textId="77777777" w:rsidTr="00C6229E">
        <w:tc>
          <w:tcPr>
            <w:tcW w:w="585" w:type="pct"/>
            <w:vAlign w:val="center"/>
          </w:tcPr>
          <w:p w14:paraId="38F66332" w14:textId="77777777" w:rsidR="009B681E" w:rsidRPr="005A1F62" w:rsidRDefault="009B681E" w:rsidP="00C6229E">
            <w:pPr>
              <w:tabs>
                <w:tab w:val="left" w:pos="709"/>
              </w:tabs>
              <w:jc w:val="center"/>
              <w:rPr>
                <w:b/>
              </w:rPr>
            </w:pPr>
            <w:r w:rsidRPr="005A1F62">
              <w:rPr>
                <w:b/>
              </w:rPr>
              <w:t>0,5</w:t>
            </w:r>
          </w:p>
        </w:tc>
        <w:tc>
          <w:tcPr>
            <w:tcW w:w="4415" w:type="pct"/>
            <w:vAlign w:val="center"/>
          </w:tcPr>
          <w:p w14:paraId="5F484FFA" w14:textId="77777777" w:rsidR="009B681E" w:rsidRPr="005A1F62" w:rsidRDefault="009B681E" w:rsidP="00C6229E">
            <w:pPr>
              <w:tabs>
                <w:tab w:val="left" w:pos="709"/>
              </w:tabs>
              <w:jc w:val="both"/>
            </w:pPr>
            <w:r w:rsidRPr="005A1F62">
              <w:t>Из вышеприведенных условий не выполнено одно (но не второе и не последнее)</w:t>
            </w:r>
          </w:p>
        </w:tc>
      </w:tr>
      <w:tr w:rsidR="009B681E" w:rsidRPr="005A1F62" w14:paraId="50F6E50D" w14:textId="77777777" w:rsidTr="00C6229E">
        <w:tc>
          <w:tcPr>
            <w:tcW w:w="585" w:type="pct"/>
            <w:vAlign w:val="center"/>
          </w:tcPr>
          <w:p w14:paraId="1840B23E" w14:textId="77777777" w:rsidR="009B681E" w:rsidRPr="005A1F62" w:rsidRDefault="009B681E" w:rsidP="00C6229E">
            <w:pPr>
              <w:tabs>
                <w:tab w:val="left" w:pos="709"/>
              </w:tabs>
              <w:jc w:val="center"/>
              <w:rPr>
                <w:b/>
              </w:rPr>
            </w:pPr>
            <w:r w:rsidRPr="005A1F62">
              <w:rPr>
                <w:b/>
              </w:rPr>
              <w:t>0</w:t>
            </w:r>
          </w:p>
        </w:tc>
        <w:tc>
          <w:tcPr>
            <w:tcW w:w="4415" w:type="pct"/>
            <w:vAlign w:val="center"/>
          </w:tcPr>
          <w:p w14:paraId="0502A169" w14:textId="77777777" w:rsidR="009B681E" w:rsidRPr="005A1F62" w:rsidRDefault="009B681E" w:rsidP="00C6229E">
            <w:pPr>
              <w:tabs>
                <w:tab w:val="left" w:pos="709"/>
              </w:tabs>
              <w:jc w:val="both"/>
            </w:pPr>
            <w:r w:rsidRPr="005A1F62">
              <w:t xml:space="preserve">Из вышеприведенных условий не </w:t>
            </w:r>
            <w:r w:rsidR="00562357" w:rsidRPr="005A1F62">
              <w:t xml:space="preserve">выполнены </w:t>
            </w:r>
            <w:r w:rsidRPr="005A1F62">
              <w:t>два</w:t>
            </w:r>
            <w:r w:rsidR="00562357" w:rsidRPr="005A1F62">
              <w:t>,</w:t>
            </w:r>
            <w:r w:rsidRPr="005A1F62">
              <w:t xml:space="preserve"> </w:t>
            </w:r>
            <w:r w:rsidR="00562357" w:rsidRPr="005A1F62">
              <w:t xml:space="preserve">или </w:t>
            </w:r>
            <w:r w:rsidRPr="005A1F62">
              <w:t>не выполнено второе условие</w:t>
            </w:r>
            <w:r w:rsidR="00562357" w:rsidRPr="005A1F62">
              <w:t>,</w:t>
            </w:r>
            <w:r w:rsidRPr="005A1F62">
              <w:t xml:space="preserve"> </w:t>
            </w:r>
            <w:r w:rsidR="00562357" w:rsidRPr="005A1F62">
              <w:t xml:space="preserve">или </w:t>
            </w:r>
            <w:r w:rsidRPr="005A1F62">
              <w:t>не выполнено последнее условие</w:t>
            </w:r>
          </w:p>
        </w:tc>
      </w:tr>
      <w:tr w:rsidR="009B681E" w:rsidRPr="005A1F62" w14:paraId="01CD6E3B" w14:textId="77777777" w:rsidTr="00C6229E">
        <w:tc>
          <w:tcPr>
            <w:tcW w:w="585" w:type="pct"/>
            <w:vAlign w:val="center"/>
          </w:tcPr>
          <w:p w14:paraId="2ABE0E7F" w14:textId="77777777" w:rsidR="009B681E" w:rsidRPr="005A1F62" w:rsidRDefault="009B681E" w:rsidP="00C6229E">
            <w:pPr>
              <w:tabs>
                <w:tab w:val="left" w:pos="709"/>
              </w:tabs>
              <w:jc w:val="center"/>
              <w:rPr>
                <w:b/>
              </w:rPr>
            </w:pPr>
            <w:r w:rsidRPr="005A1F62">
              <w:rPr>
                <w:b/>
              </w:rPr>
              <w:lastRenderedPageBreak/>
              <w:t>-0,5</w:t>
            </w:r>
          </w:p>
        </w:tc>
        <w:tc>
          <w:tcPr>
            <w:tcW w:w="4415" w:type="pct"/>
            <w:vAlign w:val="center"/>
          </w:tcPr>
          <w:p w14:paraId="583EF1C1" w14:textId="77777777" w:rsidR="009B681E" w:rsidRPr="005A1F62" w:rsidRDefault="009B681E" w:rsidP="00C6229E">
            <w:pPr>
              <w:tabs>
                <w:tab w:val="left" w:pos="709"/>
              </w:tabs>
              <w:jc w:val="both"/>
            </w:pPr>
            <w:r w:rsidRPr="005A1F62">
              <w:t xml:space="preserve">Из вышеприведенных условий не </w:t>
            </w:r>
            <w:r w:rsidR="00562357" w:rsidRPr="005A1F62">
              <w:t xml:space="preserve">выполнены </w:t>
            </w:r>
            <w:r w:rsidRPr="005A1F62">
              <w:t>три</w:t>
            </w:r>
          </w:p>
        </w:tc>
      </w:tr>
      <w:tr w:rsidR="009B681E" w:rsidRPr="005A1F62" w14:paraId="479C9B2D" w14:textId="77777777" w:rsidTr="00C6229E">
        <w:tc>
          <w:tcPr>
            <w:tcW w:w="585" w:type="pct"/>
            <w:vAlign w:val="center"/>
          </w:tcPr>
          <w:p w14:paraId="410A7D3D" w14:textId="77777777" w:rsidR="009B681E" w:rsidRPr="005A1F62" w:rsidRDefault="009B681E" w:rsidP="00C6229E">
            <w:pPr>
              <w:tabs>
                <w:tab w:val="left" w:pos="709"/>
              </w:tabs>
              <w:jc w:val="center"/>
              <w:rPr>
                <w:b/>
              </w:rPr>
            </w:pPr>
            <w:r w:rsidRPr="005A1F62">
              <w:rPr>
                <w:b/>
              </w:rPr>
              <w:t>-1</w:t>
            </w:r>
          </w:p>
        </w:tc>
        <w:tc>
          <w:tcPr>
            <w:tcW w:w="4415" w:type="pct"/>
            <w:vAlign w:val="center"/>
          </w:tcPr>
          <w:p w14:paraId="4A7362A8" w14:textId="77777777" w:rsidR="009B681E" w:rsidRPr="005A1F62" w:rsidRDefault="009B681E" w:rsidP="00C6229E">
            <w:pPr>
              <w:tabs>
                <w:tab w:val="left" w:pos="709"/>
              </w:tabs>
              <w:jc w:val="both"/>
            </w:pPr>
            <w:r w:rsidRPr="005A1F62">
              <w:t xml:space="preserve">Из вышеприведенных условий не </w:t>
            </w:r>
            <w:r w:rsidR="00562357" w:rsidRPr="005A1F62">
              <w:t xml:space="preserve">выполнены </w:t>
            </w:r>
            <w:r w:rsidRPr="005A1F62">
              <w:t>четыре</w:t>
            </w:r>
          </w:p>
        </w:tc>
      </w:tr>
    </w:tbl>
    <w:p w14:paraId="2A85E249" w14:textId="64A8A8F8" w:rsidR="009B681E" w:rsidRPr="005A1F62" w:rsidRDefault="009B681E" w:rsidP="00DC2FED">
      <w:pPr>
        <w:tabs>
          <w:tab w:val="left" w:pos="709"/>
        </w:tabs>
        <w:jc w:val="both"/>
      </w:pPr>
    </w:p>
    <w:p w14:paraId="6D46DA8A" w14:textId="2E198A8A" w:rsidR="009B681E" w:rsidRPr="005A1F62" w:rsidRDefault="009B681E" w:rsidP="00DC2FED">
      <w:pPr>
        <w:tabs>
          <w:tab w:val="left" w:pos="709"/>
        </w:tabs>
        <w:ind w:firstLine="567"/>
        <w:jc w:val="both"/>
      </w:pPr>
      <w:r w:rsidRPr="005A1F62">
        <w:t xml:space="preserve">В стратегии должны быть определены точная цель, параметры достижения, сроки и ответственные. В финансовом плане должны быть показатели (финансовые), в бизнес-плане – финансовые показатели </w:t>
      </w:r>
      <w:r w:rsidR="0097297E" w:rsidRPr="005A1F62">
        <w:t xml:space="preserve">и </w:t>
      </w:r>
      <w:r w:rsidRPr="005A1F62">
        <w:t>стратегические приоритеты.</w:t>
      </w:r>
    </w:p>
    <w:p w14:paraId="37B19582" w14:textId="76E71E43" w:rsidR="002C73BF" w:rsidRPr="005A1F62" w:rsidRDefault="002C73BF" w:rsidP="007F7A20">
      <w:pPr>
        <w:tabs>
          <w:tab w:val="left" w:pos="709"/>
        </w:tabs>
        <w:ind w:firstLine="567"/>
        <w:jc w:val="both"/>
      </w:pPr>
      <w:r w:rsidRPr="005A1F62">
        <w:t>Возможные корректировки</w:t>
      </w:r>
      <w:r w:rsidR="00C93944" w:rsidRPr="005A1F62">
        <w:t xml:space="preserve"> (итоговый балл должен оставаться в диапазоне от -1 до</w:t>
      </w:r>
      <w:r w:rsidR="007F7A20" w:rsidRPr="005A1F62">
        <w:t> </w:t>
      </w:r>
      <w:r w:rsidR="00C93944" w:rsidRPr="005A1F62">
        <w:t>1)</w:t>
      </w:r>
      <w:r w:rsidRPr="005A1F62">
        <w:t>:</w:t>
      </w:r>
    </w:p>
    <w:p w14:paraId="32C166B5" w14:textId="77777777" w:rsidR="009B681E" w:rsidRPr="005A1F62" w:rsidRDefault="009E6D29" w:rsidP="00B73C6D">
      <w:pPr>
        <w:pStyle w:val="afb"/>
        <w:numPr>
          <w:ilvl w:val="0"/>
          <w:numId w:val="71"/>
        </w:numPr>
        <w:tabs>
          <w:tab w:val="left" w:pos="709"/>
        </w:tabs>
        <w:jc w:val="both"/>
      </w:pPr>
      <w:r w:rsidRPr="005A1F62">
        <w:t>Аналитик</w:t>
      </w:r>
      <w:r w:rsidR="009B681E" w:rsidRPr="005A1F62">
        <w:t xml:space="preserve"> вправе поменять балл (не более чем на 1 вверх</w:t>
      </w:r>
      <w:r w:rsidR="0097297E" w:rsidRPr="005A1F62">
        <w:t xml:space="preserve"> </w:t>
      </w:r>
      <w:r w:rsidR="009B681E" w:rsidRPr="005A1F62">
        <w:t>/</w:t>
      </w:r>
      <w:r w:rsidR="0097297E" w:rsidRPr="005A1F62">
        <w:t xml:space="preserve"> </w:t>
      </w:r>
      <w:r w:rsidR="009B681E" w:rsidRPr="005A1F62">
        <w:t>вниз) по итогам интервью, если топ-менеджмент продемонстрировал хорошее</w:t>
      </w:r>
      <w:r w:rsidR="0097297E" w:rsidRPr="005A1F62">
        <w:t xml:space="preserve"> </w:t>
      </w:r>
      <w:r w:rsidR="009B681E" w:rsidRPr="005A1F62">
        <w:t>/</w:t>
      </w:r>
      <w:r w:rsidR="0097297E" w:rsidRPr="005A1F62">
        <w:t xml:space="preserve"> </w:t>
      </w:r>
      <w:r w:rsidR="009B681E" w:rsidRPr="005A1F62">
        <w:t xml:space="preserve">недостаточное понимание перспектив развития </w:t>
      </w:r>
      <w:r w:rsidR="0097297E" w:rsidRPr="005A1F62">
        <w:t>банка</w:t>
      </w:r>
      <w:r w:rsidR="009B681E" w:rsidRPr="005A1F62">
        <w:t xml:space="preserve">. </w:t>
      </w:r>
    </w:p>
    <w:p w14:paraId="408DF65C" w14:textId="617EF190" w:rsidR="002C73BF" w:rsidRPr="005A1F62" w:rsidRDefault="002C73BF" w:rsidP="00B73C6D">
      <w:pPr>
        <w:pStyle w:val="afb"/>
        <w:numPr>
          <w:ilvl w:val="0"/>
          <w:numId w:val="71"/>
        </w:numPr>
        <w:tabs>
          <w:tab w:val="left" w:pos="709"/>
        </w:tabs>
        <w:jc w:val="both"/>
      </w:pPr>
      <w:bookmarkStart w:id="228" w:name="_Toc459363769"/>
      <w:bookmarkStart w:id="229" w:name="_Toc277183418"/>
      <w:bookmarkStart w:id="230" w:name="_Toc343776120"/>
      <w:r w:rsidRPr="005A1F62">
        <w:t>Балл мож</w:t>
      </w:r>
      <w:r w:rsidR="00C93944" w:rsidRPr="005A1F62">
        <w:t>ет быть понижен максимально на 2</w:t>
      </w:r>
      <w:r w:rsidRPr="005A1F62">
        <w:t xml:space="preserve"> за недостижение плановых показателей стратегий завершившихся периодов;</w:t>
      </w:r>
    </w:p>
    <w:p w14:paraId="213101A3" w14:textId="02BEAE4E" w:rsidR="002C73BF" w:rsidRPr="005A1F62" w:rsidRDefault="002C73BF" w:rsidP="00B73C6D">
      <w:pPr>
        <w:pStyle w:val="afb"/>
        <w:numPr>
          <w:ilvl w:val="0"/>
          <w:numId w:val="71"/>
        </w:numPr>
        <w:tabs>
          <w:tab w:val="left" w:pos="709"/>
        </w:tabs>
        <w:jc w:val="both"/>
      </w:pPr>
      <w:r w:rsidRPr="005A1F62">
        <w:t>Балл может быть понижен максимально на 0,5, если основное целевые индикаторы стратегии регулярно претерпевают существенные изменения в зависимости от волатильности</w:t>
      </w:r>
      <w:r w:rsidR="00262006" w:rsidRPr="005A1F62">
        <w:t xml:space="preserve"> </w:t>
      </w:r>
      <w:r w:rsidRPr="005A1F62">
        <w:t>рыночных показателей;</w:t>
      </w:r>
    </w:p>
    <w:p w14:paraId="7018985D" w14:textId="432B6ABB" w:rsidR="002C73BF" w:rsidRPr="005A1F62" w:rsidRDefault="002C73BF" w:rsidP="00B73C6D">
      <w:pPr>
        <w:pStyle w:val="afb"/>
        <w:numPr>
          <w:ilvl w:val="0"/>
          <w:numId w:val="71"/>
        </w:numPr>
        <w:tabs>
          <w:tab w:val="left" w:pos="709"/>
        </w:tabs>
        <w:jc w:val="both"/>
      </w:pPr>
      <w:r w:rsidRPr="005A1F62">
        <w:t xml:space="preserve">Балл может быть понижен на 0,5-1, если в стратегии банка заложен неорганический рост за счет сделок слияний и поглощений либо нестабильных компонентов (средства населения, сделки </w:t>
      </w:r>
      <w:r w:rsidR="00044081" w:rsidRPr="005A1F62">
        <w:t xml:space="preserve">репо </w:t>
      </w:r>
      <w:r w:rsidRPr="005A1F62">
        <w:t>и др.).</w:t>
      </w:r>
    </w:p>
    <w:p w14:paraId="531F8839" w14:textId="5F398581" w:rsidR="00B67021" w:rsidRPr="005A1F62" w:rsidRDefault="00B67021" w:rsidP="00B73C6D">
      <w:pPr>
        <w:pStyle w:val="afb"/>
        <w:numPr>
          <w:ilvl w:val="0"/>
          <w:numId w:val="71"/>
        </w:numPr>
        <w:tabs>
          <w:tab w:val="left" w:pos="709"/>
        </w:tabs>
        <w:jc w:val="both"/>
      </w:pPr>
      <w:r w:rsidRPr="005A1F62">
        <w:t>Ба</w:t>
      </w:r>
      <w:r w:rsidR="00C75A15" w:rsidRPr="005A1F62">
        <w:t>лл может быть понижен максимально на 2</w:t>
      </w:r>
      <w:r w:rsidR="00A16635" w:rsidRPr="005A1F62">
        <w:t xml:space="preserve"> в случае неопределенности бизнес-модели банка (</w:t>
      </w:r>
      <w:r w:rsidR="00044081" w:rsidRPr="005A1F62">
        <w:t xml:space="preserve">отсутствие </w:t>
      </w:r>
      <w:r w:rsidR="00A16635" w:rsidRPr="005A1F62">
        <w:t>выраженной специализации по активным и пассивным операциям, поддержани</w:t>
      </w:r>
      <w:r w:rsidR="00044081" w:rsidRPr="005A1F62">
        <w:t>е</w:t>
      </w:r>
      <w:r w:rsidR="00A16635" w:rsidRPr="005A1F62">
        <w:t xml:space="preserve"> избыточной достаточности капитала, поддержани</w:t>
      </w:r>
      <w:r w:rsidR="00044081" w:rsidRPr="005A1F62">
        <w:t>е</w:t>
      </w:r>
      <w:r w:rsidR="00A16635" w:rsidRPr="005A1F62">
        <w:t xml:space="preserve"> избыточного запаса ликвидности, устойчиво </w:t>
      </w:r>
      <w:r w:rsidR="00044081" w:rsidRPr="005A1F62">
        <w:t xml:space="preserve">низкая </w:t>
      </w:r>
      <w:r w:rsidR="00A16635" w:rsidRPr="005A1F62">
        <w:t>операционн</w:t>
      </w:r>
      <w:r w:rsidR="00044081" w:rsidRPr="005A1F62">
        <w:t>ая</w:t>
      </w:r>
      <w:r w:rsidR="00A16635" w:rsidRPr="005A1F62">
        <w:t xml:space="preserve"> эффективност</w:t>
      </w:r>
      <w:r w:rsidR="00044081" w:rsidRPr="005A1F62">
        <w:t>ь</w:t>
      </w:r>
      <w:r w:rsidR="00A16635" w:rsidRPr="005A1F62">
        <w:t xml:space="preserve"> деятельности).</w:t>
      </w:r>
    </w:p>
    <w:p w14:paraId="3F4B9A81" w14:textId="77777777" w:rsidR="006F33D1" w:rsidRPr="005A1F62" w:rsidRDefault="003B6FB2" w:rsidP="00DC2FED">
      <w:pPr>
        <w:keepNext/>
        <w:tabs>
          <w:tab w:val="left" w:pos="709"/>
        </w:tabs>
        <w:ind w:firstLine="567"/>
        <w:jc w:val="both"/>
        <w:outlineLvl w:val="1"/>
        <w:rPr>
          <w:b/>
          <w:bCs/>
          <w:iCs/>
          <w:sz w:val="28"/>
          <w:szCs w:val="28"/>
        </w:rPr>
      </w:pPr>
      <w:r w:rsidRPr="005A1F62">
        <w:rPr>
          <w:b/>
          <w:bCs/>
          <w:iCs/>
          <w:sz w:val="28"/>
          <w:szCs w:val="28"/>
        </w:rPr>
        <w:br w:type="page"/>
      </w:r>
    </w:p>
    <w:p w14:paraId="7A9A12EE" w14:textId="7027BB5C" w:rsidR="00AA41E3" w:rsidRPr="005A1F62" w:rsidRDefault="00AA41E3" w:rsidP="00DC2FED">
      <w:pPr>
        <w:keepNext/>
        <w:tabs>
          <w:tab w:val="left" w:pos="709"/>
        </w:tabs>
        <w:ind w:firstLine="567"/>
        <w:jc w:val="both"/>
        <w:outlineLvl w:val="1"/>
        <w:rPr>
          <w:b/>
          <w:bCs/>
          <w:iCs/>
          <w:sz w:val="26"/>
          <w:szCs w:val="26"/>
        </w:rPr>
      </w:pPr>
      <w:bookmarkStart w:id="231" w:name="_Toc44433472"/>
      <w:r w:rsidRPr="005A1F62">
        <w:rPr>
          <w:b/>
          <w:bCs/>
          <w:iCs/>
          <w:sz w:val="28"/>
          <w:szCs w:val="28"/>
        </w:rPr>
        <w:lastRenderedPageBreak/>
        <w:t xml:space="preserve">РАЗДЕЛ </w:t>
      </w:r>
      <w:r w:rsidRPr="005A1F62">
        <w:rPr>
          <w:b/>
          <w:bCs/>
          <w:iCs/>
          <w:sz w:val="28"/>
          <w:szCs w:val="28"/>
          <w:lang w:val="en-US"/>
        </w:rPr>
        <w:t>IV</w:t>
      </w:r>
      <w:r w:rsidRPr="005A1F62">
        <w:rPr>
          <w:b/>
          <w:bCs/>
          <w:iCs/>
          <w:sz w:val="28"/>
          <w:szCs w:val="28"/>
        </w:rPr>
        <w:t>. ВНУТРЕННИЕ СТРЕСС-ФАКТОРЫ И ВНУТРЕННИЕ ФАКТОРЫ ПОДДЕРЖКИ</w:t>
      </w:r>
      <w:bookmarkEnd w:id="228"/>
      <w:bookmarkEnd w:id="231"/>
      <w:r w:rsidRPr="005A1F62">
        <w:rPr>
          <w:b/>
          <w:bCs/>
          <w:iCs/>
          <w:sz w:val="28"/>
          <w:szCs w:val="28"/>
        </w:rPr>
        <w:t xml:space="preserve"> </w:t>
      </w:r>
    </w:p>
    <w:p w14:paraId="23E2400F" w14:textId="77777777" w:rsidR="00AA41E3" w:rsidRPr="005A1F62" w:rsidRDefault="00AA41E3" w:rsidP="00DC2FED">
      <w:pPr>
        <w:tabs>
          <w:tab w:val="left" w:pos="709"/>
        </w:tabs>
        <w:ind w:firstLine="567"/>
        <w:jc w:val="both"/>
        <w:rPr>
          <w:sz w:val="26"/>
          <w:szCs w:val="26"/>
        </w:rPr>
      </w:pPr>
    </w:p>
    <w:p w14:paraId="39C05638" w14:textId="77777777" w:rsidR="00AA41E3" w:rsidRPr="005A1F62" w:rsidRDefault="00AA41E3" w:rsidP="00DC2FED">
      <w:pPr>
        <w:tabs>
          <w:tab w:val="left" w:pos="709"/>
        </w:tabs>
        <w:ind w:firstLine="567"/>
        <w:jc w:val="both"/>
        <w:rPr>
          <w:b/>
          <w:sz w:val="26"/>
          <w:szCs w:val="26"/>
        </w:rPr>
      </w:pPr>
      <w:r w:rsidRPr="005A1F62">
        <w:rPr>
          <w:b/>
          <w:sz w:val="26"/>
          <w:szCs w:val="26"/>
        </w:rPr>
        <w:t>4.1 Внутренние стресс-факторы</w:t>
      </w:r>
    </w:p>
    <w:p w14:paraId="393184B6" w14:textId="77777777" w:rsidR="00CC61D5" w:rsidRPr="005A1F62" w:rsidRDefault="00CC61D5" w:rsidP="00DC2FED">
      <w:pPr>
        <w:tabs>
          <w:tab w:val="left" w:pos="709"/>
        </w:tabs>
        <w:ind w:firstLine="567"/>
        <w:jc w:val="both"/>
        <w:rPr>
          <w:b/>
          <w:i/>
        </w:rPr>
      </w:pPr>
    </w:p>
    <w:p w14:paraId="22B862DC" w14:textId="5231C5B4" w:rsidR="00AA41E3" w:rsidRPr="005A1F62" w:rsidRDefault="00AA41E3" w:rsidP="00DC2FED">
      <w:pPr>
        <w:tabs>
          <w:tab w:val="left" w:pos="709"/>
        </w:tabs>
        <w:ind w:firstLine="567"/>
        <w:jc w:val="both"/>
        <w:rPr>
          <w:b/>
        </w:rPr>
      </w:pPr>
      <w:r w:rsidRPr="005A1F62">
        <w:rPr>
          <w:b/>
        </w:rPr>
        <w:t>4.1.1 Внутренний стресс-фактор специализации и кэптивности</w:t>
      </w:r>
    </w:p>
    <w:p w14:paraId="5A7A7BFB" w14:textId="77777777" w:rsidR="00482CEA" w:rsidRPr="005A1F62" w:rsidRDefault="00482CEA" w:rsidP="00DC2FED">
      <w:pPr>
        <w:tabs>
          <w:tab w:val="left" w:pos="709"/>
        </w:tabs>
        <w:ind w:firstLine="567"/>
        <w:jc w:val="both"/>
        <w:rPr>
          <w:b/>
        </w:rPr>
      </w:pPr>
    </w:p>
    <w:p w14:paraId="16B55476" w14:textId="61D815DB" w:rsidR="00AA41E3" w:rsidRPr="005A1F62" w:rsidRDefault="00AA41E3" w:rsidP="00DC2FED">
      <w:pPr>
        <w:tabs>
          <w:tab w:val="left" w:pos="709"/>
        </w:tabs>
        <w:ind w:firstLine="567"/>
        <w:jc w:val="both"/>
      </w:pPr>
      <w:r w:rsidRPr="005A1F62">
        <w:t xml:space="preserve">Повышенная концентрация операций банка </w:t>
      </w:r>
      <w:r w:rsidR="00B17F4F" w:rsidRPr="005A1F62">
        <w:t xml:space="preserve">на бизнесе связанных с ним компаний </w:t>
      </w:r>
      <w:r w:rsidRPr="005A1F62">
        <w:t>оказывает крайне негативное влияние на кредитоспособность банка в связи с высокими рисками кросс-дефолтности, а также повышенными регулятивными рисками (в частности, например, риск</w:t>
      </w:r>
      <w:r w:rsidR="00B17F4F" w:rsidRPr="005A1F62">
        <w:t>ом</w:t>
      </w:r>
      <w:r w:rsidRPr="005A1F62">
        <w:t xml:space="preserve"> выв</w:t>
      </w:r>
      <w:r w:rsidR="00B17F4F" w:rsidRPr="005A1F62">
        <w:t>ода активов через связанные</w:t>
      </w:r>
      <w:r w:rsidRPr="005A1F62">
        <w:t xml:space="preserve"> </w:t>
      </w:r>
      <w:r w:rsidR="007B3204" w:rsidRPr="005A1F62">
        <w:t>«</w:t>
      </w:r>
      <w:r w:rsidRPr="005A1F62">
        <w:t>технические</w:t>
      </w:r>
      <w:r w:rsidR="007B3204" w:rsidRPr="005A1F62">
        <w:t>»</w:t>
      </w:r>
      <w:r w:rsidRPr="005A1F62">
        <w:t xml:space="preserve"> компании в случае ухудшения финансового положения банка). </w:t>
      </w:r>
    </w:p>
    <w:p w14:paraId="4575F1BB" w14:textId="277406D0" w:rsidR="00AA41E3" w:rsidRPr="005A1F62" w:rsidRDefault="00AA41E3" w:rsidP="00DC2FED">
      <w:pPr>
        <w:tabs>
          <w:tab w:val="left" w:pos="709"/>
        </w:tabs>
        <w:ind w:firstLine="567"/>
        <w:jc w:val="both"/>
      </w:pPr>
      <w:r w:rsidRPr="005A1F62">
        <w:t>Основным количественным показателем при оценке данного стр</w:t>
      </w:r>
      <w:r w:rsidR="00B17F4F" w:rsidRPr="005A1F62">
        <w:t xml:space="preserve">есс-фактора является </w:t>
      </w:r>
      <w:r w:rsidRPr="005A1F62">
        <w:t>отнош</w:t>
      </w:r>
      <w:r w:rsidR="00B17F4F" w:rsidRPr="005A1F62">
        <w:t>ение величины кредитного риска</w:t>
      </w:r>
      <w:r w:rsidR="00D2590B" w:rsidRPr="005A1F62">
        <w:rPr>
          <w:rStyle w:val="a9"/>
        </w:rPr>
        <w:footnoteReference w:id="39"/>
      </w:r>
      <w:r w:rsidR="003C61A7" w:rsidRPr="005A1F62">
        <w:t>, приходящегося</w:t>
      </w:r>
      <w:r w:rsidRPr="005A1F62">
        <w:t xml:space="preserve"> на </w:t>
      </w:r>
      <w:r w:rsidR="00B17F4F" w:rsidRPr="005A1F62">
        <w:t>связанных с банком лиц</w:t>
      </w:r>
      <w:r w:rsidR="00742D8F" w:rsidRPr="005A1F62">
        <w:t xml:space="preserve">, </w:t>
      </w:r>
      <w:r w:rsidRPr="005A1F62">
        <w:t>за вычетом объема привлеченных от данных лиц средств (с поправкой на стабильность данных средств, которая оценивается экспертно на основе ретроспективных данных, а также информации об условиях привлечения данных средств; максимальный поправочный коэффициент – 0,7, минимальный поправочный коэффициент – 0,0)</w:t>
      </w:r>
      <w:r w:rsidR="00654F0F" w:rsidRPr="005A1F62">
        <w:t xml:space="preserve"> к капиталу банка</w:t>
      </w:r>
      <w:r w:rsidR="00B17F4F" w:rsidRPr="005A1F62">
        <w:t>.</w:t>
      </w:r>
    </w:p>
    <w:p w14:paraId="77EC3F58" w14:textId="071F29B9" w:rsidR="00AA41E3" w:rsidRPr="005A1F62" w:rsidRDefault="00AA41E3" w:rsidP="00DC2FED">
      <w:pPr>
        <w:tabs>
          <w:tab w:val="left" w:pos="709"/>
        </w:tabs>
        <w:ind w:firstLine="567"/>
        <w:jc w:val="both"/>
      </w:pPr>
      <w:r w:rsidRPr="005A1F62">
        <w:t xml:space="preserve">Влияние стресс-фактора специализации и кэптивности может быть умеренным или сильным. Умеренное влияние стресс-фактор оказывает </w:t>
      </w:r>
      <w:r w:rsidR="003C61A7" w:rsidRPr="005A1F62">
        <w:t>при высокой концентрации риска</w:t>
      </w:r>
      <w:r w:rsidR="00742D8F" w:rsidRPr="005A1F62">
        <w:t xml:space="preserve"> на связанных сторонах </w:t>
      </w:r>
      <w:r w:rsidRPr="005A1F62">
        <w:t>(значение описанного выше показателя – свыше 50%, но менее 100%), сильное влияние – при оч</w:t>
      </w:r>
      <w:r w:rsidR="003C61A7" w:rsidRPr="005A1F62">
        <w:t>ень высокой концентрации риска</w:t>
      </w:r>
      <w:r w:rsidR="00742D8F" w:rsidRPr="005A1F62">
        <w:t xml:space="preserve"> на связанных сторонах </w:t>
      </w:r>
      <w:r w:rsidRPr="005A1F62">
        <w:t>(значение опи</w:t>
      </w:r>
      <w:r w:rsidR="000D5A25" w:rsidRPr="005A1F62">
        <w:t xml:space="preserve">санного выше показателя – </w:t>
      </w:r>
      <w:r w:rsidRPr="005A1F62">
        <w:t>100%</w:t>
      </w:r>
      <w:r w:rsidR="000D5A25" w:rsidRPr="005A1F62">
        <w:t xml:space="preserve"> и выше</w:t>
      </w:r>
      <w:r w:rsidRPr="005A1F62">
        <w:t>).</w:t>
      </w:r>
    </w:p>
    <w:p w14:paraId="6BC2A4A0" w14:textId="7EA8FD2B" w:rsidR="00E43E05" w:rsidRPr="005A1F62" w:rsidRDefault="00983B76" w:rsidP="00DC2FED">
      <w:pPr>
        <w:tabs>
          <w:tab w:val="left" w:pos="709"/>
        </w:tabs>
        <w:ind w:firstLine="567"/>
        <w:jc w:val="both"/>
      </w:pPr>
      <w:bookmarkStart w:id="232" w:name="_Hlk508635320"/>
      <w:r w:rsidRPr="005A1F62">
        <w:t xml:space="preserve">Также может выделяться умеренный стресс-фактор, если банк допускал нарушение нормативов Н25, Н9.1, Н10.1, Н12 (любого из перечисленных) </w:t>
      </w:r>
      <w:r w:rsidR="006D46BB" w:rsidRPr="005A1F62">
        <w:t>в ретроспективе 12 месяцев (даже если уровень норматива снижен и соответствует регулятивным треб</w:t>
      </w:r>
      <w:r w:rsidR="008A7A70" w:rsidRPr="005A1F62">
        <w:t>ованиям, но у Агентства нет основан</w:t>
      </w:r>
      <w:r w:rsidR="006D46BB" w:rsidRPr="005A1F62">
        <w:t>ий считать, что кредитная политика в отношении связанных сторон принципиально изменилась).</w:t>
      </w:r>
    </w:p>
    <w:bookmarkEnd w:id="232"/>
    <w:p w14:paraId="1F881E78" w14:textId="4F061CE5" w:rsidR="003C61A7" w:rsidRPr="005A1F62" w:rsidRDefault="003C61A7" w:rsidP="00DC2FED">
      <w:pPr>
        <w:tabs>
          <w:tab w:val="left" w:pos="709"/>
        </w:tabs>
        <w:jc w:val="both"/>
      </w:pPr>
    </w:p>
    <w:p w14:paraId="4405A6AD" w14:textId="27F3341C" w:rsidR="00AA41E3" w:rsidRPr="005A1F62" w:rsidRDefault="00AA41E3" w:rsidP="00DC2FED">
      <w:pPr>
        <w:tabs>
          <w:tab w:val="left" w:pos="709"/>
        </w:tabs>
        <w:ind w:firstLine="567"/>
        <w:jc w:val="both"/>
        <w:rPr>
          <w:b/>
        </w:rPr>
      </w:pPr>
      <w:r w:rsidRPr="005A1F62">
        <w:rPr>
          <w:b/>
        </w:rPr>
        <w:t>4.1.2 Внутренний стресс-фактор за географию деятельности</w:t>
      </w:r>
    </w:p>
    <w:p w14:paraId="3822ED8A" w14:textId="77777777" w:rsidR="00482CEA" w:rsidRPr="005A1F62" w:rsidRDefault="00482CEA" w:rsidP="00DC2FED">
      <w:pPr>
        <w:tabs>
          <w:tab w:val="left" w:pos="709"/>
        </w:tabs>
        <w:ind w:firstLine="567"/>
        <w:jc w:val="both"/>
        <w:rPr>
          <w:b/>
        </w:rPr>
      </w:pPr>
    </w:p>
    <w:p w14:paraId="52F37A29" w14:textId="7A4B4025" w:rsidR="007B2204" w:rsidRPr="005A1F62" w:rsidRDefault="00727D78" w:rsidP="007B2204">
      <w:pPr>
        <w:tabs>
          <w:tab w:val="left" w:pos="709"/>
        </w:tabs>
        <w:ind w:firstLine="567"/>
        <w:jc w:val="both"/>
      </w:pPr>
      <w:bookmarkStart w:id="233" w:name="_Hlk43308351"/>
      <w:r w:rsidRPr="005A1F62">
        <w:t>Высокая концентрация бизнеса банка на регионах</w:t>
      </w:r>
      <w:r w:rsidR="007B2204" w:rsidRPr="005A1F62">
        <w:rPr>
          <w:rFonts w:eastAsia="Arial Unicode MS"/>
        </w:rPr>
        <w:t xml:space="preserve">, характеризующихся </w:t>
      </w:r>
      <w:r w:rsidR="007B2204" w:rsidRPr="005A1F62">
        <w:t>очень высокими рисками инвестиционной привлекательности,</w:t>
      </w:r>
      <w:r w:rsidRPr="005A1F62">
        <w:t xml:space="preserve"> крайне негативно влияет на кредитоспособность банка.</w:t>
      </w:r>
      <w:r w:rsidR="007B2204" w:rsidRPr="005A1F62">
        <w:t xml:space="preserve"> К индикаторам, отражающим высокие риски инвестиционной привлекательности региона, Агентство относит</w:t>
      </w:r>
      <w:r w:rsidR="001C59F8" w:rsidRPr="005A1F62">
        <w:t>, например, значительное превышение среднероссийского уровня по следующим показателям</w:t>
      </w:r>
      <w:r w:rsidR="007B2204" w:rsidRPr="005A1F62">
        <w:t>:</w:t>
      </w:r>
    </w:p>
    <w:p w14:paraId="61A256A7" w14:textId="0A6EDCB8" w:rsidR="007B2204" w:rsidRPr="005A1F62" w:rsidRDefault="007B2204" w:rsidP="00B73C6D">
      <w:pPr>
        <w:pStyle w:val="afb"/>
        <w:numPr>
          <w:ilvl w:val="0"/>
          <w:numId w:val="61"/>
        </w:numPr>
        <w:tabs>
          <w:tab w:val="left" w:pos="709"/>
        </w:tabs>
        <w:jc w:val="both"/>
      </w:pPr>
      <w:r w:rsidRPr="005A1F62">
        <w:t>доля просроченной задолженности по кредитам физических и юридических лиц;</w:t>
      </w:r>
    </w:p>
    <w:p w14:paraId="2BE323C1" w14:textId="506C056F" w:rsidR="007B2204" w:rsidRPr="005A1F62" w:rsidRDefault="007B2204" w:rsidP="00B73C6D">
      <w:pPr>
        <w:pStyle w:val="afb"/>
        <w:numPr>
          <w:ilvl w:val="0"/>
          <w:numId w:val="61"/>
        </w:numPr>
        <w:tabs>
          <w:tab w:val="left" w:pos="709"/>
        </w:tabs>
        <w:jc w:val="both"/>
      </w:pPr>
      <w:r w:rsidRPr="005A1F62">
        <w:t>доля просроченной задолженности в общем объеме кредиторской задолженности;</w:t>
      </w:r>
    </w:p>
    <w:p w14:paraId="43DF69D8" w14:textId="2FB55CAB" w:rsidR="007B2204" w:rsidRPr="005A1F62" w:rsidRDefault="007B2204" w:rsidP="00B73C6D">
      <w:pPr>
        <w:pStyle w:val="afb"/>
        <w:numPr>
          <w:ilvl w:val="0"/>
          <w:numId w:val="61"/>
        </w:numPr>
        <w:tabs>
          <w:tab w:val="left" w:pos="709"/>
        </w:tabs>
        <w:jc w:val="both"/>
      </w:pPr>
      <w:r w:rsidRPr="005A1F62">
        <w:t>удельный вес убыточных организаций в процентах от общего числа организаций;</w:t>
      </w:r>
    </w:p>
    <w:p w14:paraId="6CEC6F4A" w14:textId="2E6454EF" w:rsidR="007B2204" w:rsidRPr="005A1F62" w:rsidRDefault="007B2204" w:rsidP="00B73C6D">
      <w:pPr>
        <w:pStyle w:val="afb"/>
        <w:numPr>
          <w:ilvl w:val="0"/>
          <w:numId w:val="61"/>
        </w:numPr>
        <w:tabs>
          <w:tab w:val="left" w:pos="709"/>
        </w:tabs>
        <w:jc w:val="both"/>
      </w:pPr>
      <w:r w:rsidRPr="005A1F62">
        <w:t>уровень безработицы;</w:t>
      </w:r>
    </w:p>
    <w:p w14:paraId="45765255" w14:textId="59C4D8D2" w:rsidR="007B2204" w:rsidRPr="005A1F62" w:rsidRDefault="007B2204" w:rsidP="00B73C6D">
      <w:pPr>
        <w:pStyle w:val="afb"/>
        <w:numPr>
          <w:ilvl w:val="0"/>
          <w:numId w:val="61"/>
        </w:numPr>
        <w:tabs>
          <w:tab w:val="left" w:pos="709"/>
        </w:tabs>
        <w:jc w:val="both"/>
      </w:pPr>
      <w:r w:rsidRPr="005A1F62">
        <w:lastRenderedPageBreak/>
        <w:t>численность населения с денежными доходами ниже величины прожиточного минимума, в процентах от общей численности населения;</w:t>
      </w:r>
    </w:p>
    <w:p w14:paraId="0084526C" w14:textId="21B36154" w:rsidR="00727D78" w:rsidRPr="005A1F62" w:rsidRDefault="007B2204" w:rsidP="00B73C6D">
      <w:pPr>
        <w:pStyle w:val="afb"/>
        <w:numPr>
          <w:ilvl w:val="0"/>
          <w:numId w:val="61"/>
        </w:numPr>
        <w:tabs>
          <w:tab w:val="left" w:pos="709"/>
        </w:tabs>
        <w:jc w:val="both"/>
      </w:pPr>
      <w:r w:rsidRPr="005A1F62">
        <w:t>число зарегистрированных преступлений на 100 тыс. человек населения и т.д.</w:t>
      </w:r>
    </w:p>
    <w:p w14:paraId="0CACE726" w14:textId="0DCBD514" w:rsidR="008E6933" w:rsidRPr="005A1F62" w:rsidRDefault="00727D78" w:rsidP="00DC2FED">
      <w:pPr>
        <w:tabs>
          <w:tab w:val="left" w:pos="709"/>
        </w:tabs>
        <w:ind w:firstLine="567"/>
        <w:jc w:val="both"/>
      </w:pPr>
      <w:r w:rsidRPr="005A1F62">
        <w:t xml:space="preserve">Основным количественным показателем при оценке данного стресс-фактора является концентрация размещенных средств </w:t>
      </w:r>
      <w:r w:rsidR="00B42BE0" w:rsidRPr="005A1F62">
        <w:t>на указанных выше регионах</w:t>
      </w:r>
      <w:r w:rsidRPr="005A1F62">
        <w:t>. Влияние стресс-фактора может быть только умеренным, сильный стресс-фактор за географию деятельности не предусмотрен.</w:t>
      </w:r>
    </w:p>
    <w:bookmarkEnd w:id="233"/>
    <w:p w14:paraId="01A17121" w14:textId="77777777" w:rsidR="008E6933" w:rsidRPr="005A1F62" w:rsidRDefault="008E6933" w:rsidP="00DC2FED">
      <w:pPr>
        <w:tabs>
          <w:tab w:val="left" w:pos="709"/>
        </w:tabs>
        <w:ind w:firstLine="567"/>
        <w:jc w:val="both"/>
      </w:pPr>
    </w:p>
    <w:p w14:paraId="49DDA73C" w14:textId="2EFF9908" w:rsidR="00AA41E3" w:rsidRPr="005A1F62" w:rsidRDefault="00AA41E3" w:rsidP="00DC2FED">
      <w:pPr>
        <w:tabs>
          <w:tab w:val="left" w:pos="709"/>
        </w:tabs>
        <w:ind w:firstLine="567"/>
        <w:jc w:val="both"/>
        <w:rPr>
          <w:b/>
        </w:rPr>
      </w:pPr>
      <w:r w:rsidRPr="005A1F62">
        <w:rPr>
          <w:b/>
        </w:rPr>
        <w:t>4.1.3 Внутренний стресс-фактор рисков регулирования и надзора</w:t>
      </w:r>
    </w:p>
    <w:p w14:paraId="1E9E8FD7" w14:textId="77777777" w:rsidR="00482CEA" w:rsidRPr="005A1F62" w:rsidRDefault="00482CEA" w:rsidP="00DC2FED">
      <w:pPr>
        <w:tabs>
          <w:tab w:val="left" w:pos="709"/>
        </w:tabs>
        <w:ind w:firstLine="567"/>
        <w:jc w:val="both"/>
        <w:rPr>
          <w:b/>
        </w:rPr>
      </w:pPr>
    </w:p>
    <w:p w14:paraId="57658256" w14:textId="3E1BF47E" w:rsidR="00AA41E3" w:rsidRPr="005A1F62" w:rsidRDefault="00AA41E3" w:rsidP="00DC2FED">
      <w:pPr>
        <w:tabs>
          <w:tab w:val="left" w:pos="709"/>
        </w:tabs>
        <w:ind w:firstLine="567"/>
        <w:jc w:val="both"/>
      </w:pPr>
      <w:r w:rsidRPr="005A1F62">
        <w:t>Повышенные риски регулирования и надзора крайне негативно влияют на кредитоспособность банка, поскольку могут повлечь за собой санкции со стороны регулятора (вплоть до отзыва лицензии на осуществление банковских операций). Влияние стресс-фактора может быть умеренным, сильн</w:t>
      </w:r>
      <w:r w:rsidR="00DC60BE" w:rsidRPr="005A1F62">
        <w:t>ым, очень сильным и сверхсильным</w:t>
      </w:r>
      <w:r w:rsidRPr="005A1F62">
        <w:t xml:space="preserve">. Для оценки стресс-фактора используются как количественные, </w:t>
      </w:r>
      <w:r w:rsidR="00281074" w:rsidRPr="005A1F62">
        <w:t xml:space="preserve">так и качественные показатели. </w:t>
      </w:r>
      <w:r w:rsidR="005472EC" w:rsidRPr="005A1F62">
        <w:t xml:space="preserve">Рассматриваются </w:t>
      </w:r>
      <w:r w:rsidR="00281074" w:rsidRPr="005A1F62">
        <w:t>о</w:t>
      </w:r>
      <w:r w:rsidRPr="005A1F62">
        <w:t>сновные факторы, свидетельствующие о наличии повышенных рисков регулирования и надзора</w:t>
      </w:r>
      <w:r w:rsidR="0097297E" w:rsidRPr="005A1F62">
        <w:t>,</w:t>
      </w:r>
      <w:r w:rsidR="00281074" w:rsidRPr="005A1F62">
        <w:t xml:space="preserve"> наличии</w:t>
      </w:r>
      <w:r w:rsidRPr="005A1F62">
        <w:t xml:space="preserve"> оснований для подозрения в масштабном нарушении Федерального закона </w:t>
      </w:r>
      <w:r w:rsidR="0097297E" w:rsidRPr="005A1F62">
        <w:t xml:space="preserve">№115-ФЗ </w:t>
      </w:r>
      <w:r w:rsidRPr="005A1F62">
        <w:t xml:space="preserve">«О противодействии легализации (отмыванию) доходов, полученных преступным путем, и финансированию терроризма». </w:t>
      </w:r>
      <w:r w:rsidR="00654F0F" w:rsidRPr="005A1F62">
        <w:t>Стресс-фактор может быть применим к банкам на санации, если длительность периода финансового оздоровления превышает</w:t>
      </w:r>
      <w:r w:rsidR="002B0234" w:rsidRPr="005A1F62">
        <w:t xml:space="preserve"> </w:t>
      </w:r>
      <w:r w:rsidR="005472EC" w:rsidRPr="005A1F62">
        <w:t xml:space="preserve">шесть </w:t>
      </w:r>
      <w:r w:rsidR="002B0234" w:rsidRPr="005A1F62">
        <w:t>месяцев, при этом оцениваю</w:t>
      </w:r>
      <w:r w:rsidR="00654F0F" w:rsidRPr="005A1F62">
        <w:t xml:space="preserve">тся только пункты </w:t>
      </w:r>
      <w:r w:rsidR="00BC418C" w:rsidRPr="005A1F62">
        <w:t>3-4</w:t>
      </w:r>
      <w:r w:rsidR="00654F0F" w:rsidRPr="005A1F62">
        <w:t>.</w:t>
      </w:r>
    </w:p>
    <w:p w14:paraId="5450E197" w14:textId="7FD7472D" w:rsidR="00AA41E3" w:rsidRPr="005A1F62" w:rsidRDefault="00AA41E3" w:rsidP="00DC2FED">
      <w:pPr>
        <w:tabs>
          <w:tab w:val="left" w:pos="709"/>
        </w:tabs>
        <w:ind w:firstLine="567"/>
        <w:jc w:val="both"/>
      </w:pPr>
      <w:r w:rsidRPr="005A1F62">
        <w:t>Для оценки наличия оснований для подозрения банка в масштабном нарушении Федерального закона №115-ФЗ используется чек-лист, на основе которого определяется степень влияния стресс-фактора на рейтинговую оценку. Если сумма баллов по чек-листу составляет от 1 (включительно) до 2 баллов, влияние стресс-фактора оценивается как умеренное. Если сумма баллов по чек-листу составляет от 2 (включительно) до 3 баллов, влияние стресс-фактора оценивается как сильное. Если сумма баллов по чек-листу составляет от 3 (включительно) до 4 баллов, влияние стресс-фактора оценивается как очень сильное. Если сумма баллов по чек-листу составляет 4 балла и более, влияние стресс-факт</w:t>
      </w:r>
      <w:r w:rsidR="00BC62C3" w:rsidRPr="005A1F62">
        <w:t>ора оценивается как сверхсильное</w:t>
      </w:r>
      <w:r w:rsidRPr="005A1F62">
        <w:t>.</w:t>
      </w:r>
    </w:p>
    <w:p w14:paraId="3DEB3E97" w14:textId="77777777" w:rsidR="00AA41E3" w:rsidRPr="005A1F62" w:rsidRDefault="00AA41E3" w:rsidP="00DC2FED">
      <w:pPr>
        <w:tabs>
          <w:tab w:val="left" w:pos="709"/>
        </w:tabs>
        <w:ind w:firstLine="567"/>
        <w:jc w:val="both"/>
      </w:pPr>
      <w:r w:rsidRPr="005A1F62">
        <w:t>Чек-лист:</w:t>
      </w:r>
    </w:p>
    <w:p w14:paraId="04CCED71" w14:textId="03FFE5AE" w:rsidR="00AA41E3" w:rsidRPr="005A1F62" w:rsidRDefault="00AA41E3" w:rsidP="00B73C6D">
      <w:pPr>
        <w:numPr>
          <w:ilvl w:val="0"/>
          <w:numId w:val="24"/>
        </w:numPr>
        <w:tabs>
          <w:tab w:val="left" w:pos="709"/>
        </w:tabs>
        <w:ind w:left="0" w:firstLine="567"/>
        <w:contextualSpacing/>
        <w:jc w:val="both"/>
      </w:pPr>
      <w:r w:rsidRPr="005A1F62">
        <w:t xml:space="preserve">Отнесение банка к 3-й (или ниже) классификационной группе в соответствии с </w:t>
      </w:r>
      <w:r w:rsidR="0097297E" w:rsidRPr="005A1F62">
        <w:t xml:space="preserve">указанием </w:t>
      </w:r>
      <w:r w:rsidRPr="005A1F62">
        <w:t xml:space="preserve">Банка России </w:t>
      </w:r>
      <w:r w:rsidR="0097297E" w:rsidRPr="005A1F62">
        <w:t>№</w:t>
      </w:r>
      <w:r w:rsidR="00DD3DEE" w:rsidRPr="005A1F62">
        <w:t>4336</w:t>
      </w:r>
      <w:r w:rsidR="0097297E" w:rsidRPr="005A1F62">
        <w:t xml:space="preserve">-У </w:t>
      </w:r>
      <w:r w:rsidRPr="005A1F62">
        <w:t xml:space="preserve">«Об оценке экономического положения банков» свидетельствует о наличии недостатков в деятельности банка, </w:t>
      </w:r>
      <w:proofErr w:type="spellStart"/>
      <w:r w:rsidRPr="005A1F62">
        <w:t>неустранение</w:t>
      </w:r>
      <w:proofErr w:type="spellEnd"/>
      <w:r w:rsidRPr="005A1F62">
        <w:t xml:space="preserve"> которых может в ближайшие 12 месяцев привести к возникновению ситуации, угрожающей законным интересам вкладчиков и кредиторов банка, что крайне негативно влияет на уровень кредитоспособности. При наличии у </w:t>
      </w:r>
      <w:r w:rsidR="007F7204" w:rsidRPr="005A1F62">
        <w:t>А</w:t>
      </w:r>
      <w:r w:rsidRPr="005A1F62">
        <w:t>гентства информации об отнесении банка к 3-й (или ниже) классификационной группе за показатели качества управления</w:t>
      </w:r>
      <w:r w:rsidRPr="005A1F62">
        <w:rPr>
          <w:vertAlign w:val="superscript"/>
        </w:rPr>
        <w:footnoteReference w:id="40"/>
      </w:r>
      <w:r w:rsidRPr="005A1F62">
        <w:t xml:space="preserve"> (</w:t>
      </w:r>
      <w:proofErr w:type="gramStart"/>
      <w:r w:rsidRPr="005A1F62">
        <w:t>либо в случае если</w:t>
      </w:r>
      <w:proofErr w:type="gramEnd"/>
      <w:r w:rsidRPr="005A1F62">
        <w:t xml:space="preserve"> банк не комментирует причины отнесения к 3-й классификационной группе, при этом у </w:t>
      </w:r>
      <w:r w:rsidR="007F7204" w:rsidRPr="005A1F62">
        <w:t>А</w:t>
      </w:r>
      <w:r w:rsidRPr="005A1F62">
        <w:t xml:space="preserve">гентства есть основания полагать, что данный факт связан с оценкой качества управления) на протяжении периода, не превышающего </w:t>
      </w:r>
      <w:r w:rsidR="0097297E" w:rsidRPr="005A1F62">
        <w:t xml:space="preserve">двух </w:t>
      </w:r>
      <w:r w:rsidRPr="005A1F62">
        <w:t xml:space="preserve">кварталов, выставляется балл 0,5. От </w:t>
      </w:r>
      <w:r w:rsidR="0015779C" w:rsidRPr="005A1F62">
        <w:t xml:space="preserve">двух </w:t>
      </w:r>
      <w:r w:rsidRPr="005A1F62">
        <w:t xml:space="preserve">(включительно) до </w:t>
      </w:r>
      <w:r w:rsidR="0015779C" w:rsidRPr="005A1F62">
        <w:t xml:space="preserve">трех </w:t>
      </w:r>
      <w:r w:rsidRPr="005A1F62">
        <w:t xml:space="preserve">кварталов – </w:t>
      </w:r>
      <w:r w:rsidR="005472EC" w:rsidRPr="005A1F62">
        <w:t xml:space="preserve">1 </w:t>
      </w:r>
      <w:r w:rsidRPr="005A1F62">
        <w:t xml:space="preserve">балл. От </w:t>
      </w:r>
      <w:r w:rsidR="0015779C" w:rsidRPr="005A1F62">
        <w:t xml:space="preserve">трех </w:t>
      </w:r>
      <w:r w:rsidRPr="005A1F62">
        <w:t xml:space="preserve">кварталов (включительно) и более – </w:t>
      </w:r>
      <w:r w:rsidR="005472EC" w:rsidRPr="005A1F62">
        <w:t xml:space="preserve">1,5 </w:t>
      </w:r>
      <w:r w:rsidRPr="005A1F62">
        <w:t>балл</w:t>
      </w:r>
      <w:r w:rsidR="005472EC" w:rsidRPr="005A1F62">
        <w:t>а</w:t>
      </w:r>
      <w:r w:rsidRPr="005A1F62">
        <w:t xml:space="preserve">. В случае если у </w:t>
      </w:r>
      <w:r w:rsidR="007F7204" w:rsidRPr="005A1F62">
        <w:t>А</w:t>
      </w:r>
      <w:r w:rsidRPr="005A1F62">
        <w:t xml:space="preserve">гентства отсутствует информация о классификационной группе банка в соответствии с </w:t>
      </w:r>
      <w:r w:rsidR="0015779C" w:rsidRPr="005A1F62">
        <w:t xml:space="preserve">указанием </w:t>
      </w:r>
      <w:r w:rsidRPr="005A1F62">
        <w:t>Банка России №</w:t>
      </w:r>
      <w:r w:rsidR="00DD3DEE" w:rsidRPr="005A1F62">
        <w:t>4336</w:t>
      </w:r>
      <w:r w:rsidRPr="005A1F62">
        <w:t xml:space="preserve">-У, </w:t>
      </w:r>
      <w:bookmarkStart w:id="234" w:name="_Hlk43310567"/>
      <w:r w:rsidRPr="005A1F62">
        <w:t xml:space="preserve">при этом по расчетам </w:t>
      </w:r>
      <w:r w:rsidR="007F7204" w:rsidRPr="005A1F62">
        <w:t>А</w:t>
      </w:r>
      <w:r w:rsidRPr="005A1F62">
        <w:t xml:space="preserve">гентства банк не использует усреднение ФОР, </w:t>
      </w:r>
      <w:r w:rsidR="00C203FF" w:rsidRPr="005A1F62">
        <w:t xml:space="preserve">что свидетельствует о нахождении в </w:t>
      </w:r>
      <w:r w:rsidR="00C203FF" w:rsidRPr="005A1F62">
        <w:lastRenderedPageBreak/>
        <w:t>классификационной групп</w:t>
      </w:r>
      <w:r w:rsidR="00930BB3" w:rsidRPr="005A1F62">
        <w:t>ах</w:t>
      </w:r>
      <w:r w:rsidR="00C203FF" w:rsidRPr="005A1F62">
        <w:t xml:space="preserve"> 4</w:t>
      </w:r>
      <w:r w:rsidR="00930BB3" w:rsidRPr="005A1F62">
        <w:t xml:space="preserve"> или 5</w:t>
      </w:r>
      <w:r w:rsidR="00C203FF" w:rsidRPr="005A1F62">
        <w:t xml:space="preserve">, либо уплачивает взносы в ССВ по ставке, которая соответствует нахождению в классификационной группе </w:t>
      </w:r>
      <w:r w:rsidR="00930BB3" w:rsidRPr="005A1F62">
        <w:t>3</w:t>
      </w:r>
      <w:r w:rsidR="00C203FF" w:rsidRPr="005A1F62">
        <w:t xml:space="preserve"> и ниже</w:t>
      </w:r>
      <w:r w:rsidR="00930BB3" w:rsidRPr="005A1F62">
        <w:t xml:space="preserve"> (при этом</w:t>
      </w:r>
      <w:r w:rsidR="00C203FF" w:rsidRPr="005A1F62">
        <w:t xml:space="preserve"> Агентством не выявлено превышение банком БУДВ более чем на 3 п.п. в соответствующем периоде</w:t>
      </w:r>
      <w:r w:rsidR="00930BB3" w:rsidRPr="005A1F62">
        <w:t>)</w:t>
      </w:r>
      <w:r w:rsidR="00C203FF" w:rsidRPr="005A1F62">
        <w:t xml:space="preserve">, </w:t>
      </w:r>
      <w:r w:rsidRPr="005A1F62">
        <w:t>выставляется 1</w:t>
      </w:r>
      <w:r w:rsidR="0015779C" w:rsidRPr="005A1F62">
        <w:t xml:space="preserve"> балл</w:t>
      </w:r>
      <w:r w:rsidRPr="005A1F62">
        <w:t>.</w:t>
      </w:r>
      <w:r w:rsidR="00D3063C" w:rsidRPr="005A1F62">
        <w:t xml:space="preserve"> </w:t>
      </w:r>
    </w:p>
    <w:bookmarkEnd w:id="234"/>
    <w:p w14:paraId="3E6B34BB" w14:textId="437D1645" w:rsidR="00AA41E3" w:rsidRPr="005A1F62" w:rsidRDefault="00AA41E3" w:rsidP="00B73C6D">
      <w:pPr>
        <w:numPr>
          <w:ilvl w:val="0"/>
          <w:numId w:val="24"/>
        </w:numPr>
        <w:tabs>
          <w:tab w:val="left" w:pos="709"/>
        </w:tabs>
        <w:ind w:left="0" w:firstLine="567"/>
        <w:contextualSpacing/>
        <w:jc w:val="both"/>
      </w:pPr>
      <w:r w:rsidRPr="005A1F62">
        <w:t xml:space="preserve">Частые (чаще одного раза в полтора года) проверки деятельности банка регулятором в части соблюдения Федерального закона </w:t>
      </w:r>
      <w:r w:rsidR="0015779C" w:rsidRPr="005A1F62">
        <w:t xml:space="preserve">№115-ФЗ </w:t>
      </w:r>
      <w:r w:rsidRPr="005A1F62">
        <w:t xml:space="preserve">«О противодействии легализации (отмыванию) доходов, полученных преступным путем, и финансированию терроризма» могут свидетельствовать о наличии повышенных регулятивных рисков. При наличии у </w:t>
      </w:r>
      <w:r w:rsidR="007F7204" w:rsidRPr="005A1F62">
        <w:t>А</w:t>
      </w:r>
      <w:r w:rsidRPr="005A1F62">
        <w:t>гентства подобной информации выставляется 0,5</w:t>
      </w:r>
      <w:r w:rsidR="0015779C" w:rsidRPr="005A1F62">
        <w:t xml:space="preserve"> балла</w:t>
      </w:r>
      <w:r w:rsidRPr="005A1F62">
        <w:t>.</w:t>
      </w:r>
    </w:p>
    <w:p w14:paraId="2639E696" w14:textId="77777777" w:rsidR="00BC418C" w:rsidRPr="005A1F62" w:rsidRDefault="00BC418C" w:rsidP="00B73C6D">
      <w:pPr>
        <w:numPr>
          <w:ilvl w:val="0"/>
          <w:numId w:val="24"/>
        </w:numPr>
        <w:tabs>
          <w:tab w:val="left" w:pos="709"/>
        </w:tabs>
        <w:ind w:left="0" w:firstLine="567"/>
        <w:contextualSpacing/>
        <w:jc w:val="both"/>
      </w:pPr>
      <w:r w:rsidRPr="005A1F62">
        <w:t>Признаки повышенной вовлеченности банка в проведение сомнительных операций, выявленные на основе анализа характера и структуры клиентских расчетно-кассовых операций (предмет анализа, критерии и вариации балльных оценок данного пункта в целях определения стресс-фактора приведены после чек-листа).</w:t>
      </w:r>
    </w:p>
    <w:p w14:paraId="164FC4D0" w14:textId="77777777" w:rsidR="00C3706F" w:rsidRPr="005A1F62" w:rsidRDefault="00C3706F" w:rsidP="00B73C6D">
      <w:pPr>
        <w:numPr>
          <w:ilvl w:val="0"/>
          <w:numId w:val="24"/>
        </w:numPr>
        <w:tabs>
          <w:tab w:val="left" w:pos="709"/>
        </w:tabs>
        <w:ind w:left="0" w:firstLine="567"/>
        <w:contextualSpacing/>
        <w:jc w:val="both"/>
      </w:pPr>
      <w:r w:rsidRPr="005A1F62">
        <w:t>Банк в силу особенности бизнес-модели подвержен специфическим рискам регулирования и надзора, которые не учитываются в перечисленных выше критериях. В зависимости от вероятности реализации регулятивных рисков по оценке рейтингового комитета выставляется 0,5-1,5</w:t>
      </w:r>
      <w:r w:rsidR="00CB6C5B" w:rsidRPr="005A1F62">
        <w:t xml:space="preserve"> балла</w:t>
      </w:r>
      <w:r w:rsidRPr="005A1F62">
        <w:t>.</w:t>
      </w:r>
    </w:p>
    <w:p w14:paraId="22B209B1" w14:textId="77777777" w:rsidR="00BC418C" w:rsidRPr="005A1F62" w:rsidRDefault="00BC418C" w:rsidP="00DC2FED">
      <w:pPr>
        <w:ind w:firstLine="547"/>
        <w:jc w:val="both"/>
      </w:pPr>
      <w:r w:rsidRPr="005A1F62">
        <w:t>В целях определения потенциальной вовлеченности банка в проведение сомнительных операций Агентство анализирует клиентские наличные и безналичные операции на предмет операций, лишенных экономического смысла и (или) операций, осуществленных сомнительными клиентами (имеющими признаки отсутствия реальной деятельности и (или) негативную деловую репутацию).</w:t>
      </w:r>
    </w:p>
    <w:p w14:paraId="232A9F5F" w14:textId="5D6FE9E7" w:rsidR="00BC418C" w:rsidRPr="005A1F62" w:rsidRDefault="00BC418C" w:rsidP="00DC2FED">
      <w:pPr>
        <w:ind w:firstLine="567"/>
        <w:jc w:val="both"/>
      </w:pPr>
      <w:r w:rsidRPr="005A1F62">
        <w:t xml:space="preserve">В части безналичных операций юридических лиц Агентство анализирует операции выборки клиентов, которые в рассматриваемом периоде (как правило, в контур проверки попадают несколько кварталов за последние 18 месяцев) обеспечили дебетовые обороты по расчетным и прочим текущим счетам коммерческих, финансовых и некоммерческих негосударственных организаций, индивидуальных предпринимателей и юридических лиц-нерезидентов (обороты по соответствующим счетам формируют базу расчета, с которой соотносится определенный экспертным суждением объем сомнительных операций в соответствии с описанным далее алгоритмом). Агентство запрашивает информацию о </w:t>
      </w:r>
      <w:r w:rsidR="00A55AC2" w:rsidRPr="005A1F62">
        <w:t>выборке клиентов</w:t>
      </w:r>
      <w:r w:rsidRPr="005A1F62">
        <w:t>, операции которых об</w:t>
      </w:r>
      <w:r w:rsidR="00900451" w:rsidRPr="005A1F62">
        <w:t xml:space="preserve">еспечили достаточный для последующей экстраполяции объем </w:t>
      </w:r>
      <w:r w:rsidRPr="005A1F62">
        <w:t>оборотов по расчетным и прочим текущим счетам юридических лиц в рассматриваемом периоде. При этом рассматриваются как крупнейшие клиенты (операции которых имеют наибольший удельный вес в совокупных оборотах), так и пул клиентов, операции которых по отдельности незначительны относительно совокупного оборота. Сомнительность клиентов и осуществленных ими операций определяется на основании экспертного суждения.</w:t>
      </w:r>
    </w:p>
    <w:p w14:paraId="3530D1B6" w14:textId="77777777" w:rsidR="00BC418C" w:rsidRPr="005A1F62" w:rsidRDefault="00BC418C" w:rsidP="002733D6">
      <w:pPr>
        <w:ind w:firstLine="567"/>
        <w:jc w:val="both"/>
      </w:pPr>
      <w:r w:rsidRPr="005A1F62">
        <w:t>В качестве основных признаков сомнительности клиентов рассматриваются:</w:t>
      </w:r>
    </w:p>
    <w:p w14:paraId="2CE9F08F" w14:textId="77777777" w:rsidR="00BC418C" w:rsidRPr="005A1F62" w:rsidRDefault="00BC418C" w:rsidP="00B73C6D">
      <w:pPr>
        <w:pStyle w:val="afb"/>
        <w:numPr>
          <w:ilvl w:val="0"/>
          <w:numId w:val="53"/>
        </w:numPr>
        <w:ind w:left="1134" w:firstLine="0"/>
        <w:jc w:val="both"/>
      </w:pPr>
      <w:r w:rsidRPr="005A1F62">
        <w:t>отсутствие ЮЛ по фактическому адресу;</w:t>
      </w:r>
    </w:p>
    <w:p w14:paraId="25BE75B1" w14:textId="77777777" w:rsidR="00BC418C" w:rsidRPr="005A1F62" w:rsidRDefault="00BC418C" w:rsidP="00B73C6D">
      <w:pPr>
        <w:pStyle w:val="afb"/>
        <w:numPr>
          <w:ilvl w:val="0"/>
          <w:numId w:val="53"/>
        </w:numPr>
        <w:ind w:left="1134" w:firstLine="0"/>
        <w:jc w:val="both"/>
      </w:pPr>
      <w:r w:rsidRPr="005A1F62">
        <w:t>нахождение ЮЛ в местах массовой регистрации организаций (за исключением бизнес-центров);</w:t>
      </w:r>
    </w:p>
    <w:p w14:paraId="16B5D5AE" w14:textId="77777777" w:rsidR="00BC418C" w:rsidRPr="005A1F62" w:rsidRDefault="00BC418C" w:rsidP="00B73C6D">
      <w:pPr>
        <w:pStyle w:val="afb"/>
        <w:numPr>
          <w:ilvl w:val="0"/>
          <w:numId w:val="53"/>
        </w:numPr>
        <w:ind w:left="1134" w:firstLine="0"/>
        <w:jc w:val="both"/>
      </w:pPr>
      <w:r w:rsidRPr="005A1F62">
        <w:t>наличие у ЮЛ задолженности по уплате налогов и иных обязательных платежей в бюджет;</w:t>
      </w:r>
    </w:p>
    <w:p w14:paraId="58D32789" w14:textId="77777777" w:rsidR="00BC418C" w:rsidRPr="005A1F62" w:rsidRDefault="00BC418C" w:rsidP="00B73C6D">
      <w:pPr>
        <w:pStyle w:val="afb"/>
        <w:numPr>
          <w:ilvl w:val="0"/>
          <w:numId w:val="53"/>
        </w:numPr>
        <w:ind w:left="1134" w:firstLine="0"/>
        <w:jc w:val="both"/>
      </w:pPr>
      <w:r w:rsidRPr="005A1F62">
        <w:t>неопределенный род деятельности ЮЛ;</w:t>
      </w:r>
    </w:p>
    <w:p w14:paraId="37A09CDE" w14:textId="77777777" w:rsidR="00BC418C" w:rsidRPr="005A1F62" w:rsidRDefault="00BC418C" w:rsidP="00B73C6D">
      <w:pPr>
        <w:pStyle w:val="afb"/>
        <w:numPr>
          <w:ilvl w:val="0"/>
          <w:numId w:val="53"/>
        </w:numPr>
        <w:ind w:left="1134" w:firstLine="0"/>
        <w:jc w:val="both"/>
      </w:pPr>
      <w:r w:rsidRPr="005A1F62">
        <w:t>несоответствие структуры баланса и статей финансового результата ЮЛ профилю и масштабам его деятельности;</w:t>
      </w:r>
    </w:p>
    <w:p w14:paraId="27AED248" w14:textId="77777777" w:rsidR="00BC418C" w:rsidRPr="005A1F62" w:rsidRDefault="00BC418C" w:rsidP="00B73C6D">
      <w:pPr>
        <w:pStyle w:val="afb"/>
        <w:numPr>
          <w:ilvl w:val="0"/>
          <w:numId w:val="53"/>
        </w:numPr>
        <w:ind w:left="1134" w:firstLine="0"/>
        <w:jc w:val="both"/>
      </w:pPr>
      <w:r w:rsidRPr="005A1F62">
        <w:t>несоответствие штатной структуры ЮЛ профилю и масштабам его деятельности;</w:t>
      </w:r>
    </w:p>
    <w:p w14:paraId="78C5E1A1" w14:textId="77777777" w:rsidR="00BC418C" w:rsidRPr="005A1F62" w:rsidRDefault="00BC418C" w:rsidP="00B73C6D">
      <w:pPr>
        <w:pStyle w:val="afb"/>
        <w:numPr>
          <w:ilvl w:val="0"/>
          <w:numId w:val="53"/>
        </w:numPr>
        <w:ind w:left="1134" w:firstLine="0"/>
        <w:jc w:val="both"/>
      </w:pPr>
      <w:r w:rsidRPr="005A1F62">
        <w:t>частая смена единоличного исполнительного органа ЮЛ;</w:t>
      </w:r>
    </w:p>
    <w:p w14:paraId="5A6DD6A5" w14:textId="77777777" w:rsidR="00BC418C" w:rsidRPr="005A1F62" w:rsidRDefault="00BC418C" w:rsidP="00B73C6D">
      <w:pPr>
        <w:pStyle w:val="afb"/>
        <w:numPr>
          <w:ilvl w:val="0"/>
          <w:numId w:val="53"/>
        </w:numPr>
        <w:ind w:left="1134" w:firstLine="0"/>
        <w:jc w:val="both"/>
      </w:pPr>
      <w:r w:rsidRPr="005A1F62">
        <w:lastRenderedPageBreak/>
        <w:t>осуществление руководителем ЮЛ функций единоличного исполнительного органа в ряде других ЮЛ;</w:t>
      </w:r>
    </w:p>
    <w:p w14:paraId="42D06D34" w14:textId="77777777" w:rsidR="00BC418C" w:rsidRPr="005A1F62" w:rsidRDefault="00BC418C" w:rsidP="00B73C6D">
      <w:pPr>
        <w:pStyle w:val="afb"/>
        <w:numPr>
          <w:ilvl w:val="0"/>
          <w:numId w:val="53"/>
        </w:numPr>
        <w:ind w:left="1134" w:firstLine="0"/>
        <w:jc w:val="both"/>
      </w:pPr>
      <w:r w:rsidRPr="005A1F62">
        <w:t>непрозрачная и (или) чрезмерно деконцентрированная структура собственности ЮЛ, затрудняющая идентификацию бенефициарных владельцев;</w:t>
      </w:r>
    </w:p>
    <w:p w14:paraId="50FA47FE" w14:textId="77777777" w:rsidR="00BC418C" w:rsidRPr="005A1F62" w:rsidRDefault="00BC418C" w:rsidP="00B73C6D">
      <w:pPr>
        <w:pStyle w:val="afb"/>
        <w:numPr>
          <w:ilvl w:val="0"/>
          <w:numId w:val="53"/>
        </w:numPr>
        <w:ind w:left="1134" w:firstLine="0"/>
        <w:jc w:val="both"/>
      </w:pPr>
      <w:r w:rsidRPr="005A1F62">
        <w:t>признаки наличия в составе собственников ЮЛ номинальных лиц;</w:t>
      </w:r>
    </w:p>
    <w:p w14:paraId="2CA8CEE4" w14:textId="77777777" w:rsidR="00BC418C" w:rsidRPr="005A1F62" w:rsidRDefault="00BC418C" w:rsidP="00B73C6D">
      <w:pPr>
        <w:pStyle w:val="afb"/>
        <w:numPr>
          <w:ilvl w:val="0"/>
          <w:numId w:val="53"/>
        </w:numPr>
        <w:ind w:left="1134" w:firstLine="0"/>
        <w:jc w:val="both"/>
      </w:pPr>
      <w:r w:rsidRPr="005A1F62">
        <w:t>частые ретроспективные факты ликвидации организаций, которыми владели и (или) руководили собственники и (или) единоличный исполнительный орган ЮЛ;</w:t>
      </w:r>
    </w:p>
    <w:p w14:paraId="6315BEB8" w14:textId="77777777" w:rsidR="00BC418C" w:rsidRPr="005A1F62" w:rsidRDefault="00BC418C" w:rsidP="00B73C6D">
      <w:pPr>
        <w:pStyle w:val="afb"/>
        <w:numPr>
          <w:ilvl w:val="0"/>
          <w:numId w:val="53"/>
        </w:numPr>
        <w:ind w:left="1134" w:firstLine="0"/>
        <w:jc w:val="both"/>
      </w:pPr>
      <w:r w:rsidRPr="005A1F62">
        <w:t>негативная деловая репутация собственников и (или) единоличного исполнительного органа ЮЛ;</w:t>
      </w:r>
    </w:p>
    <w:p w14:paraId="54427408" w14:textId="4674753F" w:rsidR="00BC418C" w:rsidRPr="005A1F62" w:rsidRDefault="00BC418C" w:rsidP="00B73C6D">
      <w:pPr>
        <w:pStyle w:val="afb"/>
        <w:numPr>
          <w:ilvl w:val="0"/>
          <w:numId w:val="53"/>
        </w:numPr>
        <w:ind w:left="1134" w:firstLine="0"/>
        <w:jc w:val="both"/>
      </w:pPr>
      <w:r w:rsidRPr="005A1F62">
        <w:t>факты (в т</w:t>
      </w:r>
      <w:r w:rsidR="00E33A92" w:rsidRPr="005A1F62">
        <w:t>ом числе</w:t>
      </w:r>
      <w:r w:rsidRPr="005A1F62">
        <w:t xml:space="preserve"> ретроспективные) нахождения ЮЛ на обслуживании в банках, вовлеченных, по мнению Агентства, в проведение сомнительных операций, при проведении ЮЛ значительного объема своих операций по открытым в этих банках счетам;</w:t>
      </w:r>
    </w:p>
    <w:p w14:paraId="146A32EC" w14:textId="77777777" w:rsidR="00BC418C" w:rsidRPr="005A1F62" w:rsidRDefault="00BC418C" w:rsidP="00B73C6D">
      <w:pPr>
        <w:pStyle w:val="afb"/>
        <w:numPr>
          <w:ilvl w:val="0"/>
          <w:numId w:val="53"/>
        </w:numPr>
        <w:ind w:left="1134" w:firstLine="0"/>
        <w:jc w:val="both"/>
      </w:pPr>
      <w:r w:rsidRPr="005A1F62">
        <w:t>нахождение ЮЛ-нерезидента на территории с льготным режимом налогообложения.</w:t>
      </w:r>
    </w:p>
    <w:p w14:paraId="49303D4F" w14:textId="77777777" w:rsidR="00BC418C" w:rsidRPr="005A1F62" w:rsidRDefault="00BC418C" w:rsidP="002733D6">
      <w:pPr>
        <w:ind w:firstLine="567"/>
        <w:jc w:val="both"/>
      </w:pPr>
      <w:r w:rsidRPr="005A1F62">
        <w:t>К основным признакам сомнительности операций клиентов Агентство относит:</w:t>
      </w:r>
    </w:p>
    <w:p w14:paraId="5AACD4AB" w14:textId="7BAB9923" w:rsidR="00BC418C" w:rsidRPr="005A1F62" w:rsidRDefault="00BC418C" w:rsidP="00B73C6D">
      <w:pPr>
        <w:pStyle w:val="afb"/>
        <w:numPr>
          <w:ilvl w:val="0"/>
          <w:numId w:val="53"/>
        </w:numPr>
        <w:ind w:left="1134" w:firstLine="0"/>
        <w:jc w:val="both"/>
      </w:pPr>
      <w:r w:rsidRPr="005A1F62">
        <w:t>несоответствие объема осуществленных клиентом операций масштабу его деятельности (величине активов, размеру выручки, фактическим денежным потокам (размерная характеристика, с которой соотносится объем осуществленных в рассматриваемом периоде операций</w:t>
      </w:r>
      <w:r w:rsidR="007B7879" w:rsidRPr="005A1F62">
        <w:t>,</w:t>
      </w:r>
      <w:r w:rsidRPr="005A1F62">
        <w:t xml:space="preserve"> выбирается в зависимости от вида деятельности ЮЛ));</w:t>
      </w:r>
    </w:p>
    <w:p w14:paraId="33677D36" w14:textId="77777777" w:rsidR="00BC418C" w:rsidRPr="005A1F62" w:rsidRDefault="00BC418C" w:rsidP="00B73C6D">
      <w:pPr>
        <w:pStyle w:val="afb"/>
        <w:numPr>
          <w:ilvl w:val="0"/>
          <w:numId w:val="53"/>
        </w:numPr>
        <w:ind w:left="1134" w:firstLine="0"/>
        <w:jc w:val="both"/>
      </w:pPr>
      <w:r w:rsidRPr="005A1F62">
        <w:t>несоответствие объема осуществленных клиентом операций объему уплаченных налогов со счетов в банке;</w:t>
      </w:r>
    </w:p>
    <w:p w14:paraId="243B5956" w14:textId="77777777" w:rsidR="00BC418C" w:rsidRPr="005A1F62" w:rsidRDefault="00BC418C" w:rsidP="00B73C6D">
      <w:pPr>
        <w:pStyle w:val="afb"/>
        <w:numPr>
          <w:ilvl w:val="0"/>
          <w:numId w:val="53"/>
        </w:numPr>
        <w:ind w:left="1134" w:firstLine="0"/>
        <w:jc w:val="both"/>
      </w:pPr>
      <w:r w:rsidRPr="005A1F62">
        <w:t>не связанные с оплатой товаров и услуг трансграничные переводы денежных средств ЮЛ, не осуществляющих внешнеэкономическую деятельность;</w:t>
      </w:r>
    </w:p>
    <w:p w14:paraId="13DEEE1E" w14:textId="77777777" w:rsidR="00BC418C" w:rsidRPr="005A1F62" w:rsidRDefault="00BC418C" w:rsidP="00B73C6D">
      <w:pPr>
        <w:pStyle w:val="afb"/>
        <w:numPr>
          <w:ilvl w:val="0"/>
          <w:numId w:val="53"/>
        </w:numPr>
        <w:ind w:left="1134" w:firstLine="0"/>
        <w:jc w:val="both"/>
      </w:pPr>
      <w:r w:rsidRPr="005A1F62">
        <w:t>избыточная волатильность объема операций ЮЛ в разных отчетных периодах, не связанная с особенностями его финансово-хозяйственной деятельности;</w:t>
      </w:r>
    </w:p>
    <w:p w14:paraId="6A61BF60" w14:textId="77777777" w:rsidR="00BC418C" w:rsidRPr="005A1F62" w:rsidRDefault="00BC418C" w:rsidP="00B73C6D">
      <w:pPr>
        <w:pStyle w:val="afb"/>
        <w:numPr>
          <w:ilvl w:val="0"/>
          <w:numId w:val="53"/>
        </w:numPr>
        <w:ind w:left="1134" w:firstLine="0"/>
        <w:jc w:val="both"/>
      </w:pPr>
      <w:r w:rsidRPr="005A1F62">
        <w:t>аномально высокий относительно объема осуществленных в рассматриваемом периоде операций объем комиссий, уплаченных клиентом банку за расчетно-кассовое обслуживание;</w:t>
      </w:r>
    </w:p>
    <w:p w14:paraId="42F7B4D8" w14:textId="77777777" w:rsidR="00BC418C" w:rsidRPr="005A1F62" w:rsidRDefault="00BC418C" w:rsidP="00B73C6D">
      <w:pPr>
        <w:pStyle w:val="afb"/>
        <w:numPr>
          <w:ilvl w:val="0"/>
          <w:numId w:val="53"/>
        </w:numPr>
        <w:ind w:left="1134" w:firstLine="0"/>
        <w:jc w:val="both"/>
      </w:pPr>
      <w:r w:rsidRPr="005A1F62">
        <w:t>переводы ЮЛ средств на счета в банках, вовлеченных, по мнению Агентства, в проведение сомнительных операций;</w:t>
      </w:r>
    </w:p>
    <w:p w14:paraId="33E19CAF" w14:textId="77777777" w:rsidR="00BC418C" w:rsidRPr="005A1F62" w:rsidRDefault="00BC418C" w:rsidP="00B73C6D">
      <w:pPr>
        <w:pStyle w:val="afb"/>
        <w:numPr>
          <w:ilvl w:val="0"/>
          <w:numId w:val="53"/>
        </w:numPr>
        <w:ind w:left="1134" w:firstLine="0"/>
        <w:jc w:val="both"/>
      </w:pPr>
      <w:r w:rsidRPr="005A1F62">
        <w:t>переводы ЮЛ на счета в банках – резидентах стран СНГ (кроме России), стран Прибалтики, стран или территорий с льготным режимом налогообложения.</w:t>
      </w:r>
    </w:p>
    <w:p w14:paraId="73AFAB5A" w14:textId="5F9BFE4D" w:rsidR="00BC418C" w:rsidRPr="005A1F62" w:rsidRDefault="00BC418C" w:rsidP="002733D6">
      <w:pPr>
        <w:ind w:firstLine="567"/>
        <w:jc w:val="both"/>
      </w:pPr>
      <w:r w:rsidRPr="005A1F62">
        <w:t>В части наличных операций клиентов Агентство анализирует структуру кассовых операций на предмет аномалий и запрашивает информацию о выборке клиентов – юридических лиц, обеспечивших приходные и расходные операции по отдельным кассовым символам. Клиенты-ЮЛ анализируются на наличие признаков сомнительности, описанных выше. Наличные операции как отдельных клиентов, так и в целом по отдельным кассовым символам могут быть классифицированы Агентством как сомнительные. В частности, к сомнительным операциям может быть отнесена вся сумма приходных операций по символам 21 «</w:t>
      </w:r>
      <w:r w:rsidR="002410B4" w:rsidRPr="005A1F62">
        <w:t xml:space="preserve">Поступления </w:t>
      </w:r>
      <w:r w:rsidRPr="005A1F62">
        <w:t>от операций с векселями», 32 «</w:t>
      </w:r>
      <w:r w:rsidR="002410B4" w:rsidRPr="005A1F62">
        <w:t xml:space="preserve">Прочие </w:t>
      </w:r>
      <w:r w:rsidRPr="005A1F62">
        <w:t>поступления» и расходных операций по символам 53 «</w:t>
      </w:r>
      <w:r w:rsidR="002410B4" w:rsidRPr="005A1F62">
        <w:t xml:space="preserve">Прочие </w:t>
      </w:r>
      <w:r w:rsidRPr="005A1F62">
        <w:t>выдачи», 61 «</w:t>
      </w:r>
      <w:r w:rsidR="002410B4" w:rsidRPr="005A1F62">
        <w:t xml:space="preserve">Выдачи </w:t>
      </w:r>
      <w:r w:rsidRPr="005A1F62">
        <w:t>на операции с векселями» при наличии признаков сомнительности выборки клиентов и (или) операций по указанным символам.</w:t>
      </w:r>
    </w:p>
    <w:p w14:paraId="354D924F" w14:textId="148E9BB8" w:rsidR="00BC418C" w:rsidRPr="005A1F62" w:rsidRDefault="00BC418C" w:rsidP="00DC2FED">
      <w:pPr>
        <w:ind w:firstLine="709"/>
        <w:jc w:val="both"/>
      </w:pPr>
      <w:r w:rsidRPr="005A1F62">
        <w:t xml:space="preserve">По результатам анализа расчетно-кассовых операций клиентов, проведенного по описанным выше правилам, рассчитывается совокупный объем потенциально </w:t>
      </w:r>
      <w:r w:rsidRPr="005A1F62">
        <w:lastRenderedPageBreak/>
        <w:t xml:space="preserve">сомнительных операций, проведенных банком в рассматриваемом периоде. Полученный по выборке операций результат экстраполируется на всю сумму клиентских безналичных и наличных операций в рассматриваемом периоде. При наличии у Агентства детальной информации по более чем 70% клиентских операций, экстраполяция объема операций, классифицированных Агентством как </w:t>
      </w:r>
      <w:r w:rsidR="002410B4" w:rsidRPr="005A1F62">
        <w:t>сомнительные</w:t>
      </w:r>
      <w:r w:rsidRPr="005A1F62">
        <w:t xml:space="preserve">, может осуществляться по принципу тонкой настройки таким образом, что совокупный объем операций, на который экстраполируются сомнительные операции, очищается от операций, в отношении </w:t>
      </w:r>
      <w:proofErr w:type="gramStart"/>
      <w:r w:rsidRPr="005A1F62">
        <w:t>проведения</w:t>
      </w:r>
      <w:proofErr w:type="gramEnd"/>
      <w:r w:rsidRPr="005A1F62">
        <w:t xml:space="preserve"> которых у Агентства есть уверенность в отсутствии регулятивного риска.</w:t>
      </w:r>
    </w:p>
    <w:p w14:paraId="6583A56B" w14:textId="74D42A40" w:rsidR="00725455" w:rsidRPr="005A1F62" w:rsidRDefault="00BC418C" w:rsidP="00DC2FED">
      <w:pPr>
        <w:ind w:firstLine="567"/>
        <w:jc w:val="both"/>
      </w:pPr>
      <w:r w:rsidRPr="005A1F62">
        <w:t>Рассчитанный Агентством объем потенциально сомнительных безналичных операций юридических лиц соотносится с совокупными дебетовыми оборотами по расчетным и прочим текущим счетам коммерческих, финансовых и некоммерческих негосударственных организаций, индивидуальных предпринимателей и юридических лиц-нерезидентов. Объем потенциально сомнительных приходных</w:t>
      </w:r>
      <w:r w:rsidR="002410B4" w:rsidRPr="005A1F62">
        <w:t xml:space="preserve"> </w:t>
      </w:r>
      <w:r w:rsidRPr="005A1F62">
        <w:t>/</w:t>
      </w:r>
      <w:r w:rsidR="002410B4" w:rsidRPr="005A1F62">
        <w:t xml:space="preserve"> </w:t>
      </w:r>
      <w:r w:rsidRPr="005A1F62">
        <w:t xml:space="preserve">расходных наличных операций соотносится с дебетовыми оборотами по счетам учета наличных денежных средств в части операций клиентов (без учета перевозок денежных средств между структурными подразделениями банка, движения наличности между банком и расчетно-кассовыми центрами Банка России). </w:t>
      </w:r>
    </w:p>
    <w:p w14:paraId="5BB7B6B1" w14:textId="16F697F0" w:rsidR="00E810A4" w:rsidRPr="005A1F62" w:rsidRDefault="00E810A4" w:rsidP="00DC2FED">
      <w:pPr>
        <w:ind w:firstLine="567"/>
        <w:jc w:val="both"/>
      </w:pPr>
      <w:r w:rsidRPr="005A1F62">
        <w:t xml:space="preserve">В зависимости от величины рассчитанного соотношения (рассматриваемые </w:t>
      </w:r>
      <w:r w:rsidR="002410B4" w:rsidRPr="005A1F62">
        <w:t>периоды </w:t>
      </w:r>
      <w:r w:rsidRPr="005A1F62">
        <w:t xml:space="preserve">– до </w:t>
      </w:r>
      <w:r w:rsidR="002410B4" w:rsidRPr="005A1F62">
        <w:t xml:space="preserve">шести </w:t>
      </w:r>
      <w:r w:rsidRPr="005A1F62">
        <w:t>последних кварталов) и уровня потенциально сомнительных операций относительно критериев Банка России, свидетельствующих о высокой вовлеченности в проведение сомнительных операций (как в относительном, так и в абсолютном выражении), параметру чек-листа «Признаки повышенной вовлеченности банка в проведение сомнительных операций, выявленные на основе анализа характера и структуры клиентских расчетных операций» присваивается от 0 до 4 баллов.</w:t>
      </w:r>
    </w:p>
    <w:p w14:paraId="75E9EA01" w14:textId="26A347E6" w:rsidR="00AA41E3" w:rsidRPr="005A1F62" w:rsidRDefault="00AA41E3" w:rsidP="00DC2FED">
      <w:pPr>
        <w:tabs>
          <w:tab w:val="left" w:pos="709"/>
        </w:tabs>
        <w:jc w:val="both"/>
      </w:pPr>
    </w:p>
    <w:p w14:paraId="29C32CC3" w14:textId="4400ECF8" w:rsidR="00AA41E3" w:rsidRPr="005A1F62" w:rsidRDefault="00AA41E3" w:rsidP="00DC2FED">
      <w:pPr>
        <w:tabs>
          <w:tab w:val="left" w:pos="709"/>
        </w:tabs>
        <w:ind w:firstLine="567"/>
        <w:jc w:val="both"/>
        <w:rPr>
          <w:b/>
        </w:rPr>
      </w:pPr>
      <w:r w:rsidRPr="005A1F62">
        <w:rPr>
          <w:b/>
        </w:rPr>
        <w:t>4.1.5 Внутренний стресс-фактор ресурсной базы</w:t>
      </w:r>
    </w:p>
    <w:p w14:paraId="728FB2F8" w14:textId="77777777" w:rsidR="00482CEA" w:rsidRPr="005A1F62" w:rsidRDefault="00482CEA" w:rsidP="00DC2FED">
      <w:pPr>
        <w:tabs>
          <w:tab w:val="left" w:pos="709"/>
        </w:tabs>
        <w:ind w:firstLine="567"/>
        <w:jc w:val="both"/>
        <w:rPr>
          <w:b/>
        </w:rPr>
      </w:pPr>
    </w:p>
    <w:p w14:paraId="3F990D2E" w14:textId="77777777" w:rsidR="00AA41E3" w:rsidRPr="005A1F62" w:rsidRDefault="00AA41E3" w:rsidP="00DC2FED">
      <w:pPr>
        <w:tabs>
          <w:tab w:val="left" w:pos="709"/>
        </w:tabs>
        <w:ind w:firstLine="567"/>
        <w:jc w:val="both"/>
      </w:pPr>
      <w:r w:rsidRPr="005A1F62">
        <w:t>Повышенные риски возникновения дефицита ликвидности при исполнении балансовых и</w:t>
      </w:r>
      <w:r w:rsidR="00CB6C5B" w:rsidRPr="005A1F62">
        <w:t xml:space="preserve"> (</w:t>
      </w:r>
      <w:r w:rsidRPr="005A1F62">
        <w:t>или</w:t>
      </w:r>
      <w:r w:rsidR="00CB6C5B" w:rsidRPr="005A1F62">
        <w:t>)</w:t>
      </w:r>
      <w:r w:rsidRPr="005A1F62">
        <w:t xml:space="preserve"> внебалансовых обязательств крайне негативно влияют на кредитоспособность банка и отражаются в стресс-факторе ресурсной базы. Влияние стресс-фактора на оценку кредитоспособности может быть умеренным и сильным. Для оценки стресс-фактора используются как количественные, так и качественные показатели. </w:t>
      </w:r>
    </w:p>
    <w:p w14:paraId="0C6E0471" w14:textId="77777777" w:rsidR="002733D6" w:rsidRPr="005A1F62" w:rsidRDefault="002733D6" w:rsidP="00DC2FED">
      <w:pPr>
        <w:tabs>
          <w:tab w:val="left" w:pos="709"/>
        </w:tabs>
        <w:ind w:firstLine="567"/>
        <w:jc w:val="both"/>
        <w:rPr>
          <w:i/>
        </w:rPr>
      </w:pPr>
    </w:p>
    <w:p w14:paraId="6D9B7D78" w14:textId="77777777" w:rsidR="00AA41E3" w:rsidRPr="005A1F62" w:rsidRDefault="00AA41E3" w:rsidP="00DC2FED">
      <w:pPr>
        <w:tabs>
          <w:tab w:val="left" w:pos="709"/>
        </w:tabs>
        <w:ind w:firstLine="567"/>
        <w:jc w:val="both"/>
      </w:pPr>
      <w:r w:rsidRPr="005A1F62">
        <w:t>Основные показатели для оценки влияния стресс-фактора ресурсной базы:</w:t>
      </w:r>
    </w:p>
    <w:p w14:paraId="012943AF" w14:textId="173170C3" w:rsidR="00654F0F" w:rsidRPr="005A1F62" w:rsidRDefault="00654F0F" w:rsidP="00B73C6D">
      <w:pPr>
        <w:numPr>
          <w:ilvl w:val="0"/>
          <w:numId w:val="25"/>
        </w:numPr>
        <w:tabs>
          <w:tab w:val="left" w:pos="709"/>
        </w:tabs>
        <w:ind w:left="0" w:firstLine="567"/>
        <w:contextualSpacing/>
        <w:jc w:val="both"/>
      </w:pPr>
      <w:bookmarkStart w:id="235" w:name="_Hlk508809233"/>
      <w:r w:rsidRPr="005A1F62">
        <w:t xml:space="preserve">В случае если банк допускал нарушение нормативов Н2, Н3, Н28/Н29 (для системно значимых банков с 1 января года, следующего за годом признания Банком России системно значимой кредитной организацией), Н4 (любого из перечисленных) </w:t>
      </w:r>
      <w:bookmarkEnd w:id="235"/>
      <w:r w:rsidRPr="005A1F62">
        <w:t>от двух до пяти дней в течение любых 30 последовательных операционных дней выставляется умеренный стресс-фактор, шесть и более дней – сильный стресс-фактор</w:t>
      </w:r>
      <w:r w:rsidR="00262006" w:rsidRPr="005A1F62">
        <w:t xml:space="preserve"> </w:t>
      </w:r>
      <w:r w:rsidRPr="005A1F62">
        <w:t>(рассматриваемый период – два месяца, предшествующих последней отчетной дате). В случае нарушения нормативов Н26/Н27 (для системно значимых банков с 1 января года, следующего за годом признания Банком России системно значимой кредитной органи</w:t>
      </w:r>
      <w:r w:rsidR="00694C76" w:rsidRPr="005A1F62">
        <w:t xml:space="preserve">зацией) </w:t>
      </w:r>
      <w:r w:rsidRPr="005A1F62">
        <w:t>выставляется умеренный стресс-фактор.</w:t>
      </w:r>
      <w:r w:rsidR="00262006" w:rsidRPr="005A1F62">
        <w:t xml:space="preserve"> </w:t>
      </w:r>
      <w:r w:rsidR="00E43E05" w:rsidRPr="005A1F62">
        <w:t>Данный критерий не применяется для банков на санации.</w:t>
      </w:r>
    </w:p>
    <w:p w14:paraId="27163105" w14:textId="3A01462D" w:rsidR="00AA41E3" w:rsidRPr="005A1F62" w:rsidRDefault="00AA41E3" w:rsidP="00B73C6D">
      <w:pPr>
        <w:numPr>
          <w:ilvl w:val="0"/>
          <w:numId w:val="25"/>
        </w:numPr>
        <w:tabs>
          <w:tab w:val="left" w:pos="709"/>
        </w:tabs>
        <w:ind w:left="0" w:firstLine="567"/>
        <w:contextualSpacing/>
        <w:jc w:val="both"/>
      </w:pPr>
      <w:r w:rsidRPr="005A1F62">
        <w:t>В случае если высока вероятность нарушения банком нормативов ликвидности при исполнении своих балансовых и</w:t>
      </w:r>
      <w:r w:rsidR="00CB6C5B" w:rsidRPr="005A1F62">
        <w:t xml:space="preserve"> (</w:t>
      </w:r>
      <w:r w:rsidRPr="005A1F62">
        <w:t>или</w:t>
      </w:r>
      <w:r w:rsidR="00CB6C5B" w:rsidRPr="005A1F62">
        <w:t>)</w:t>
      </w:r>
      <w:r w:rsidRPr="005A1F62">
        <w:t xml:space="preserve"> внебалансовых обязательств (например, исполнение требований по гарантиям, выплаты по судам и </w:t>
      </w:r>
      <w:r w:rsidR="00CB6C5B" w:rsidRPr="005A1F62">
        <w:t>т. п.</w:t>
      </w:r>
      <w:r w:rsidRPr="005A1F62">
        <w:t>), вероятность предъявления которых к исполнению Агентство оценивает как высокую, выставляется стресс-факто</w:t>
      </w:r>
      <w:r w:rsidR="002410B4" w:rsidRPr="005A1F62">
        <w:t>р</w:t>
      </w:r>
      <w:r w:rsidR="00CB6C5B" w:rsidRPr="005A1F62">
        <w:t>:</w:t>
      </w:r>
      <w:r w:rsidRPr="005A1F62">
        <w:t xml:space="preserve"> </w:t>
      </w:r>
      <w:r w:rsidR="00CB6C5B" w:rsidRPr="005A1F62">
        <w:t>умеренный –</w:t>
      </w:r>
      <w:r w:rsidRPr="005A1F62">
        <w:t xml:space="preserve"> если привлечение дополнительной ликвидности, по оценкам </w:t>
      </w:r>
      <w:r w:rsidR="00CB6C5B" w:rsidRPr="005A1F62">
        <w:t>Агентства</w:t>
      </w:r>
      <w:r w:rsidRPr="005A1F62">
        <w:t>,</w:t>
      </w:r>
      <w:r w:rsidR="00CD78CF" w:rsidRPr="005A1F62">
        <w:t xml:space="preserve"> </w:t>
      </w:r>
      <w:r w:rsidRPr="005A1F62">
        <w:t>с высокой вероятностью позволит избежать нарушения нормативов</w:t>
      </w:r>
      <w:r w:rsidR="00CB6C5B" w:rsidRPr="005A1F62">
        <w:t xml:space="preserve">; сильный – </w:t>
      </w:r>
      <w:r w:rsidRPr="005A1F62">
        <w:t xml:space="preserve">если даже с учетом привлечения дополнительной ликвидности вероятность нарушения </w:t>
      </w:r>
      <w:r w:rsidRPr="005A1F62">
        <w:lastRenderedPageBreak/>
        <w:t>нормативов остается высокой.</w:t>
      </w:r>
      <w:r w:rsidR="00F329C2" w:rsidRPr="005A1F62">
        <w:t xml:space="preserve"> В частности, стресс-фактор выставляется в случае, когда исполнение обязательств по крупнейшей выданной гарантии (за исключением гарантий принципалам, имеющим условные рейтинговые классы на уровне ru</w:t>
      </w:r>
      <w:r w:rsidR="00F329C2" w:rsidRPr="005A1F62">
        <w:rPr>
          <w:lang w:val="en-US"/>
        </w:rPr>
        <w:t>BBB</w:t>
      </w:r>
      <w:r w:rsidR="00F329C2" w:rsidRPr="005A1F62">
        <w:t>+ или выше)</w:t>
      </w:r>
      <w:r w:rsidR="002410B4" w:rsidRPr="005A1F62">
        <w:t>,</w:t>
      </w:r>
      <w:r w:rsidR="00F329C2" w:rsidRPr="005A1F62">
        <w:t xml:space="preserve"> по оценкам Агентства</w:t>
      </w:r>
      <w:r w:rsidR="002410B4" w:rsidRPr="005A1F62">
        <w:t>,</w:t>
      </w:r>
      <w:r w:rsidR="00F329C2" w:rsidRPr="005A1F62">
        <w:t xml:space="preserve"> приведет к нарушению норматива Н3.</w:t>
      </w:r>
    </w:p>
    <w:p w14:paraId="647BE606" w14:textId="56853AAA" w:rsidR="001B7421" w:rsidRPr="005A1F62" w:rsidRDefault="00DA5400" w:rsidP="00B73C6D">
      <w:pPr>
        <w:numPr>
          <w:ilvl w:val="0"/>
          <w:numId w:val="25"/>
        </w:numPr>
        <w:tabs>
          <w:tab w:val="left" w:pos="709"/>
        </w:tabs>
        <w:ind w:left="0" w:firstLine="567"/>
        <w:contextualSpacing/>
        <w:jc w:val="both"/>
      </w:pPr>
      <w:r w:rsidRPr="005A1F62">
        <w:t>Для банков с универсальной лицензией: в</w:t>
      </w:r>
      <w:r w:rsidR="00AA41E3" w:rsidRPr="005A1F62">
        <w:t xml:space="preserve"> случае если отток средств крупнейшего кредитора без учета ЦБ РФ</w:t>
      </w:r>
      <w:r w:rsidR="00FD6F30" w:rsidRPr="005A1F62">
        <w:t>,</w:t>
      </w:r>
      <w:r w:rsidR="005205B3" w:rsidRPr="005A1F62">
        <w:t xml:space="preserve"> связанных</w:t>
      </w:r>
      <w:r w:rsidR="00AA41E3" w:rsidRPr="005A1F62">
        <w:t xml:space="preserve"> с банком компаний </w:t>
      </w:r>
      <w:r w:rsidR="00FD6F30" w:rsidRPr="005A1F62">
        <w:t xml:space="preserve">и субординированных депозитов, до погашения которых остается не менее пяти лет, </w:t>
      </w:r>
      <w:r w:rsidR="00AA41E3" w:rsidRPr="005A1F62">
        <w:t>в моменте или за месяц пр</w:t>
      </w:r>
      <w:r w:rsidR="001B7421" w:rsidRPr="005A1F62">
        <w:t xml:space="preserve">иведет к нарушению норматива Н2 </w:t>
      </w:r>
      <w:r w:rsidR="00AA41E3" w:rsidRPr="005A1F62">
        <w:t>или Н3, стресс-фактор оказывает умеренное влияние на оценку кредитоспособности. В случае если отток средств даже второго из крупнейших кредиторов без учета ЦБ РФ</w:t>
      </w:r>
      <w:r w:rsidR="00FD6F30" w:rsidRPr="005A1F62">
        <w:t>,</w:t>
      </w:r>
      <w:r w:rsidR="005205B3" w:rsidRPr="005A1F62">
        <w:t xml:space="preserve"> связанных</w:t>
      </w:r>
      <w:r w:rsidR="00AA41E3" w:rsidRPr="005A1F62">
        <w:t xml:space="preserve"> с банком компаний </w:t>
      </w:r>
      <w:r w:rsidR="00FD6F30" w:rsidRPr="005A1F62">
        <w:t xml:space="preserve">и субординированных депозитов, до погашения которых остается не менее пяти лет, </w:t>
      </w:r>
      <w:r w:rsidR="00AA41E3" w:rsidRPr="005A1F62">
        <w:t>приведет к нарушению норматива Н2 или Н3, стресс-фактор оказывает сильное влияние на оценку кредитоспособности.</w:t>
      </w:r>
      <w:r w:rsidRPr="005A1F62">
        <w:t xml:space="preserve"> Для банков с базовой лицензией: в случае если отток средств крупнейшего кредитора без учета ЦБ РФ</w:t>
      </w:r>
      <w:r w:rsidR="00FD6F30" w:rsidRPr="005A1F62">
        <w:t>,</w:t>
      </w:r>
      <w:r w:rsidR="005205B3" w:rsidRPr="005A1F62">
        <w:t xml:space="preserve"> связанных</w:t>
      </w:r>
      <w:r w:rsidRPr="005A1F62">
        <w:t xml:space="preserve"> с банком компаний </w:t>
      </w:r>
      <w:r w:rsidR="00FD6F30" w:rsidRPr="005A1F62">
        <w:t xml:space="preserve">и субординированных депозитов, до погашения которых остается не менее пяти лет, </w:t>
      </w:r>
      <w:r w:rsidRPr="005A1F62">
        <w:t>в моменте или за месяц приведет к полному истощению запаса высоколиквидных активов или нарушению норматива Н3, стресс-фактор оказывает умеренное влияние на оценку кредитоспособности. В случае если отток средств даже второго из крупнейших кредиторов без учета ЦБ РФ</w:t>
      </w:r>
      <w:r w:rsidR="00FD6F30" w:rsidRPr="005A1F62">
        <w:t>,</w:t>
      </w:r>
      <w:r w:rsidR="005205B3" w:rsidRPr="005A1F62">
        <w:t xml:space="preserve"> связанных</w:t>
      </w:r>
      <w:r w:rsidRPr="005A1F62">
        <w:t xml:space="preserve"> с банком компаний </w:t>
      </w:r>
      <w:r w:rsidR="00FD6F30" w:rsidRPr="005A1F62">
        <w:t xml:space="preserve">и субординированных депозитов, до погашения которых остается не менее пяти лет, </w:t>
      </w:r>
      <w:r w:rsidRPr="005A1F62">
        <w:t>приведет к полному истощению запаса высоколиквидных активов или нарушению норматива Н3, стресс-фактор оказывает сильное влияние на оценку кредитоспособности.</w:t>
      </w:r>
    </w:p>
    <w:p w14:paraId="11338C5C" w14:textId="6C5522DA" w:rsidR="00F329C2" w:rsidRPr="005A1F62" w:rsidRDefault="00F329C2" w:rsidP="00B73C6D">
      <w:pPr>
        <w:numPr>
          <w:ilvl w:val="0"/>
          <w:numId w:val="25"/>
        </w:numPr>
        <w:tabs>
          <w:tab w:val="left" w:pos="709"/>
        </w:tabs>
        <w:ind w:left="0" w:firstLine="567"/>
        <w:contextualSpacing/>
        <w:jc w:val="both"/>
      </w:pPr>
      <w:r w:rsidRPr="005A1F62">
        <w:t>Для банков с ун</w:t>
      </w:r>
      <w:r w:rsidR="002410B4" w:rsidRPr="005A1F62">
        <w:t>ив</w:t>
      </w:r>
      <w:r w:rsidRPr="005A1F62">
        <w:t xml:space="preserve">ерсальной лицензией: в случае если чистый дневной отток от 5% до 7% привлеченных средств (без учета субординированных депозитов (кредитов), до погашения которых остается не менее пяти лет) срочностью свыше одного дня может привести к нарушению норматива Н2, выделяется умеренный стресс-фактор. Если чистый дневной отток менее 5% привлеченных средств (без учета субординированных депозитов (кредитов), до погашения которых остается не менее пяти лет) срочностью свыше одного дня может привести к нарушению норматива Н2, выделяется сильный стресс-фактор. Если чистый месячный отток от 5% до 10% привлеченных средств срочностью свыше 30 дней может привести к нарушению норматива Н3, выделяется умеренный стресс-фактор. Если чистый месячный отток менее чем 5% привлеченных средств срочностью свыше 30 дней может привести к нарушению норматива Н3, выделяется сильный стресс-фактор. Для банков с базовой лицензией: в случае если чистый дневной отток от 5% до 7% привлеченных средств (без учета субординированных депозитов (кредитов), до погашения которых остается не менее пяти лет) срочностью свыше одного дня может привести к полному истощению запаса высоколиквидных активов, выделяется умеренный стресс-фактор. Если чистый дневной отток менее 5% привлеченных средств (без учета субординированных депозитов (кредитов), до погашения которых остается не менее пяти лет) срочностью свыше одного дня может привести к полному истощению запаса высоколиквидных </w:t>
      </w:r>
      <w:r w:rsidR="00C82B07" w:rsidRPr="005A1F62">
        <w:t>активов</w:t>
      </w:r>
      <w:r w:rsidRPr="005A1F62">
        <w:t xml:space="preserve">, выделяется сильный стресс-фактор. Если чистый месячный отток от 5% до 10% привлеченных средств срочностью свыше 30 дней может привести к нарушению норматива Н3, выделяется умеренный стресс-фактор. Если чистый месячный отток менее чем 5% привлеченных средств срочностью свыше 30 дней может привести к нарушению норматива Н3, выделяется сильный стресс-фактор. </w:t>
      </w:r>
    </w:p>
    <w:p w14:paraId="4AA5E6CD" w14:textId="77777777" w:rsidR="00AA41E3" w:rsidRPr="005A1F62" w:rsidRDefault="00AA41E3" w:rsidP="00B73C6D">
      <w:pPr>
        <w:numPr>
          <w:ilvl w:val="0"/>
          <w:numId w:val="25"/>
        </w:numPr>
        <w:tabs>
          <w:tab w:val="left" w:pos="709"/>
        </w:tabs>
        <w:ind w:left="0" w:firstLine="567"/>
        <w:contextualSpacing/>
        <w:jc w:val="both"/>
      </w:pPr>
      <w:r w:rsidRPr="005A1F62">
        <w:t xml:space="preserve">В случае если объем средств, привлеченных от ЦБ РФ в рамках операций </w:t>
      </w:r>
      <w:r w:rsidR="00CB6C5B" w:rsidRPr="005A1F62">
        <w:t xml:space="preserve">репо </w:t>
      </w:r>
      <w:r w:rsidRPr="005A1F62">
        <w:t xml:space="preserve">и под залог нерыночных активов на срок до 30 дней, превышает размер высоколиквидных активов (Лам) в </w:t>
      </w:r>
      <w:r w:rsidR="00CB6C5B" w:rsidRPr="005A1F62">
        <w:t xml:space="preserve">пять </w:t>
      </w:r>
      <w:r w:rsidRPr="005A1F62">
        <w:t xml:space="preserve">и более раз, стресс-фактор оказывает умеренное влияние на оценку кредитоспособности. В случае если объем средств, привлеченных от ЦБ РФ в рамках операций </w:t>
      </w:r>
      <w:r w:rsidR="00CB6C5B" w:rsidRPr="005A1F62">
        <w:t xml:space="preserve">репо </w:t>
      </w:r>
      <w:r w:rsidRPr="005A1F62">
        <w:t xml:space="preserve">и под залог нерыночных активов на срок до 30 дней, превышает размер </w:t>
      </w:r>
      <w:r w:rsidRPr="005A1F62">
        <w:lastRenderedPageBreak/>
        <w:t xml:space="preserve">высоколиквидных активов (Лам) в </w:t>
      </w:r>
      <w:r w:rsidR="00CB6C5B" w:rsidRPr="005A1F62">
        <w:t xml:space="preserve">десять </w:t>
      </w:r>
      <w:r w:rsidRPr="005A1F62">
        <w:t>и более раз, стресс-фактор оказывает сильное влияние на оценку кредитоспособности.</w:t>
      </w:r>
    </w:p>
    <w:p w14:paraId="5994360A" w14:textId="77777777" w:rsidR="00AA41E3" w:rsidRPr="005A1F62" w:rsidRDefault="00AA41E3" w:rsidP="00B73C6D">
      <w:pPr>
        <w:numPr>
          <w:ilvl w:val="0"/>
          <w:numId w:val="25"/>
        </w:numPr>
        <w:tabs>
          <w:tab w:val="left" w:pos="709"/>
        </w:tabs>
        <w:ind w:left="0" w:firstLine="567"/>
        <w:contextualSpacing/>
        <w:jc w:val="both"/>
      </w:pPr>
      <w:r w:rsidRPr="005A1F62">
        <w:t xml:space="preserve">В случае если объем средств, привлеченных от ЦБ РФ в рамках операций </w:t>
      </w:r>
      <w:r w:rsidR="00CB6C5B" w:rsidRPr="005A1F62">
        <w:t xml:space="preserve">репо </w:t>
      </w:r>
      <w:r w:rsidRPr="005A1F62">
        <w:t xml:space="preserve">и под залог нерыночных активов на срок до 30 дней, превышает размер ликвидных активов (Лат) в 1,6 </w:t>
      </w:r>
      <w:r w:rsidR="00CB6C5B" w:rsidRPr="005A1F62">
        <w:t xml:space="preserve">раза </w:t>
      </w:r>
      <w:r w:rsidRPr="005A1F62">
        <w:t xml:space="preserve">и более, стресс-фактор оказывает умеренное влияние на оценку кредитоспособности. В случае если объем средств, привлеченных от ЦБ РФ в рамках операций </w:t>
      </w:r>
      <w:r w:rsidR="00CB6C5B" w:rsidRPr="005A1F62">
        <w:t xml:space="preserve">репо </w:t>
      </w:r>
      <w:r w:rsidRPr="005A1F62">
        <w:t>и под залог нерыночных активов на срок до 30 дней, превышает размер ликвидных активов (Лат) в 2,5</w:t>
      </w:r>
      <w:r w:rsidR="00CB6C5B" w:rsidRPr="005A1F62">
        <w:t xml:space="preserve"> раза</w:t>
      </w:r>
      <w:r w:rsidRPr="005A1F62">
        <w:t xml:space="preserve"> и более, стресс-фактор оказывает сильное влияние на оценку кредитоспособности.</w:t>
      </w:r>
    </w:p>
    <w:p w14:paraId="25EA093B" w14:textId="5DEDFEFE" w:rsidR="00AA41E3" w:rsidRPr="005A1F62" w:rsidRDefault="00AA41E3" w:rsidP="00B73C6D">
      <w:pPr>
        <w:numPr>
          <w:ilvl w:val="0"/>
          <w:numId w:val="25"/>
        </w:numPr>
        <w:tabs>
          <w:tab w:val="left" w:pos="709"/>
        </w:tabs>
        <w:ind w:left="0" w:firstLine="567"/>
        <w:contextualSpacing/>
        <w:jc w:val="both"/>
      </w:pPr>
      <w:r w:rsidRPr="005A1F62">
        <w:t xml:space="preserve">В случае если объем привлеченных от других банков кредитов и депозитов на срок до 30 дней, а также средств на корреспондентских счетах превышает размер высоколиквидных активов (Лам) в </w:t>
      </w:r>
      <w:r w:rsidR="006F33D1" w:rsidRPr="005A1F62">
        <w:t>2</w:t>
      </w:r>
      <w:r w:rsidRPr="005A1F62">
        <w:t xml:space="preserve"> </w:t>
      </w:r>
      <w:r w:rsidR="00044A03" w:rsidRPr="005A1F62">
        <w:t xml:space="preserve">раза </w:t>
      </w:r>
      <w:r w:rsidRPr="005A1F62">
        <w:t>и более</w:t>
      </w:r>
      <w:r w:rsidR="006F33D1" w:rsidRPr="005A1F62">
        <w:t xml:space="preserve"> на любые две последовательные месячные даты за последние четыре месяца</w:t>
      </w:r>
      <w:r w:rsidRPr="005A1F62">
        <w:t>, стресс-фактор оказывает умеренное влияние на оценку кредитоспособности. В случае если объем средств, привлеченных от других банков кредитов и депозитов на срок до 30 дней, а также средств на корреспондентских счетах превышает размер высоколиквидных активов (Лам) в 5 и более раз, стресс-фактор оказывает сильное влияние на оценку кредитоспособности.</w:t>
      </w:r>
    </w:p>
    <w:p w14:paraId="1E70EFFB" w14:textId="03B12310" w:rsidR="00AA41E3" w:rsidRPr="005A1F62" w:rsidRDefault="00AA41E3" w:rsidP="00B73C6D">
      <w:pPr>
        <w:numPr>
          <w:ilvl w:val="0"/>
          <w:numId w:val="25"/>
        </w:numPr>
        <w:tabs>
          <w:tab w:val="left" w:pos="709"/>
        </w:tabs>
        <w:ind w:left="0" w:firstLine="567"/>
        <w:contextualSpacing/>
        <w:jc w:val="both"/>
      </w:pPr>
      <w:r w:rsidRPr="005A1F62">
        <w:t xml:space="preserve">В случае если объем средств, привлеченных от других банков кредитов и депозитов на срок до 30 дней, а также средств на корреспондентских счетах по отношению к размеру ликвидных активов (Лат) составляет </w:t>
      </w:r>
      <w:r w:rsidR="006F33D1" w:rsidRPr="005A1F62">
        <w:t>1,0</w:t>
      </w:r>
      <w:r w:rsidR="00704064" w:rsidRPr="005A1F62">
        <w:t>0</w:t>
      </w:r>
      <w:r w:rsidRPr="005A1F62">
        <w:t xml:space="preserve"> и более</w:t>
      </w:r>
      <w:r w:rsidR="006F33D1" w:rsidRPr="005A1F62">
        <w:t xml:space="preserve"> на любые две последовательные месячные даты за последние четыре месяца</w:t>
      </w:r>
      <w:r w:rsidRPr="005A1F62">
        <w:t>, стресс-фактор оказывает умеренное влияние на оценку кредитоспособности. В случае если объем средств, привлеченных от других банков кредитов и депозитов на срок до 30 дней, а также средств на корреспондентских счетах превышает размер ликвидных активов (Лат) в 1,</w:t>
      </w:r>
      <w:r w:rsidR="00C747C0" w:rsidRPr="005A1F62">
        <w:t>5</w:t>
      </w:r>
      <w:r w:rsidRPr="005A1F62">
        <w:t xml:space="preserve"> </w:t>
      </w:r>
      <w:r w:rsidR="00044A03" w:rsidRPr="005A1F62">
        <w:t xml:space="preserve">раза </w:t>
      </w:r>
      <w:r w:rsidRPr="005A1F62">
        <w:t>и более, стресс-фактор оказывает сильное влияние на оценку кредитоспособности.</w:t>
      </w:r>
    </w:p>
    <w:p w14:paraId="0F76D906" w14:textId="77777777" w:rsidR="00AA41E3" w:rsidRPr="005A1F62" w:rsidRDefault="00AA41E3" w:rsidP="00DC2FED">
      <w:pPr>
        <w:tabs>
          <w:tab w:val="left" w:pos="709"/>
        </w:tabs>
        <w:ind w:firstLine="567"/>
        <w:jc w:val="both"/>
        <w:rPr>
          <w:i/>
        </w:rPr>
      </w:pPr>
    </w:p>
    <w:p w14:paraId="5D706A02" w14:textId="77777777" w:rsidR="00AA41E3" w:rsidRPr="005A1F62" w:rsidRDefault="00AA41E3" w:rsidP="00DC2FED">
      <w:pPr>
        <w:tabs>
          <w:tab w:val="left" w:pos="709"/>
        </w:tabs>
        <w:ind w:firstLine="567"/>
        <w:jc w:val="both"/>
      </w:pPr>
      <w:r w:rsidRPr="005A1F62">
        <w:t>Оценка влияния стресс-фактора ресурсной базы на оценку кредитоспособности осуществляется с учетом следующих пояснений:</w:t>
      </w:r>
    </w:p>
    <w:p w14:paraId="3C9FBCB9" w14:textId="509C3606" w:rsidR="00AA41E3" w:rsidRPr="005A1F62" w:rsidRDefault="00112365" w:rsidP="004E2D10">
      <w:pPr>
        <w:numPr>
          <w:ilvl w:val="0"/>
          <w:numId w:val="26"/>
        </w:numPr>
        <w:tabs>
          <w:tab w:val="left" w:pos="709"/>
        </w:tabs>
        <w:ind w:left="0" w:firstLine="567"/>
        <w:contextualSpacing/>
        <w:jc w:val="both"/>
      </w:pPr>
      <w:r w:rsidRPr="005A1F62">
        <w:t>Оценка уязвимости запаса ликвидности к оттоку средств крупнейших клиентов может быть скорректирована экспертно при наличии у Агентства уверенности в стабильности средств крупнейших кредиторов в среднесрочной перспективе (в частности, если привлеченные от них срочные ресурсы имеют безотзывной характер).</w:t>
      </w:r>
    </w:p>
    <w:p w14:paraId="5717D18F" w14:textId="77777777" w:rsidR="00AA41E3" w:rsidRPr="005A1F62" w:rsidRDefault="00AA41E3" w:rsidP="004E2D10">
      <w:pPr>
        <w:numPr>
          <w:ilvl w:val="0"/>
          <w:numId w:val="26"/>
        </w:numPr>
        <w:tabs>
          <w:tab w:val="left" w:pos="709"/>
        </w:tabs>
        <w:ind w:left="0" w:firstLine="567"/>
        <w:contextualSpacing/>
        <w:jc w:val="both"/>
      </w:pPr>
      <w:r w:rsidRPr="005A1F62">
        <w:t xml:space="preserve">Оценка подверженности банка рискам рефинансирования средств, привлеченных от ЦБ РФ в рамках операций </w:t>
      </w:r>
      <w:r w:rsidR="00044A03" w:rsidRPr="005A1F62">
        <w:t>репо</w:t>
      </w:r>
      <w:r w:rsidRPr="005A1F62">
        <w:t xml:space="preserve">, может быть скорректирована аналитиком в случаях заключения сделок на срок больше 30 дней или отражения обязательств на балансе банка, который выполняет роль агента по сделке, не принимая рисков неисполнения обязательств. Пример – годовое валютное </w:t>
      </w:r>
      <w:r w:rsidR="00044A03" w:rsidRPr="005A1F62">
        <w:t xml:space="preserve">репо </w:t>
      </w:r>
      <w:r w:rsidRPr="005A1F62">
        <w:t xml:space="preserve">с ЦБ РФ. Кроме того, при оценке рисков рефинансирования привлеченных от ЦБ РФ средств безрисковым с позиции ликвидности следует считать то привлечение, которое осуществлено как прямое </w:t>
      </w:r>
      <w:r w:rsidR="00044A03" w:rsidRPr="005A1F62">
        <w:t xml:space="preserve">репо </w:t>
      </w:r>
      <w:r w:rsidRPr="005A1F62">
        <w:t xml:space="preserve">под залог ценных бумаг, не принадлежащих банку на праве собственности, а полученных в качестве залога в рамках обратного </w:t>
      </w:r>
      <w:r w:rsidR="00044A03" w:rsidRPr="005A1F62">
        <w:t xml:space="preserve">репо </w:t>
      </w:r>
      <w:r w:rsidRPr="005A1F62">
        <w:t>с третьими контрагентами при условии, что нет большого разрыва между сроками исполнения обязательств по обеим сделкам и нет оснований сомневаться в ликвидности этих ценных бумаг на срок сделки.</w:t>
      </w:r>
    </w:p>
    <w:p w14:paraId="47CF384F" w14:textId="558D41D9" w:rsidR="00AA41E3" w:rsidRPr="005A1F62" w:rsidRDefault="00AA41E3" w:rsidP="004E2D10">
      <w:pPr>
        <w:numPr>
          <w:ilvl w:val="0"/>
          <w:numId w:val="26"/>
        </w:numPr>
        <w:tabs>
          <w:tab w:val="left" w:pos="709"/>
        </w:tabs>
        <w:ind w:left="0" w:firstLine="567"/>
        <w:contextualSpacing/>
        <w:jc w:val="both"/>
      </w:pPr>
      <w:r w:rsidRPr="005A1F62">
        <w:t>Критерии соответствующих стресс-фактору рисков рефинансирования средств, привлеченных от ЦБ РФ, мягче, чем по привлеченным от других банков средствам, исходя из результатов тестирования и в связи с большей устойчивостью финансирования от ЦБ РФ. На практике ЦБ РФ, как правило, закрывает лимит кредитования под залог ценных бумаг непосредственно перед отзывом лицензии. Т</w:t>
      </w:r>
      <w:r w:rsidR="00044A03" w:rsidRPr="005A1F62">
        <w:t>о есть</w:t>
      </w:r>
      <w:r w:rsidRPr="005A1F62">
        <w:t xml:space="preserve"> даже при снижении классификационной группы по </w:t>
      </w:r>
      <w:r w:rsidR="00044A03" w:rsidRPr="005A1F62">
        <w:t>№</w:t>
      </w:r>
      <w:r w:rsidR="00DD3DEE" w:rsidRPr="005A1F62">
        <w:t>4336</w:t>
      </w:r>
      <w:r w:rsidRPr="005A1F62">
        <w:t xml:space="preserve">-У ниже 3-й, что является основанием для закрытия лимита фондирования, действующий лимит по факту не закрывается. Лимиты </w:t>
      </w:r>
      <w:r w:rsidRPr="005A1F62">
        <w:lastRenderedPageBreak/>
        <w:t>фондирования на межбанковском кредитном рынке не регулируются какими-либо документальными соглашениями и оперативно изменяются</w:t>
      </w:r>
      <w:r w:rsidR="00044A03" w:rsidRPr="005A1F62">
        <w:t xml:space="preserve"> </w:t>
      </w:r>
      <w:r w:rsidRPr="005A1F62">
        <w:t>/</w:t>
      </w:r>
      <w:r w:rsidR="00044A03" w:rsidRPr="005A1F62">
        <w:t xml:space="preserve"> </w:t>
      </w:r>
      <w:r w:rsidRPr="005A1F62">
        <w:t>закрываются одной стороной исходя из ее собственной оценки надежности контрагента, что обуславливает более жесткие бенчмарки.</w:t>
      </w:r>
    </w:p>
    <w:p w14:paraId="73B014F9" w14:textId="23CBB07B" w:rsidR="00AA41E3" w:rsidRPr="005A1F62" w:rsidRDefault="00AA41E3" w:rsidP="004E2D10">
      <w:pPr>
        <w:numPr>
          <w:ilvl w:val="0"/>
          <w:numId w:val="26"/>
        </w:numPr>
        <w:tabs>
          <w:tab w:val="left" w:pos="709"/>
        </w:tabs>
        <w:ind w:left="0" w:firstLine="567"/>
        <w:contextualSpacing/>
        <w:jc w:val="both"/>
      </w:pPr>
      <w:r w:rsidRPr="005A1F62">
        <w:t xml:space="preserve">При тестировании запаса ликвидности к выплате по крупнейшей выданной гарантии </w:t>
      </w:r>
      <w:r w:rsidR="007F7204" w:rsidRPr="005A1F62">
        <w:t>А</w:t>
      </w:r>
      <w:r w:rsidRPr="005A1F62">
        <w:t>гентство в случае критичности такой выплаты запрашивает у банка предусмотренный договором порядок выплаты по этой гарантии в случае реализации риска. Гарантии, предусматривающие не единовременные выплаты, а платежи по графику в течение длительного периода времени (больше одного квартала)</w:t>
      </w:r>
      <w:r w:rsidR="00044A03" w:rsidRPr="005A1F62">
        <w:t>,</w:t>
      </w:r>
      <w:r w:rsidRPr="005A1F62">
        <w:t xml:space="preserve"> исключаются из стресс-тестирования запаса ликвидности.</w:t>
      </w:r>
    </w:p>
    <w:p w14:paraId="45219256" w14:textId="77777777" w:rsidR="00AA41E3" w:rsidRPr="005A1F62" w:rsidRDefault="00AA41E3" w:rsidP="004E2D10">
      <w:pPr>
        <w:numPr>
          <w:ilvl w:val="0"/>
          <w:numId w:val="26"/>
        </w:numPr>
        <w:tabs>
          <w:tab w:val="left" w:pos="709"/>
        </w:tabs>
        <w:ind w:left="0" w:firstLine="567"/>
        <w:contextualSpacing/>
        <w:jc w:val="both"/>
      </w:pPr>
      <w:r w:rsidRPr="005A1F62">
        <w:t xml:space="preserve">При оценке уязвимости запаса ликвидности к потенциальному оттоку средств крупнейших кредиторов сумма обязательств банка перед данными кредиторами уменьшается на сумму привлеченных от этих кредиторов безотзывных депозитов, по которым не предусмотрено полного или частичного досрочного изъятия и нет ковенантов на досрочное погашение и </w:t>
      </w:r>
      <w:proofErr w:type="gramStart"/>
      <w:r w:rsidRPr="005A1F62">
        <w:t>до погашения</w:t>
      </w:r>
      <w:proofErr w:type="gramEnd"/>
      <w:r w:rsidRPr="005A1F62">
        <w:t xml:space="preserve"> которых больше одного квартала.</w:t>
      </w:r>
    </w:p>
    <w:p w14:paraId="33F7CD14" w14:textId="77777777" w:rsidR="00AA41E3" w:rsidRPr="005A1F62" w:rsidRDefault="00AA41E3" w:rsidP="004E2D10">
      <w:pPr>
        <w:numPr>
          <w:ilvl w:val="0"/>
          <w:numId w:val="26"/>
        </w:numPr>
        <w:tabs>
          <w:tab w:val="left" w:pos="709"/>
        </w:tabs>
        <w:ind w:left="0" w:firstLine="567"/>
        <w:contextualSpacing/>
        <w:jc w:val="both"/>
      </w:pPr>
      <w:r w:rsidRPr="005A1F62">
        <w:t>При проведении стресс-тестирования ликвидности в целях определения стресс-фактора ресурсной базы необходимо увеличивать запас высоколиквидных активов (устойчивость которого к оттокам привлеченных средств на горизонте одного операционного дня оценивается как один из критериев стресс-фактора) на ряд источников оперативного аккумулирования мгновенной ликвидности.</w:t>
      </w:r>
    </w:p>
    <w:p w14:paraId="448337F4" w14:textId="77777777" w:rsidR="00AA41E3" w:rsidRPr="005A1F62" w:rsidRDefault="00AA41E3" w:rsidP="00DC2FED">
      <w:pPr>
        <w:tabs>
          <w:tab w:val="left" w:pos="709"/>
        </w:tabs>
        <w:ind w:firstLine="567"/>
        <w:contextualSpacing/>
        <w:jc w:val="both"/>
      </w:pPr>
      <w:r w:rsidRPr="005A1F62">
        <w:t>К таким источникам относятся:</w:t>
      </w:r>
    </w:p>
    <w:p w14:paraId="7906749D" w14:textId="2F6AA6C7" w:rsidR="00AA41E3" w:rsidRPr="005A1F62" w:rsidRDefault="00AA41E3" w:rsidP="00B73C6D">
      <w:pPr>
        <w:numPr>
          <w:ilvl w:val="0"/>
          <w:numId w:val="20"/>
        </w:numPr>
        <w:tabs>
          <w:tab w:val="left" w:pos="709"/>
        </w:tabs>
        <w:ind w:left="567" w:firstLine="0"/>
        <w:jc w:val="both"/>
      </w:pPr>
      <w:r w:rsidRPr="005A1F62">
        <w:t xml:space="preserve">включенные в Ломбардный список ЦБ РФ с минимальными дисконтами облигации, имеющие высокие </w:t>
      </w:r>
      <w:r w:rsidR="00654F0F" w:rsidRPr="005A1F62">
        <w:t>условные рейтинговые классы</w:t>
      </w:r>
      <w:r w:rsidRPr="005A1F62">
        <w:t>, не входящие при этом в состав высоколиквидных активов и не имеющие обременения на момент оценки;</w:t>
      </w:r>
    </w:p>
    <w:p w14:paraId="07B4973C" w14:textId="5D89D86C" w:rsidR="00AA41E3" w:rsidRPr="005A1F62" w:rsidRDefault="00AA41E3" w:rsidP="00B73C6D">
      <w:pPr>
        <w:numPr>
          <w:ilvl w:val="0"/>
          <w:numId w:val="20"/>
        </w:numPr>
        <w:tabs>
          <w:tab w:val="left" w:pos="709"/>
        </w:tabs>
        <w:ind w:left="567" w:firstLine="0"/>
        <w:jc w:val="both"/>
      </w:pPr>
      <w:r w:rsidRPr="005A1F62">
        <w:t xml:space="preserve">30% размещенных на срок свыше </w:t>
      </w:r>
      <w:r w:rsidR="00044A03" w:rsidRPr="005A1F62">
        <w:t xml:space="preserve">одного </w:t>
      </w:r>
      <w:r w:rsidRPr="005A1F62">
        <w:t>дня, но не больше 30 дней межбанковских депозитов (в т</w:t>
      </w:r>
      <w:r w:rsidR="00044A03" w:rsidRPr="005A1F62">
        <w:t>ом числе</w:t>
      </w:r>
      <w:r w:rsidRPr="005A1F62">
        <w:t xml:space="preserve"> в ЦБ РФ) и кредитов контрагентам, вероятность неисполнения обязательств которыми оценивается как минимальная в соответствии с присвоенными им </w:t>
      </w:r>
      <w:r w:rsidR="00654F0F" w:rsidRPr="005A1F62">
        <w:t>условными рейтинговыми классами (ru</w:t>
      </w:r>
      <w:r w:rsidR="00D2475A" w:rsidRPr="005A1F62">
        <w:rPr>
          <w:lang w:val="en-US"/>
        </w:rPr>
        <w:t>AA</w:t>
      </w:r>
      <w:r w:rsidR="00D2475A" w:rsidRPr="005A1F62">
        <w:t>-</w:t>
      </w:r>
      <w:r w:rsidR="00654F0F" w:rsidRPr="005A1F62">
        <w:t xml:space="preserve"> и выше)</w:t>
      </w:r>
      <w:r w:rsidR="00262006" w:rsidRPr="005A1F62">
        <w:t xml:space="preserve"> </w:t>
      </w:r>
      <w:r w:rsidRPr="005A1F62">
        <w:t>или иными безусловными факторами (центральные банки, банки развития);</w:t>
      </w:r>
    </w:p>
    <w:p w14:paraId="361A975D" w14:textId="77777777" w:rsidR="00AA41E3" w:rsidRPr="005A1F62" w:rsidRDefault="00AA41E3" w:rsidP="00B73C6D">
      <w:pPr>
        <w:numPr>
          <w:ilvl w:val="0"/>
          <w:numId w:val="20"/>
        </w:numPr>
        <w:tabs>
          <w:tab w:val="left" w:pos="709"/>
        </w:tabs>
        <w:ind w:left="567" w:firstLine="0"/>
        <w:jc w:val="both"/>
      </w:pPr>
      <w:r w:rsidRPr="005A1F62">
        <w:t xml:space="preserve">ценные бумаги, полученные по операциям, совершаемым на возвратной основе (полученные в залог по сделкам обратного </w:t>
      </w:r>
      <w:r w:rsidR="00044A03" w:rsidRPr="005A1F62">
        <w:t xml:space="preserve">репо </w:t>
      </w:r>
      <w:r w:rsidRPr="005A1F62">
        <w:t xml:space="preserve">ценные бумаги) в части необремененных по сделкам прямого </w:t>
      </w:r>
      <w:r w:rsidR="00044A03" w:rsidRPr="005A1F62">
        <w:t xml:space="preserve">репо </w:t>
      </w:r>
      <w:r w:rsidRPr="005A1F62">
        <w:t>ценных бумаг, включенных в Ломбардный список ЦБ РФ, и с корректировкой на средний дисконт при потенциальном принятии их в залог ЦБ РФ</w:t>
      </w:r>
      <w:r w:rsidR="00044A03" w:rsidRPr="005A1F62">
        <w:t>;</w:t>
      </w:r>
    </w:p>
    <w:p w14:paraId="352D97F6" w14:textId="77777777" w:rsidR="00AA41E3" w:rsidRPr="005A1F62" w:rsidRDefault="00AA41E3" w:rsidP="00B73C6D">
      <w:pPr>
        <w:numPr>
          <w:ilvl w:val="0"/>
          <w:numId w:val="20"/>
        </w:numPr>
        <w:tabs>
          <w:tab w:val="left" w:pos="709"/>
        </w:tabs>
        <w:ind w:left="567" w:firstLine="0"/>
        <w:jc w:val="both"/>
      </w:pPr>
      <w:r w:rsidRPr="005A1F62">
        <w:t>иные утвержденные членами рейтингового комитета источники аккумулирования мгновенной ликвидности (не учтенные в расчете высоколиквидных активов ликвидные активы), в число которых входят остатки по счетам расчетов с биржами (47404) и по конверсионным операциям и срочным сделкам (47408) в части «коротких» инструментов, подтвержденных биржевыми выписками, ликвидные ценные бумаги, не включенные в Ломбардный список ЦБ РФ, при устойчивом спросе на них (например, государственные облигации стран с низким уровнем странового риска).</w:t>
      </w:r>
    </w:p>
    <w:p w14:paraId="312B95A7" w14:textId="206EC1C4" w:rsidR="00635EEB" w:rsidRPr="005A1F62" w:rsidRDefault="00D153AC" w:rsidP="00DC2FED">
      <w:pPr>
        <w:tabs>
          <w:tab w:val="left" w:pos="709"/>
        </w:tabs>
        <w:ind w:firstLine="567"/>
        <w:jc w:val="both"/>
      </w:pPr>
      <w:r w:rsidRPr="005A1F62">
        <w:t>Объем ликвидных активов, увеличенный на описанные выше источники аккумулирования мгновенной ликвидности, используется в стресс-тестировании ликвидности в целях определения стресс-фактора ресурсной базы по всем сценариям.</w:t>
      </w:r>
      <w:r w:rsidR="00635EEB" w:rsidRPr="005A1F62">
        <w:t xml:space="preserve"> Аналогичным образом при стресс-тестировании ликвидности на горизонте 30 дней объем ликвидных активов увеличивается на источники аккумулирования текущей ликвидности, к которым Агентство относит включенные в Ломбардный список ЦБ РФ с минимальными дисконтами ценные бумаги, имеющие высокие </w:t>
      </w:r>
      <w:r w:rsidR="00654F0F" w:rsidRPr="005A1F62">
        <w:t>условные рейтинговые классы</w:t>
      </w:r>
      <w:r w:rsidR="00635EEB" w:rsidRPr="005A1F62">
        <w:t xml:space="preserve">, не входящие при этом в состав ликвидных активов (удерживаемых в портфеле до погашения) и не </w:t>
      </w:r>
      <w:r w:rsidR="00635EEB" w:rsidRPr="005A1F62">
        <w:lastRenderedPageBreak/>
        <w:t>имеющие обременения на момент оценки, а также возможное фондирование под залог ценных бумаг клиентов, полученных по сделкам обратного РЕПО (с учетом уровня обременения и дисконтов</w:t>
      </w:r>
      <w:r w:rsidR="00654F0F" w:rsidRPr="005A1F62">
        <w:t>)</w:t>
      </w:r>
      <w:r w:rsidR="00085280" w:rsidRPr="005A1F62">
        <w:t>,</w:t>
      </w:r>
      <w:r w:rsidR="00654F0F" w:rsidRPr="005A1F62">
        <w:t xml:space="preserve"> и </w:t>
      </w:r>
      <w:r w:rsidR="002B0234" w:rsidRPr="005A1F62">
        <w:t xml:space="preserve">иные </w:t>
      </w:r>
      <w:r w:rsidR="00654F0F" w:rsidRPr="005A1F62">
        <w:t>источники аккумулирования текущей ликвидности</w:t>
      </w:r>
      <w:r w:rsidR="00635EEB" w:rsidRPr="005A1F62">
        <w:t>.</w:t>
      </w:r>
    </w:p>
    <w:p w14:paraId="701906F9" w14:textId="77777777" w:rsidR="00AA41E3" w:rsidRPr="005A1F62" w:rsidRDefault="00AA41E3" w:rsidP="00DC2FED">
      <w:pPr>
        <w:tabs>
          <w:tab w:val="left" w:pos="709"/>
        </w:tabs>
        <w:ind w:firstLine="567"/>
        <w:jc w:val="both"/>
        <w:rPr>
          <w:b/>
          <w:i/>
        </w:rPr>
      </w:pPr>
    </w:p>
    <w:p w14:paraId="0B2D8076" w14:textId="0DD1BBDF" w:rsidR="00AA41E3" w:rsidRPr="005A1F62" w:rsidRDefault="00AA41E3" w:rsidP="00DC2FED">
      <w:pPr>
        <w:tabs>
          <w:tab w:val="left" w:pos="709"/>
        </w:tabs>
        <w:ind w:firstLine="567"/>
        <w:jc w:val="both"/>
        <w:rPr>
          <w:b/>
        </w:rPr>
      </w:pPr>
      <w:r w:rsidRPr="005A1F62">
        <w:rPr>
          <w:b/>
        </w:rPr>
        <w:t>4.1.6 Внутренний стресс-фактор активно-пассивных операций</w:t>
      </w:r>
    </w:p>
    <w:p w14:paraId="42212384" w14:textId="77777777" w:rsidR="00482CEA" w:rsidRPr="005A1F62" w:rsidRDefault="00482CEA" w:rsidP="00DC2FED">
      <w:pPr>
        <w:tabs>
          <w:tab w:val="left" w:pos="709"/>
        </w:tabs>
        <w:ind w:firstLine="567"/>
        <w:jc w:val="both"/>
        <w:rPr>
          <w:b/>
        </w:rPr>
      </w:pPr>
    </w:p>
    <w:p w14:paraId="6BA5E809" w14:textId="7714098B" w:rsidR="00AA41E3" w:rsidRPr="005A1F62" w:rsidRDefault="00AA41E3" w:rsidP="00DC2FED">
      <w:pPr>
        <w:tabs>
          <w:tab w:val="left" w:pos="709"/>
        </w:tabs>
        <w:ind w:firstLine="567"/>
        <w:jc w:val="both"/>
      </w:pPr>
      <w:r w:rsidRPr="005A1F62">
        <w:t xml:space="preserve">Повышенная уязвимость капитала банка к убыткам, которые могут привести к снижению нормативов достаточности капитала </w:t>
      </w:r>
      <w:r w:rsidR="006D2201" w:rsidRPr="005A1F62">
        <w:t xml:space="preserve">и (или) абсолютного размера капитала банка </w:t>
      </w:r>
      <w:r w:rsidRPr="005A1F62">
        <w:t>ниже регулятивного минимума, крайне негативно влияет на кредитоспособность банка и отражается в стресс-факторе активно-пассивных операций. Влияние стресс-фактора может быть умеренным, сильным, очень сильным</w:t>
      </w:r>
      <w:r w:rsidR="00CD78CF" w:rsidRPr="005A1F62">
        <w:t xml:space="preserve"> </w:t>
      </w:r>
      <w:r w:rsidR="0009723F" w:rsidRPr="005A1F62">
        <w:t>и сверхсильным</w:t>
      </w:r>
      <w:r w:rsidRPr="005A1F62">
        <w:t>. Для оценки стресс-фактора используются как количественные,</w:t>
      </w:r>
      <w:r w:rsidR="002B0234" w:rsidRPr="005A1F62">
        <w:t xml:space="preserve"> так и качественные показатели.</w:t>
      </w:r>
    </w:p>
    <w:p w14:paraId="56C391D0" w14:textId="0C409442" w:rsidR="00AA41E3" w:rsidRPr="005A1F62" w:rsidRDefault="00AA41E3" w:rsidP="00DC2FED">
      <w:pPr>
        <w:tabs>
          <w:tab w:val="left" w:pos="709"/>
        </w:tabs>
        <w:ind w:firstLine="567"/>
        <w:jc w:val="both"/>
      </w:pPr>
      <w:r w:rsidRPr="005A1F62">
        <w:t xml:space="preserve">Основные </w:t>
      </w:r>
      <w:r w:rsidR="00C87094" w:rsidRPr="005A1F62">
        <w:t xml:space="preserve">критерии </w:t>
      </w:r>
      <w:r w:rsidRPr="005A1F62">
        <w:t>для оценки влияния стресс-фактора активно-пассивных операций:</w:t>
      </w:r>
    </w:p>
    <w:p w14:paraId="7E1B7A5E" w14:textId="77777777" w:rsidR="00B73C6D" w:rsidRPr="005A1F62" w:rsidRDefault="00B73C6D" w:rsidP="00B73C6D">
      <w:pPr>
        <w:pStyle w:val="afb"/>
        <w:numPr>
          <w:ilvl w:val="0"/>
          <w:numId w:val="79"/>
        </w:numPr>
        <w:tabs>
          <w:tab w:val="left" w:pos="709"/>
        </w:tabs>
        <w:jc w:val="both"/>
      </w:pPr>
      <w:r w:rsidRPr="005A1F62">
        <w:t>наличие признаков вывода активов;</w:t>
      </w:r>
    </w:p>
    <w:p w14:paraId="7F32583D" w14:textId="77777777" w:rsidR="00B73C6D" w:rsidRPr="005A1F62" w:rsidRDefault="00B73C6D" w:rsidP="00B73C6D">
      <w:pPr>
        <w:pStyle w:val="afb"/>
        <w:numPr>
          <w:ilvl w:val="0"/>
          <w:numId w:val="79"/>
        </w:numPr>
        <w:tabs>
          <w:tab w:val="left" w:pos="709"/>
        </w:tabs>
        <w:jc w:val="both"/>
      </w:pPr>
      <w:r w:rsidRPr="005A1F62">
        <w:t>повышенная уязвимость капитала к реализации кредитных рисков;</w:t>
      </w:r>
    </w:p>
    <w:p w14:paraId="4970122C" w14:textId="77777777" w:rsidR="00B73C6D" w:rsidRPr="005A1F62" w:rsidRDefault="00B73C6D" w:rsidP="00B73C6D">
      <w:pPr>
        <w:pStyle w:val="afb"/>
        <w:numPr>
          <w:ilvl w:val="0"/>
          <w:numId w:val="79"/>
        </w:numPr>
        <w:tabs>
          <w:tab w:val="left" w:pos="709"/>
        </w:tabs>
        <w:jc w:val="both"/>
      </w:pPr>
      <w:r w:rsidRPr="005A1F62">
        <w:t>низкий запас по нормативам достаточности капитала относительно регулятивных минимумов;</w:t>
      </w:r>
    </w:p>
    <w:p w14:paraId="6B75FF1E" w14:textId="77777777" w:rsidR="00B73C6D" w:rsidRPr="005A1F62" w:rsidRDefault="00B73C6D" w:rsidP="00B73C6D">
      <w:pPr>
        <w:pStyle w:val="afb"/>
        <w:numPr>
          <w:ilvl w:val="0"/>
          <w:numId w:val="79"/>
        </w:numPr>
        <w:tabs>
          <w:tab w:val="left" w:pos="709"/>
        </w:tabs>
        <w:jc w:val="both"/>
      </w:pPr>
      <w:r w:rsidRPr="005A1F62">
        <w:t>низкий запас по абсолютному размеру собственных средств банка относительно регулятивного минимума;</w:t>
      </w:r>
    </w:p>
    <w:p w14:paraId="28C919A3" w14:textId="77777777" w:rsidR="00B73C6D" w:rsidRPr="005A1F62" w:rsidRDefault="00B73C6D" w:rsidP="00B73C6D">
      <w:pPr>
        <w:pStyle w:val="afb"/>
        <w:numPr>
          <w:ilvl w:val="0"/>
          <w:numId w:val="79"/>
        </w:numPr>
        <w:tabs>
          <w:tab w:val="left" w:pos="709"/>
        </w:tabs>
        <w:jc w:val="both"/>
      </w:pPr>
      <w:r w:rsidRPr="005A1F62">
        <w:t>крайне активный рост кредитного портфеля и (или) портфеля гарантий;</w:t>
      </w:r>
    </w:p>
    <w:p w14:paraId="45E93FE1" w14:textId="332809FE" w:rsidR="00B73C6D" w:rsidRPr="005A1F62" w:rsidRDefault="00B73C6D" w:rsidP="00B73C6D">
      <w:pPr>
        <w:pStyle w:val="afb"/>
        <w:numPr>
          <w:ilvl w:val="0"/>
          <w:numId w:val="79"/>
        </w:numPr>
        <w:tabs>
          <w:tab w:val="left" w:pos="709"/>
        </w:tabs>
        <w:jc w:val="both"/>
      </w:pPr>
      <w:r w:rsidRPr="005A1F62">
        <w:t>ожидаемый убыток в существенном объеме.</w:t>
      </w:r>
    </w:p>
    <w:p w14:paraId="38A09F1D" w14:textId="149DE209" w:rsidR="0075106A" w:rsidRPr="005A1F62" w:rsidRDefault="0075106A" w:rsidP="0075106A">
      <w:pPr>
        <w:tabs>
          <w:tab w:val="left" w:pos="709"/>
        </w:tabs>
        <w:ind w:firstLine="567"/>
        <w:jc w:val="both"/>
      </w:pPr>
      <w:bookmarkStart w:id="236" w:name="_Hlk43310682"/>
      <w:r w:rsidRPr="005A1F62">
        <w:t xml:space="preserve">Критерии </w:t>
      </w:r>
      <w:r w:rsidR="00C87094" w:rsidRPr="005A1F62">
        <w:t>3</w:t>
      </w:r>
      <w:r w:rsidRPr="005A1F62">
        <w:t xml:space="preserve"> и </w:t>
      </w:r>
      <w:r w:rsidR="00C87094" w:rsidRPr="005A1F62">
        <w:t>4</w:t>
      </w:r>
      <w:r w:rsidRPr="005A1F62">
        <w:t xml:space="preserve"> не оцениваются для банков на санации, если, по мнению Агентства, высока вероятность того, что на горизонте ближайших 12 месяцев к объекту рейтинга не будут предъявляться соответствующие требования к нормативам и капиталу.</w:t>
      </w:r>
      <w:r w:rsidR="00C87094" w:rsidRPr="005A1F62">
        <w:t xml:space="preserve"> При появлении информации, свидетельствующей о необходимости соблюдения санируемым банком требований к нормативам и капиталу в среднесрочной перспективе (например, в связи со сроками окончания действия плана финансового оздоровления), стресс-фактор активно-пассивных операций начинает оцениваться по всем вышеприведенным критериям.</w:t>
      </w:r>
    </w:p>
    <w:bookmarkEnd w:id="236"/>
    <w:p w14:paraId="22142812" w14:textId="514B72D5" w:rsidR="0075106A" w:rsidRPr="005A1F62" w:rsidRDefault="0075106A" w:rsidP="0075106A">
      <w:pPr>
        <w:tabs>
          <w:tab w:val="left" w:pos="709"/>
        </w:tabs>
        <w:ind w:firstLine="567"/>
        <w:jc w:val="both"/>
      </w:pPr>
    </w:p>
    <w:p w14:paraId="22AE16B7" w14:textId="77777777" w:rsidR="00AA41E3" w:rsidRPr="005A1F62" w:rsidRDefault="00AA41E3" w:rsidP="00DC2FED">
      <w:pPr>
        <w:tabs>
          <w:tab w:val="left" w:pos="709"/>
        </w:tabs>
        <w:ind w:firstLine="567"/>
        <w:jc w:val="both"/>
      </w:pPr>
    </w:p>
    <w:p w14:paraId="0BAA27B3" w14:textId="0C5C6010" w:rsidR="00AA41E3" w:rsidRPr="005A1F62" w:rsidRDefault="00AA41E3" w:rsidP="00DC2FED">
      <w:pPr>
        <w:tabs>
          <w:tab w:val="left" w:pos="709"/>
        </w:tabs>
        <w:ind w:firstLine="567"/>
        <w:jc w:val="both"/>
      </w:pPr>
      <w:r w:rsidRPr="005A1F62">
        <w:t>4.1.6.1 Наличие признаков вывода активов</w:t>
      </w:r>
    </w:p>
    <w:p w14:paraId="4EDE08DF" w14:textId="77777777" w:rsidR="00482CEA" w:rsidRPr="005A1F62" w:rsidRDefault="00482CEA" w:rsidP="00DC2FED">
      <w:pPr>
        <w:tabs>
          <w:tab w:val="left" w:pos="709"/>
        </w:tabs>
        <w:ind w:firstLine="567"/>
        <w:jc w:val="both"/>
      </w:pPr>
    </w:p>
    <w:p w14:paraId="19C1C0DE" w14:textId="64986F08" w:rsidR="00AA41E3" w:rsidRPr="005A1F62" w:rsidRDefault="00AA41E3" w:rsidP="00DC2FED">
      <w:pPr>
        <w:tabs>
          <w:tab w:val="left" w:pos="709"/>
        </w:tabs>
        <w:ind w:firstLine="567"/>
        <w:jc w:val="both"/>
      </w:pPr>
      <w:r w:rsidRPr="005A1F62">
        <w:t xml:space="preserve">Наличие признаков вывода активов и объем выведенных активов определяется </w:t>
      </w:r>
      <w:r w:rsidR="007F7204" w:rsidRPr="005A1F62">
        <w:t>А</w:t>
      </w:r>
      <w:r w:rsidRPr="005A1F62">
        <w:t>гентством на основе экспертного суждения. К признакам вывода активов</w:t>
      </w:r>
      <w:r w:rsidR="00927F3B" w:rsidRPr="005A1F62">
        <w:t>, например,</w:t>
      </w:r>
      <w:r w:rsidRPr="005A1F62">
        <w:t xml:space="preserve"> могут быть отнесены следующие факты:</w:t>
      </w:r>
    </w:p>
    <w:p w14:paraId="3910B906" w14:textId="77777777" w:rsidR="00AA41E3" w:rsidRPr="005A1F62" w:rsidRDefault="00AA41E3" w:rsidP="00B73C6D">
      <w:pPr>
        <w:numPr>
          <w:ilvl w:val="0"/>
          <w:numId w:val="27"/>
        </w:numPr>
        <w:tabs>
          <w:tab w:val="left" w:pos="709"/>
        </w:tabs>
        <w:ind w:left="0" w:firstLine="567"/>
        <w:jc w:val="both"/>
      </w:pPr>
      <w:r w:rsidRPr="005A1F62">
        <w:t>размещение средств в низколиквидные ценные бумаги (прежде всего долевые);</w:t>
      </w:r>
    </w:p>
    <w:p w14:paraId="5196F3BF" w14:textId="768A9848" w:rsidR="00AA41E3" w:rsidRPr="005A1F62" w:rsidRDefault="00AA41E3" w:rsidP="00B73C6D">
      <w:pPr>
        <w:numPr>
          <w:ilvl w:val="0"/>
          <w:numId w:val="27"/>
        </w:numPr>
        <w:tabs>
          <w:tab w:val="left" w:pos="709"/>
        </w:tabs>
        <w:ind w:left="0" w:firstLine="567"/>
        <w:jc w:val="both"/>
      </w:pPr>
      <w:r w:rsidRPr="005A1F62">
        <w:t xml:space="preserve">учет ценных бумаг в депозитарии, </w:t>
      </w:r>
      <w:r w:rsidR="005D3E5A" w:rsidRPr="005A1F62">
        <w:t>соответ</w:t>
      </w:r>
      <w:r w:rsidR="00C7612B" w:rsidRPr="005A1F62">
        <w:t>ст</w:t>
      </w:r>
      <w:r w:rsidR="005D3E5A" w:rsidRPr="005A1F62">
        <w:t>вующ</w:t>
      </w:r>
      <w:r w:rsidR="00C7612B" w:rsidRPr="005A1F62">
        <w:t>е</w:t>
      </w:r>
      <w:r w:rsidR="005D3E5A" w:rsidRPr="005A1F62">
        <w:t xml:space="preserve">м условному рейтинговому классу на уровне </w:t>
      </w:r>
      <w:r w:rsidR="005D3E5A" w:rsidRPr="005A1F62">
        <w:rPr>
          <w:lang w:val="en-US"/>
        </w:rPr>
        <w:t>ruBB</w:t>
      </w:r>
      <w:r w:rsidR="005D3E5A" w:rsidRPr="005A1F62">
        <w:t xml:space="preserve">- или ниже, или условный рейтинговый класс которого определить не представляется возможным </w:t>
      </w:r>
      <w:r w:rsidRPr="005A1F62">
        <w:t>в сочетании с отсутствием прецедентов обременения данных бумаг рыночными контрагентами;</w:t>
      </w:r>
    </w:p>
    <w:p w14:paraId="2711B4B0" w14:textId="77777777" w:rsidR="00AA41E3" w:rsidRPr="005A1F62" w:rsidRDefault="00AA41E3" w:rsidP="00B73C6D">
      <w:pPr>
        <w:numPr>
          <w:ilvl w:val="0"/>
          <w:numId w:val="27"/>
        </w:numPr>
        <w:tabs>
          <w:tab w:val="left" w:pos="709"/>
        </w:tabs>
        <w:ind w:left="0" w:firstLine="567"/>
        <w:jc w:val="both"/>
      </w:pPr>
      <w:r w:rsidRPr="005A1F62">
        <w:t>сочетание высокой доли наличных денежных средств в активах при низкой оборачиваемости счетов по учету наличных денежных средств и (или) неочевидном экономическом смысле поддержания высокой доли кассы в активах;</w:t>
      </w:r>
    </w:p>
    <w:p w14:paraId="6D4D96A8" w14:textId="77777777" w:rsidR="00AA41E3" w:rsidRPr="005A1F62" w:rsidRDefault="00AA41E3" w:rsidP="00B73C6D">
      <w:pPr>
        <w:numPr>
          <w:ilvl w:val="0"/>
          <w:numId w:val="27"/>
        </w:numPr>
        <w:tabs>
          <w:tab w:val="left" w:pos="709"/>
        </w:tabs>
        <w:ind w:left="0" w:firstLine="567"/>
        <w:jc w:val="both"/>
      </w:pPr>
      <w:r w:rsidRPr="005A1F62">
        <w:t xml:space="preserve">привлечение средств физлиц под ставки, превышающие среднерыночные, и их дальнейшее размещение на </w:t>
      </w:r>
      <w:r w:rsidR="00DD4DD1" w:rsidRPr="005A1F62">
        <w:t xml:space="preserve">корреспондентских </w:t>
      </w:r>
      <w:r w:rsidRPr="005A1F62">
        <w:t>счета</w:t>
      </w:r>
      <w:r w:rsidR="00DD4DD1" w:rsidRPr="005A1F62">
        <w:t>х</w:t>
      </w:r>
      <w:r w:rsidRPr="005A1F62">
        <w:t xml:space="preserve">, не </w:t>
      </w:r>
      <w:r w:rsidR="00DD4DD1" w:rsidRPr="005A1F62">
        <w:t xml:space="preserve">приносящих </w:t>
      </w:r>
      <w:r w:rsidRPr="005A1F62">
        <w:t>доход;</w:t>
      </w:r>
    </w:p>
    <w:p w14:paraId="54999940" w14:textId="77777777" w:rsidR="00AA41E3" w:rsidRPr="005A1F62" w:rsidRDefault="00AA41E3" w:rsidP="00B73C6D">
      <w:pPr>
        <w:numPr>
          <w:ilvl w:val="0"/>
          <w:numId w:val="27"/>
        </w:numPr>
        <w:tabs>
          <w:tab w:val="left" w:pos="709"/>
        </w:tabs>
        <w:ind w:left="0" w:firstLine="567"/>
        <w:jc w:val="both"/>
      </w:pPr>
      <w:r w:rsidRPr="005A1F62">
        <w:t xml:space="preserve">привлечение валютных пассивов под ставки, превышающие среднерыночные, с их дальнейшим размещением в менее </w:t>
      </w:r>
      <w:r w:rsidR="00DD4DD1" w:rsidRPr="005A1F62">
        <w:t xml:space="preserve">доходных аккредитивах </w:t>
      </w:r>
      <w:r w:rsidRPr="005A1F62">
        <w:t>по иностранным операциям;</w:t>
      </w:r>
    </w:p>
    <w:p w14:paraId="23990D95" w14:textId="77777777" w:rsidR="00AA41E3" w:rsidRPr="005A1F62" w:rsidRDefault="00AA41E3" w:rsidP="00B73C6D">
      <w:pPr>
        <w:numPr>
          <w:ilvl w:val="0"/>
          <w:numId w:val="27"/>
        </w:numPr>
        <w:tabs>
          <w:tab w:val="left" w:pos="709"/>
        </w:tabs>
        <w:ind w:left="0" w:firstLine="567"/>
        <w:jc w:val="both"/>
      </w:pPr>
      <w:r w:rsidRPr="005A1F62">
        <w:lastRenderedPageBreak/>
        <w:t>размещения в кредиты компаниям без очевидного экономического смысла и</w:t>
      </w:r>
      <w:r w:rsidR="00DD4DD1" w:rsidRPr="005A1F62">
        <w:t xml:space="preserve"> (</w:t>
      </w:r>
      <w:r w:rsidRPr="005A1F62">
        <w:t>или</w:t>
      </w:r>
      <w:r w:rsidR="00DD4DD1" w:rsidRPr="005A1F62">
        <w:t>)</w:t>
      </w:r>
      <w:r w:rsidRPr="005A1F62">
        <w:t xml:space="preserve"> компаниям, обладающим признаками отсутствия реальной деятельности, например: </w:t>
      </w:r>
    </w:p>
    <w:p w14:paraId="41AAE518" w14:textId="00ED28F4" w:rsidR="00AA41E3" w:rsidRPr="005A1F62" w:rsidRDefault="00AA41E3" w:rsidP="00B73C6D">
      <w:pPr>
        <w:numPr>
          <w:ilvl w:val="0"/>
          <w:numId w:val="16"/>
        </w:numPr>
        <w:tabs>
          <w:tab w:val="left" w:pos="709"/>
        </w:tabs>
        <w:ind w:left="0" w:firstLine="567"/>
        <w:jc w:val="both"/>
      </w:pPr>
      <w:r w:rsidRPr="005A1F62">
        <w:t xml:space="preserve">значительная часть кредитного портфеля (свыше 50%) классифицирована в соответствии с пунктом 3.12.3 </w:t>
      </w:r>
      <w:r w:rsidR="00DD4DD1" w:rsidRPr="005A1F62">
        <w:t xml:space="preserve">положения </w:t>
      </w:r>
      <w:r w:rsidRPr="005A1F62">
        <w:t>ЦБ РФ №</w:t>
      </w:r>
      <w:r w:rsidR="00DD3DEE" w:rsidRPr="005A1F62">
        <w:t>590</w:t>
      </w:r>
      <w:r w:rsidRPr="005A1F62">
        <w:t>-П;</w:t>
      </w:r>
    </w:p>
    <w:p w14:paraId="5423ACFF" w14:textId="4DD775A6" w:rsidR="00AA41E3" w:rsidRPr="005A1F62" w:rsidRDefault="00AA41E3" w:rsidP="00B73C6D">
      <w:pPr>
        <w:numPr>
          <w:ilvl w:val="0"/>
          <w:numId w:val="16"/>
        </w:numPr>
        <w:tabs>
          <w:tab w:val="left" w:pos="709"/>
        </w:tabs>
        <w:ind w:left="0" w:firstLine="567"/>
        <w:jc w:val="both"/>
      </w:pPr>
      <w:r w:rsidRPr="005A1F62">
        <w:t xml:space="preserve">низкая оборачиваемость кредитного портфеля (менее 10% в месяц) или сочетание значительных оборотов с практикой </w:t>
      </w:r>
      <w:r w:rsidR="00DD4DD1" w:rsidRPr="005A1F62">
        <w:t>«</w:t>
      </w:r>
      <w:r w:rsidRPr="005A1F62">
        <w:t>перекредитовки</w:t>
      </w:r>
      <w:r w:rsidR="00DD4DD1" w:rsidRPr="005A1F62">
        <w:t>»</w:t>
      </w:r>
      <w:r w:rsidRPr="005A1F62">
        <w:t xml:space="preserve"> тех же заемщи</w:t>
      </w:r>
      <w:r w:rsidR="005205B3" w:rsidRPr="005A1F62">
        <w:t>ков или связанных</w:t>
      </w:r>
      <w:r w:rsidRPr="005A1F62">
        <w:t xml:space="preserve"> с ними заемщиков;</w:t>
      </w:r>
    </w:p>
    <w:p w14:paraId="77B0A653" w14:textId="77777777" w:rsidR="00AA41E3" w:rsidRPr="005A1F62" w:rsidRDefault="00AA41E3" w:rsidP="00B73C6D">
      <w:pPr>
        <w:numPr>
          <w:ilvl w:val="0"/>
          <w:numId w:val="16"/>
        </w:numPr>
        <w:tabs>
          <w:tab w:val="left" w:pos="709"/>
        </w:tabs>
        <w:ind w:left="0" w:firstLine="567"/>
        <w:jc w:val="both"/>
      </w:pPr>
      <w:r w:rsidRPr="005A1F62">
        <w:t>отсутствие ликвидного имущественного обеспечения по кредитному портфелю;</w:t>
      </w:r>
    </w:p>
    <w:p w14:paraId="4EE9A960" w14:textId="24C63BE6" w:rsidR="00AA41E3" w:rsidRPr="005A1F62" w:rsidRDefault="00AA41E3" w:rsidP="00B73C6D">
      <w:pPr>
        <w:numPr>
          <w:ilvl w:val="0"/>
          <w:numId w:val="16"/>
        </w:numPr>
        <w:tabs>
          <w:tab w:val="left" w:pos="709"/>
        </w:tabs>
        <w:ind w:left="0" w:firstLine="567"/>
        <w:jc w:val="both"/>
      </w:pPr>
      <w:r w:rsidRPr="005A1F62">
        <w:t xml:space="preserve">кредитование высокорискованных заемщиков, которые, по информации </w:t>
      </w:r>
      <w:r w:rsidR="007F7204" w:rsidRPr="005A1F62">
        <w:t>А</w:t>
      </w:r>
      <w:r w:rsidRPr="005A1F62">
        <w:t>гентства, допускали факты неисполнения обязательств либо имеют признаки технической компании.</w:t>
      </w:r>
    </w:p>
    <w:p w14:paraId="75139F04" w14:textId="3BB74035" w:rsidR="00AA41E3" w:rsidRPr="005A1F62" w:rsidRDefault="00AA41E3" w:rsidP="00DC2FED">
      <w:pPr>
        <w:tabs>
          <w:tab w:val="left" w:pos="709"/>
        </w:tabs>
        <w:ind w:firstLine="567"/>
        <w:jc w:val="both"/>
      </w:pPr>
      <w:r w:rsidRPr="005A1F62">
        <w:t>Объем выведенных активов рассчитывается с учетом указанных признаков</w:t>
      </w:r>
      <w:r w:rsidR="00D36FBC" w:rsidRPr="005A1F62">
        <w:t xml:space="preserve">. </w:t>
      </w:r>
      <w:r w:rsidR="007F7204" w:rsidRPr="005A1F62">
        <w:t>А</w:t>
      </w:r>
      <w:r w:rsidRPr="005A1F62">
        <w:t>гентство оценивает значения нормативов достаточности капитала при потенциальном полном обесценении рассчитанной величины выведенных активов. Уровень влияния стресс-фактора определяется исходя из оценочных значений нормативов после описанной корректировки.</w:t>
      </w:r>
    </w:p>
    <w:p w14:paraId="0CC83FD0" w14:textId="77777777" w:rsidR="00AA41E3" w:rsidRPr="005A1F62" w:rsidRDefault="00AA41E3" w:rsidP="00DC2FED">
      <w:pPr>
        <w:tabs>
          <w:tab w:val="left" w:pos="709"/>
        </w:tabs>
        <w:ind w:firstLine="567"/>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8"/>
        <w:gridCol w:w="2408"/>
        <w:gridCol w:w="2407"/>
      </w:tblGrid>
      <w:tr w:rsidR="00AA41E3" w:rsidRPr="005A1F62" w14:paraId="3724BF68" w14:textId="77777777" w:rsidTr="00482CEA">
        <w:tc>
          <w:tcPr>
            <w:tcW w:w="1135" w:type="pct"/>
            <w:shd w:val="clear" w:color="auto" w:fill="D9D9D9" w:themeFill="background1" w:themeFillShade="D9"/>
            <w:vAlign w:val="center"/>
          </w:tcPr>
          <w:p w14:paraId="7944BCA4" w14:textId="77777777" w:rsidR="00AA41E3" w:rsidRPr="005A1F62" w:rsidRDefault="00AA41E3" w:rsidP="00482CEA">
            <w:pPr>
              <w:tabs>
                <w:tab w:val="left" w:pos="709"/>
              </w:tabs>
              <w:contextualSpacing/>
              <w:rPr>
                <w:b/>
              </w:rPr>
            </w:pPr>
            <w:r w:rsidRPr="005A1F62">
              <w:rPr>
                <w:b/>
              </w:rPr>
              <w:t>Влияние стресс-фактора</w:t>
            </w:r>
          </w:p>
        </w:tc>
        <w:tc>
          <w:tcPr>
            <w:tcW w:w="1288" w:type="pct"/>
            <w:shd w:val="clear" w:color="auto" w:fill="D9D9D9" w:themeFill="background1" w:themeFillShade="D9"/>
            <w:vAlign w:val="center"/>
          </w:tcPr>
          <w:p w14:paraId="5D05D49D" w14:textId="77777777" w:rsidR="00AA41E3" w:rsidRPr="005A1F62" w:rsidRDefault="00AA41E3" w:rsidP="00482CEA">
            <w:pPr>
              <w:tabs>
                <w:tab w:val="left" w:pos="709"/>
              </w:tabs>
              <w:contextualSpacing/>
              <w:jc w:val="center"/>
              <w:rPr>
                <w:b/>
              </w:rPr>
            </w:pPr>
            <w:r w:rsidRPr="005A1F62">
              <w:rPr>
                <w:b/>
              </w:rPr>
              <w:t>Н1.0, %</w:t>
            </w:r>
          </w:p>
        </w:tc>
        <w:tc>
          <w:tcPr>
            <w:tcW w:w="1288" w:type="pct"/>
            <w:shd w:val="clear" w:color="auto" w:fill="D9D9D9" w:themeFill="background1" w:themeFillShade="D9"/>
            <w:vAlign w:val="center"/>
          </w:tcPr>
          <w:p w14:paraId="43BA80BF" w14:textId="77777777" w:rsidR="00AA41E3" w:rsidRPr="005A1F62" w:rsidRDefault="00AA41E3" w:rsidP="00482CEA">
            <w:pPr>
              <w:tabs>
                <w:tab w:val="left" w:pos="709"/>
              </w:tabs>
              <w:contextualSpacing/>
              <w:jc w:val="center"/>
              <w:rPr>
                <w:b/>
              </w:rPr>
            </w:pPr>
            <w:r w:rsidRPr="005A1F62">
              <w:rPr>
                <w:b/>
              </w:rPr>
              <w:t>Н1.2, %</w:t>
            </w:r>
          </w:p>
        </w:tc>
        <w:tc>
          <w:tcPr>
            <w:tcW w:w="1288" w:type="pct"/>
            <w:shd w:val="clear" w:color="auto" w:fill="D9D9D9" w:themeFill="background1" w:themeFillShade="D9"/>
            <w:vAlign w:val="center"/>
          </w:tcPr>
          <w:p w14:paraId="64EA06F0" w14:textId="77777777" w:rsidR="00AA41E3" w:rsidRPr="005A1F62" w:rsidRDefault="00AA41E3" w:rsidP="00482CEA">
            <w:pPr>
              <w:tabs>
                <w:tab w:val="left" w:pos="709"/>
              </w:tabs>
              <w:contextualSpacing/>
              <w:jc w:val="center"/>
              <w:rPr>
                <w:b/>
              </w:rPr>
            </w:pPr>
            <w:r w:rsidRPr="005A1F62">
              <w:rPr>
                <w:b/>
              </w:rPr>
              <w:t>Н1.1, %</w:t>
            </w:r>
          </w:p>
          <w:p w14:paraId="01190014" w14:textId="77777777" w:rsidR="00960F9B" w:rsidRPr="005A1F62" w:rsidRDefault="00960F9B" w:rsidP="00482CEA">
            <w:pPr>
              <w:tabs>
                <w:tab w:val="left" w:pos="709"/>
              </w:tabs>
              <w:contextualSpacing/>
              <w:jc w:val="center"/>
              <w:rPr>
                <w:b/>
              </w:rPr>
            </w:pPr>
            <w:r w:rsidRPr="005A1F62">
              <w:rPr>
                <w:b/>
              </w:rPr>
              <w:t>(только для банков с универсальной лицензией)</w:t>
            </w:r>
          </w:p>
        </w:tc>
      </w:tr>
      <w:tr w:rsidR="00AA41E3" w:rsidRPr="005A1F62" w14:paraId="5CDB1130" w14:textId="77777777" w:rsidTr="00482CEA">
        <w:tc>
          <w:tcPr>
            <w:tcW w:w="1135" w:type="pct"/>
            <w:shd w:val="clear" w:color="auto" w:fill="auto"/>
          </w:tcPr>
          <w:p w14:paraId="17CFBED8" w14:textId="77777777" w:rsidR="00AA41E3" w:rsidRPr="005A1F62" w:rsidRDefault="00AA41E3" w:rsidP="00DC2FED">
            <w:pPr>
              <w:tabs>
                <w:tab w:val="left" w:pos="709"/>
              </w:tabs>
              <w:contextualSpacing/>
              <w:jc w:val="both"/>
            </w:pPr>
            <w:r w:rsidRPr="005A1F62">
              <w:t>Умеренное</w:t>
            </w:r>
          </w:p>
        </w:tc>
        <w:tc>
          <w:tcPr>
            <w:tcW w:w="1288" w:type="pct"/>
            <w:shd w:val="clear" w:color="auto" w:fill="auto"/>
            <w:vAlign w:val="center"/>
          </w:tcPr>
          <w:p w14:paraId="17D91D0B" w14:textId="77777777" w:rsidR="00AA41E3" w:rsidRPr="005A1F62" w:rsidRDefault="00AA41E3" w:rsidP="00482CEA">
            <w:pPr>
              <w:tabs>
                <w:tab w:val="left" w:pos="709"/>
              </w:tabs>
              <w:contextualSpacing/>
              <w:jc w:val="center"/>
            </w:pPr>
            <w:r w:rsidRPr="005A1F62">
              <w:t>(8,5-8,0)</w:t>
            </w:r>
          </w:p>
        </w:tc>
        <w:tc>
          <w:tcPr>
            <w:tcW w:w="1288" w:type="pct"/>
            <w:shd w:val="clear" w:color="auto" w:fill="auto"/>
            <w:vAlign w:val="center"/>
          </w:tcPr>
          <w:p w14:paraId="7F3BE7CA" w14:textId="77777777" w:rsidR="00AA41E3" w:rsidRPr="005A1F62" w:rsidRDefault="00AA41E3" w:rsidP="00482CEA">
            <w:pPr>
              <w:tabs>
                <w:tab w:val="left" w:pos="709"/>
              </w:tabs>
              <w:contextualSpacing/>
              <w:jc w:val="center"/>
              <w:rPr>
                <w:lang w:val="en-US"/>
              </w:rPr>
            </w:pPr>
            <w:r w:rsidRPr="005A1F62">
              <w:t>(6,5-6,0</w:t>
            </w:r>
            <w:r w:rsidRPr="005A1F62">
              <w:rPr>
                <w:lang w:val="en-US"/>
              </w:rPr>
              <w:t>)</w:t>
            </w:r>
          </w:p>
        </w:tc>
        <w:tc>
          <w:tcPr>
            <w:tcW w:w="1288" w:type="pct"/>
            <w:shd w:val="clear" w:color="auto" w:fill="auto"/>
            <w:vAlign w:val="center"/>
          </w:tcPr>
          <w:p w14:paraId="38382473" w14:textId="77777777" w:rsidR="00AA41E3" w:rsidRPr="005A1F62" w:rsidRDefault="00AA41E3" w:rsidP="00482CEA">
            <w:pPr>
              <w:tabs>
                <w:tab w:val="left" w:pos="709"/>
              </w:tabs>
              <w:contextualSpacing/>
              <w:jc w:val="center"/>
              <w:rPr>
                <w:lang w:val="en-US"/>
              </w:rPr>
            </w:pPr>
            <w:r w:rsidRPr="005A1F62">
              <w:t>(5,0-4,5)</w:t>
            </w:r>
          </w:p>
        </w:tc>
      </w:tr>
      <w:tr w:rsidR="00AA41E3" w:rsidRPr="005A1F62" w14:paraId="7BFC50C6" w14:textId="77777777" w:rsidTr="00482CEA">
        <w:tc>
          <w:tcPr>
            <w:tcW w:w="1135" w:type="pct"/>
            <w:shd w:val="clear" w:color="auto" w:fill="auto"/>
          </w:tcPr>
          <w:p w14:paraId="5B2F4E3B" w14:textId="77777777" w:rsidR="00AA41E3" w:rsidRPr="005A1F62" w:rsidRDefault="00AA41E3" w:rsidP="00DC2FED">
            <w:pPr>
              <w:tabs>
                <w:tab w:val="left" w:pos="709"/>
              </w:tabs>
              <w:contextualSpacing/>
              <w:jc w:val="both"/>
            </w:pPr>
            <w:r w:rsidRPr="005A1F62">
              <w:t>Сильное</w:t>
            </w:r>
          </w:p>
        </w:tc>
        <w:tc>
          <w:tcPr>
            <w:tcW w:w="1288" w:type="pct"/>
            <w:shd w:val="clear" w:color="auto" w:fill="auto"/>
            <w:vAlign w:val="center"/>
          </w:tcPr>
          <w:p w14:paraId="40D90793" w14:textId="77777777" w:rsidR="00AA41E3" w:rsidRPr="005A1F62" w:rsidRDefault="00AA41E3" w:rsidP="00482CEA">
            <w:pPr>
              <w:tabs>
                <w:tab w:val="left" w:pos="709"/>
              </w:tabs>
              <w:contextualSpacing/>
              <w:jc w:val="center"/>
            </w:pPr>
            <w:r w:rsidRPr="005A1F62">
              <w:t>[8,0-5,0)</w:t>
            </w:r>
          </w:p>
        </w:tc>
        <w:tc>
          <w:tcPr>
            <w:tcW w:w="1288" w:type="pct"/>
            <w:shd w:val="clear" w:color="auto" w:fill="auto"/>
            <w:vAlign w:val="center"/>
          </w:tcPr>
          <w:p w14:paraId="61045995" w14:textId="77777777" w:rsidR="00AA41E3" w:rsidRPr="005A1F62" w:rsidRDefault="00AA41E3" w:rsidP="00482CEA">
            <w:pPr>
              <w:tabs>
                <w:tab w:val="left" w:pos="709"/>
              </w:tabs>
              <w:contextualSpacing/>
              <w:jc w:val="center"/>
              <w:rPr>
                <w:lang w:val="en-US"/>
              </w:rPr>
            </w:pPr>
            <w:r w:rsidRPr="005A1F62">
              <w:rPr>
                <w:lang w:val="en-US"/>
              </w:rPr>
              <w:t>[</w:t>
            </w:r>
            <w:r w:rsidRPr="005A1F62">
              <w:t>6,0-4,0</w:t>
            </w:r>
            <w:r w:rsidRPr="005A1F62">
              <w:rPr>
                <w:lang w:val="en-US"/>
              </w:rPr>
              <w:t>)</w:t>
            </w:r>
          </w:p>
        </w:tc>
        <w:tc>
          <w:tcPr>
            <w:tcW w:w="1288" w:type="pct"/>
            <w:shd w:val="clear" w:color="auto" w:fill="auto"/>
            <w:vAlign w:val="center"/>
          </w:tcPr>
          <w:p w14:paraId="7EED9865" w14:textId="77777777" w:rsidR="00AA41E3" w:rsidRPr="005A1F62" w:rsidRDefault="00AA41E3" w:rsidP="00482CEA">
            <w:pPr>
              <w:tabs>
                <w:tab w:val="left" w:pos="709"/>
              </w:tabs>
              <w:contextualSpacing/>
              <w:jc w:val="center"/>
            </w:pPr>
            <w:r w:rsidRPr="005A1F62">
              <w:rPr>
                <w:lang w:val="en-US"/>
              </w:rPr>
              <w:t>[</w:t>
            </w:r>
            <w:r w:rsidRPr="005A1F62">
              <w:t>4,5-3,25)</w:t>
            </w:r>
          </w:p>
        </w:tc>
      </w:tr>
      <w:tr w:rsidR="00AA41E3" w:rsidRPr="005A1F62" w14:paraId="3AC14ED8" w14:textId="77777777" w:rsidTr="00482CEA">
        <w:tc>
          <w:tcPr>
            <w:tcW w:w="1135" w:type="pct"/>
            <w:shd w:val="clear" w:color="auto" w:fill="auto"/>
          </w:tcPr>
          <w:p w14:paraId="19B3C653" w14:textId="77777777" w:rsidR="00AA41E3" w:rsidRPr="005A1F62" w:rsidRDefault="00AA41E3" w:rsidP="00DC2FED">
            <w:pPr>
              <w:tabs>
                <w:tab w:val="left" w:pos="709"/>
              </w:tabs>
              <w:contextualSpacing/>
              <w:jc w:val="both"/>
            </w:pPr>
            <w:r w:rsidRPr="005A1F62">
              <w:t>Очень сильное</w:t>
            </w:r>
          </w:p>
        </w:tc>
        <w:tc>
          <w:tcPr>
            <w:tcW w:w="1288" w:type="pct"/>
            <w:shd w:val="clear" w:color="auto" w:fill="auto"/>
            <w:vAlign w:val="center"/>
          </w:tcPr>
          <w:p w14:paraId="20CC2483" w14:textId="77777777" w:rsidR="00AA41E3" w:rsidRPr="005A1F62" w:rsidRDefault="00AA41E3" w:rsidP="00482CEA">
            <w:pPr>
              <w:tabs>
                <w:tab w:val="left" w:pos="709"/>
              </w:tabs>
              <w:contextualSpacing/>
              <w:jc w:val="center"/>
            </w:pPr>
            <w:r w:rsidRPr="005A1F62">
              <w:t>[5,0-2,0)</w:t>
            </w:r>
          </w:p>
        </w:tc>
        <w:tc>
          <w:tcPr>
            <w:tcW w:w="1288" w:type="pct"/>
            <w:shd w:val="clear" w:color="auto" w:fill="auto"/>
            <w:vAlign w:val="center"/>
          </w:tcPr>
          <w:p w14:paraId="52A17E92" w14:textId="77777777" w:rsidR="00AA41E3" w:rsidRPr="005A1F62" w:rsidRDefault="00AA41E3" w:rsidP="00482CEA">
            <w:pPr>
              <w:tabs>
                <w:tab w:val="left" w:pos="709"/>
              </w:tabs>
              <w:contextualSpacing/>
              <w:jc w:val="center"/>
              <w:rPr>
                <w:lang w:val="en-US"/>
              </w:rPr>
            </w:pPr>
            <w:r w:rsidRPr="005A1F62">
              <w:rPr>
                <w:lang w:val="en-US"/>
              </w:rPr>
              <w:t>[</w:t>
            </w:r>
            <w:r w:rsidRPr="005A1F62">
              <w:t>4,0-2,0</w:t>
            </w:r>
            <w:r w:rsidRPr="005A1F62">
              <w:rPr>
                <w:lang w:val="en-US"/>
              </w:rPr>
              <w:t>)</w:t>
            </w:r>
          </w:p>
        </w:tc>
        <w:tc>
          <w:tcPr>
            <w:tcW w:w="1288" w:type="pct"/>
            <w:shd w:val="clear" w:color="auto" w:fill="auto"/>
            <w:vAlign w:val="center"/>
          </w:tcPr>
          <w:p w14:paraId="18817DBC" w14:textId="77777777" w:rsidR="00AA41E3" w:rsidRPr="005A1F62" w:rsidRDefault="00AA41E3" w:rsidP="00482CEA">
            <w:pPr>
              <w:tabs>
                <w:tab w:val="left" w:pos="709"/>
              </w:tabs>
              <w:contextualSpacing/>
              <w:jc w:val="center"/>
            </w:pPr>
            <w:r w:rsidRPr="005A1F62">
              <w:rPr>
                <w:lang w:val="en-US"/>
              </w:rPr>
              <w:t>[</w:t>
            </w:r>
            <w:r w:rsidRPr="005A1F62">
              <w:t>3,25-2,0)</w:t>
            </w:r>
          </w:p>
        </w:tc>
      </w:tr>
      <w:tr w:rsidR="00AA41E3" w:rsidRPr="005A1F62" w14:paraId="58ACE7BB" w14:textId="77777777" w:rsidTr="00482CEA">
        <w:tc>
          <w:tcPr>
            <w:tcW w:w="1135" w:type="pct"/>
            <w:shd w:val="clear" w:color="auto" w:fill="auto"/>
          </w:tcPr>
          <w:p w14:paraId="24FA7B21" w14:textId="0C1B14A0" w:rsidR="00AA41E3" w:rsidRPr="005A1F62" w:rsidRDefault="00D1677F" w:rsidP="00DC2FED">
            <w:pPr>
              <w:tabs>
                <w:tab w:val="left" w:pos="709"/>
              </w:tabs>
              <w:contextualSpacing/>
              <w:jc w:val="both"/>
            </w:pPr>
            <w:r w:rsidRPr="005A1F62">
              <w:t>Сверхсильное</w:t>
            </w:r>
          </w:p>
        </w:tc>
        <w:tc>
          <w:tcPr>
            <w:tcW w:w="1288" w:type="pct"/>
            <w:shd w:val="clear" w:color="auto" w:fill="auto"/>
            <w:vAlign w:val="center"/>
          </w:tcPr>
          <w:p w14:paraId="38525F7B" w14:textId="25A92A5B" w:rsidR="00AA41E3" w:rsidRPr="005A1F62" w:rsidRDefault="00123720" w:rsidP="00482CEA">
            <w:pPr>
              <w:tabs>
                <w:tab w:val="left" w:pos="709"/>
              </w:tabs>
              <w:contextualSpacing/>
              <w:jc w:val="center"/>
            </w:pPr>
            <w:r w:rsidRPr="005A1F62">
              <w:t>≤</w:t>
            </w:r>
            <w:r w:rsidR="00AA41E3" w:rsidRPr="005A1F62">
              <w:t>2,0</w:t>
            </w:r>
          </w:p>
        </w:tc>
        <w:tc>
          <w:tcPr>
            <w:tcW w:w="1288" w:type="pct"/>
            <w:shd w:val="clear" w:color="auto" w:fill="auto"/>
            <w:vAlign w:val="center"/>
          </w:tcPr>
          <w:p w14:paraId="4B25B7E4" w14:textId="0D4548BC" w:rsidR="00AA41E3" w:rsidRPr="005A1F62" w:rsidRDefault="00123720" w:rsidP="00482CEA">
            <w:pPr>
              <w:tabs>
                <w:tab w:val="left" w:pos="709"/>
              </w:tabs>
              <w:contextualSpacing/>
              <w:jc w:val="center"/>
            </w:pPr>
            <w:r w:rsidRPr="005A1F62">
              <w:t>≤</w:t>
            </w:r>
            <w:r w:rsidR="00AA41E3" w:rsidRPr="005A1F62">
              <w:t>2,0</w:t>
            </w:r>
          </w:p>
        </w:tc>
        <w:tc>
          <w:tcPr>
            <w:tcW w:w="1288" w:type="pct"/>
            <w:shd w:val="clear" w:color="auto" w:fill="auto"/>
            <w:vAlign w:val="center"/>
          </w:tcPr>
          <w:p w14:paraId="010C873D" w14:textId="04161B31" w:rsidR="00AA41E3" w:rsidRPr="005A1F62" w:rsidRDefault="00123720" w:rsidP="00482CEA">
            <w:pPr>
              <w:tabs>
                <w:tab w:val="left" w:pos="709"/>
              </w:tabs>
              <w:contextualSpacing/>
              <w:jc w:val="center"/>
            </w:pPr>
            <w:r w:rsidRPr="005A1F62">
              <w:t>≤</w:t>
            </w:r>
            <w:r w:rsidR="00AA41E3" w:rsidRPr="005A1F62">
              <w:t>2,0</w:t>
            </w:r>
          </w:p>
        </w:tc>
      </w:tr>
    </w:tbl>
    <w:p w14:paraId="7C42D017" w14:textId="77777777" w:rsidR="00AA41E3" w:rsidRPr="005A1F62" w:rsidRDefault="00AA41E3" w:rsidP="00DC2FED">
      <w:pPr>
        <w:tabs>
          <w:tab w:val="left" w:pos="709"/>
        </w:tabs>
        <w:jc w:val="both"/>
        <w:rPr>
          <w:i/>
        </w:rPr>
      </w:pPr>
    </w:p>
    <w:p w14:paraId="2A3601E3" w14:textId="4DD5B64C" w:rsidR="00AA41E3" w:rsidRPr="005A1F62" w:rsidRDefault="00AA41E3" w:rsidP="00DC2FED">
      <w:pPr>
        <w:tabs>
          <w:tab w:val="left" w:pos="709"/>
        </w:tabs>
        <w:ind w:firstLine="567"/>
        <w:jc w:val="both"/>
      </w:pPr>
      <w:r w:rsidRPr="005A1F62">
        <w:t>4.1.6.2 Повышенная уязвимость капитала к реализации кредитных рисков</w:t>
      </w:r>
    </w:p>
    <w:p w14:paraId="1ABF6591" w14:textId="77777777" w:rsidR="00482CEA" w:rsidRPr="005A1F62" w:rsidRDefault="00482CEA" w:rsidP="00DC2FED">
      <w:pPr>
        <w:tabs>
          <w:tab w:val="left" w:pos="709"/>
        </w:tabs>
        <w:ind w:firstLine="567"/>
        <w:jc w:val="both"/>
        <w:rPr>
          <w:i/>
        </w:rPr>
      </w:pPr>
    </w:p>
    <w:p w14:paraId="74F31AEF" w14:textId="78F7BAFA" w:rsidR="00AA41E3" w:rsidRPr="005A1F62" w:rsidRDefault="00105708" w:rsidP="004E2D10">
      <w:pPr>
        <w:numPr>
          <w:ilvl w:val="0"/>
          <w:numId w:val="28"/>
        </w:numPr>
        <w:tabs>
          <w:tab w:val="left" w:pos="709"/>
        </w:tabs>
        <w:ind w:left="0" w:firstLine="567"/>
        <w:contextualSpacing/>
        <w:jc w:val="both"/>
      </w:pPr>
      <w:r w:rsidRPr="005A1F62">
        <w:t xml:space="preserve">В случае если </w:t>
      </w:r>
      <w:r w:rsidR="00AA41E3" w:rsidRPr="005A1F62">
        <w:t>отношение размера убытка от обесценения активов, которое приведет к снижению капитала ниже регулятивного минимума</w:t>
      </w:r>
      <w:r w:rsidR="00390BBF" w:rsidRPr="005A1F62">
        <w:t>, ниже уставного капитала</w:t>
      </w:r>
      <w:r w:rsidR="00AA41E3" w:rsidRPr="005A1F62">
        <w:t xml:space="preserve"> или нарушению любого из нормативов достаточности капитала, </w:t>
      </w:r>
      <w:r w:rsidR="00DB1766" w:rsidRPr="005A1F62">
        <w:t>к размеру совокупного кредитного портфеля после вычета резервов (за исключением вложений в объекты кредитного риска с условным рейтинговым классом на уровне ru</w:t>
      </w:r>
      <w:r w:rsidR="00DB1766" w:rsidRPr="005A1F62">
        <w:rPr>
          <w:lang w:val="en-US"/>
        </w:rPr>
        <w:t>AA</w:t>
      </w:r>
      <w:r w:rsidR="00DB1766" w:rsidRPr="005A1F62">
        <w:t>- или выше)</w:t>
      </w:r>
      <w:r w:rsidR="00262006" w:rsidRPr="005A1F62">
        <w:t xml:space="preserve"> </w:t>
      </w:r>
      <w:r w:rsidR="00AA41E3" w:rsidRPr="005A1F62">
        <w:t>составляет от 1% до 1,5% (включительно), то стресс-фактор оказывает умеренное влияние на оценку кредитоспособ</w:t>
      </w:r>
      <w:r w:rsidRPr="005A1F62">
        <w:t xml:space="preserve">ности. В случае если </w:t>
      </w:r>
      <w:r w:rsidR="00AA41E3" w:rsidRPr="005A1F62">
        <w:t>отношение размера убытка от обесценения активов, которое приведет к снижению капитала ниже регулятивного минимума</w:t>
      </w:r>
      <w:r w:rsidR="00390BBF" w:rsidRPr="005A1F62">
        <w:t>, ниже уставного капитала</w:t>
      </w:r>
      <w:r w:rsidR="00AA41E3" w:rsidRPr="005A1F62">
        <w:t xml:space="preserve"> или нарушению любого из нормативов достаточности капитала, к размеру совокупного кредитного портфеля </w:t>
      </w:r>
      <w:r w:rsidR="00DB1766" w:rsidRPr="005A1F62">
        <w:t xml:space="preserve">после вычета резервов за исключением вложений в объекты кредитного риска с условным рейтинговым классом на уровне ruBBB+ или выше) </w:t>
      </w:r>
      <w:r w:rsidR="00AA41E3" w:rsidRPr="005A1F62">
        <w:t xml:space="preserve">составляет 1% и менее, то стресс-фактор оказывает сильное влияние на оценку кредитоспособности. </w:t>
      </w:r>
    </w:p>
    <w:p w14:paraId="2D5D28E1" w14:textId="16458BCB" w:rsidR="00AA41E3" w:rsidRPr="005A1F62" w:rsidRDefault="00AA41E3" w:rsidP="004E2D10">
      <w:pPr>
        <w:numPr>
          <w:ilvl w:val="0"/>
          <w:numId w:val="28"/>
        </w:numPr>
        <w:tabs>
          <w:tab w:val="left" w:pos="709"/>
        </w:tabs>
        <w:ind w:left="0" w:firstLine="567"/>
        <w:contextualSpacing/>
        <w:jc w:val="both"/>
      </w:pPr>
      <w:r w:rsidRPr="005A1F62">
        <w:t>В случае если реализация кредитного риска (полное обесценение требований) по любому из 15 крупнейших объектов без учета кредитных организаций (раздел 1 ф</w:t>
      </w:r>
      <w:r w:rsidR="006F0A10" w:rsidRPr="005A1F62">
        <w:t xml:space="preserve">орма </w:t>
      </w:r>
      <w:r w:rsidRPr="005A1F62">
        <w:t>0409118)</w:t>
      </w:r>
      <w:r w:rsidR="006F0A10" w:rsidRPr="005A1F62">
        <w:t xml:space="preserve">, </w:t>
      </w:r>
      <w:r w:rsidRPr="005A1F62">
        <w:t>кроме вложений в объекты кредитного риска с</w:t>
      </w:r>
      <w:r w:rsidR="00DB3EA2" w:rsidRPr="005A1F62">
        <w:t xml:space="preserve"> </w:t>
      </w:r>
      <w:r w:rsidR="00DB1766" w:rsidRPr="005A1F62">
        <w:t xml:space="preserve">условным рейтинговым классом на уровне </w:t>
      </w:r>
      <w:r w:rsidR="00DB1766" w:rsidRPr="005A1F62">
        <w:rPr>
          <w:lang w:val="en-US"/>
        </w:rPr>
        <w:t>ru</w:t>
      </w:r>
      <w:r w:rsidR="00DA08B9" w:rsidRPr="005A1F62">
        <w:rPr>
          <w:lang w:val="en-US"/>
        </w:rPr>
        <w:t>AA</w:t>
      </w:r>
      <w:r w:rsidR="00DA08B9" w:rsidRPr="005A1F62">
        <w:t>-</w:t>
      </w:r>
      <w:r w:rsidR="00DB1766" w:rsidRPr="005A1F62">
        <w:t xml:space="preserve"> и выше, </w:t>
      </w:r>
      <w:r w:rsidRPr="005A1F62">
        <w:t>приведет к снижению капитала ниже регулятивного минимума</w:t>
      </w:r>
      <w:r w:rsidR="00390BBF" w:rsidRPr="005A1F62">
        <w:t>, ниже уставного капитала</w:t>
      </w:r>
      <w:r w:rsidRPr="005A1F62">
        <w:t xml:space="preserve"> или нарушению любого из нормативов достаточности капитала, то стресс-фактор оказывает умеренное влияние на оценку кредитоспособности. В случае если реализация кредитного риска (полное обесценение требований) по любому из 25 крупнейших объектов без учета кредитных организаций (раздел 1 ф</w:t>
      </w:r>
      <w:r w:rsidR="006F0A10" w:rsidRPr="005A1F62">
        <w:t xml:space="preserve">орма </w:t>
      </w:r>
      <w:r w:rsidRPr="005A1F62">
        <w:t>0409118)</w:t>
      </w:r>
      <w:r w:rsidR="006F0A10" w:rsidRPr="005A1F62">
        <w:t>,</w:t>
      </w:r>
      <w:r w:rsidR="00C94212" w:rsidRPr="005A1F62">
        <w:t xml:space="preserve"> </w:t>
      </w:r>
      <w:r w:rsidRPr="005A1F62">
        <w:t xml:space="preserve">кроме вложений в объекты кредитного риска </w:t>
      </w:r>
      <w:r w:rsidR="00DB1766" w:rsidRPr="005A1F62">
        <w:t xml:space="preserve">с условным рейтинговым классом на уровне </w:t>
      </w:r>
      <w:r w:rsidR="00DB1766" w:rsidRPr="005A1F62">
        <w:rPr>
          <w:lang w:val="en-US"/>
        </w:rPr>
        <w:t>ruBBB</w:t>
      </w:r>
      <w:r w:rsidR="00DB1766" w:rsidRPr="005A1F62">
        <w:t>+ и выше,</w:t>
      </w:r>
      <w:r w:rsidR="006F0A10" w:rsidRPr="005A1F62">
        <w:t xml:space="preserve"> </w:t>
      </w:r>
      <w:r w:rsidRPr="005A1F62">
        <w:t>приведет к снижению капитала ниже регулятивного минимума</w:t>
      </w:r>
      <w:r w:rsidR="00390BBF" w:rsidRPr="005A1F62">
        <w:t xml:space="preserve">, ниже уставного </w:t>
      </w:r>
      <w:r w:rsidR="00390BBF" w:rsidRPr="005A1F62">
        <w:lastRenderedPageBreak/>
        <w:t>капитала</w:t>
      </w:r>
      <w:r w:rsidRPr="005A1F62">
        <w:t xml:space="preserve"> или нарушению любого из нормативов достаточности капитала, то стресс-фактор оказывает сильное влияние на оценку кредитоспособности.</w:t>
      </w:r>
    </w:p>
    <w:p w14:paraId="69F6027F" w14:textId="753FB740" w:rsidR="00AA41E3" w:rsidRPr="005A1F62" w:rsidRDefault="00AA41E3" w:rsidP="004E2D10">
      <w:pPr>
        <w:numPr>
          <w:ilvl w:val="0"/>
          <w:numId w:val="28"/>
        </w:numPr>
        <w:tabs>
          <w:tab w:val="left" w:pos="709"/>
        </w:tabs>
        <w:ind w:left="0" w:firstLine="567"/>
        <w:contextualSpacing/>
        <w:jc w:val="both"/>
      </w:pPr>
      <w:r w:rsidRPr="005A1F62">
        <w:t xml:space="preserve">В случае если полное обесценение средств на корреспондентских счетах, открытых в любом из </w:t>
      </w:r>
      <w:r w:rsidR="006F0A10" w:rsidRPr="005A1F62">
        <w:t xml:space="preserve">двух </w:t>
      </w:r>
      <w:r w:rsidRPr="005A1F62">
        <w:t xml:space="preserve">крупнейших контрагентов, или межбанковских кредитов, выданных любому из </w:t>
      </w:r>
      <w:r w:rsidR="006F0A10" w:rsidRPr="005A1F62">
        <w:t xml:space="preserve">двух </w:t>
      </w:r>
      <w:r w:rsidRPr="005A1F62">
        <w:t xml:space="preserve">крупнейших контрагентов (кроме контрагентов </w:t>
      </w:r>
      <w:r w:rsidR="00DB1766" w:rsidRPr="005A1F62">
        <w:t xml:space="preserve">с условным рейтинговым классом на уровне </w:t>
      </w:r>
      <w:r w:rsidR="00DB1766" w:rsidRPr="005A1F62">
        <w:rPr>
          <w:lang w:val="en-US"/>
        </w:rPr>
        <w:t>ru</w:t>
      </w:r>
      <w:r w:rsidR="00DA08B9" w:rsidRPr="005A1F62">
        <w:rPr>
          <w:lang w:val="en-US"/>
        </w:rPr>
        <w:t>AA</w:t>
      </w:r>
      <w:r w:rsidR="00DA08B9" w:rsidRPr="005A1F62">
        <w:t>-</w:t>
      </w:r>
      <w:r w:rsidR="00DB1766" w:rsidRPr="005A1F62">
        <w:t xml:space="preserve"> и выше)</w:t>
      </w:r>
      <w:r w:rsidRPr="005A1F62">
        <w:t>, приведет к снижению капитала ниже регулятивного минимума</w:t>
      </w:r>
      <w:r w:rsidR="00390BBF" w:rsidRPr="005A1F62">
        <w:t>, ниже уставного капитала</w:t>
      </w:r>
      <w:r w:rsidRPr="005A1F62">
        <w:t xml:space="preserve"> или нарушению любого из нормативов достаточности капитала, то стресс-фактор оказывает умеренное влияние. В случае если полное обесценение средств на корреспондентских счетах, открытых в любом из </w:t>
      </w:r>
      <w:r w:rsidR="006F0A10" w:rsidRPr="005A1F62">
        <w:t xml:space="preserve">трех </w:t>
      </w:r>
      <w:r w:rsidRPr="005A1F62">
        <w:t xml:space="preserve">крупнейших контрагентов, или межбанковских кредитов, выданных любому из </w:t>
      </w:r>
      <w:r w:rsidR="006F0A10" w:rsidRPr="005A1F62">
        <w:t xml:space="preserve">трех </w:t>
      </w:r>
      <w:r w:rsidRPr="005A1F62">
        <w:t xml:space="preserve">крупнейших контрагентов (кроме контрагентов </w:t>
      </w:r>
      <w:r w:rsidR="00DB1766" w:rsidRPr="005A1F62">
        <w:t xml:space="preserve">с условным рейтинговым классом на уровне </w:t>
      </w:r>
      <w:r w:rsidR="00DB1766" w:rsidRPr="005A1F62">
        <w:rPr>
          <w:lang w:val="en-US"/>
        </w:rPr>
        <w:t>ru</w:t>
      </w:r>
      <w:r w:rsidR="00DA08B9" w:rsidRPr="005A1F62">
        <w:rPr>
          <w:lang w:val="en-US"/>
        </w:rPr>
        <w:t>AA</w:t>
      </w:r>
      <w:r w:rsidR="00DA08B9" w:rsidRPr="005A1F62">
        <w:t>-</w:t>
      </w:r>
      <w:r w:rsidR="00DB1766" w:rsidRPr="005A1F62">
        <w:t xml:space="preserve"> и выше)</w:t>
      </w:r>
      <w:r w:rsidRPr="005A1F62">
        <w:t>, приведет к снижению капитала ниже регулятивного минимума</w:t>
      </w:r>
      <w:r w:rsidR="00390BBF" w:rsidRPr="005A1F62">
        <w:t>, ниже уставного капитала</w:t>
      </w:r>
      <w:r w:rsidRPr="005A1F62">
        <w:t xml:space="preserve"> или нарушению любого из нормативов достаточности капитала, то стресс-фактор оказывает сильное влияние.</w:t>
      </w:r>
    </w:p>
    <w:p w14:paraId="1DCABC46" w14:textId="29385458" w:rsidR="00AA41E3" w:rsidRPr="005A1F62" w:rsidRDefault="00AA41E3" w:rsidP="004E2D10">
      <w:pPr>
        <w:numPr>
          <w:ilvl w:val="0"/>
          <w:numId w:val="28"/>
        </w:numPr>
        <w:tabs>
          <w:tab w:val="left" w:pos="709"/>
        </w:tabs>
        <w:ind w:left="0" w:firstLine="567"/>
        <w:contextualSpacing/>
        <w:jc w:val="both"/>
      </w:pPr>
      <w:r w:rsidRPr="005A1F62">
        <w:t xml:space="preserve">В случае если полное обесценение средств на корреспондентских счетах, открытых в любом из контрагентов </w:t>
      </w:r>
      <w:r w:rsidR="00DB1766" w:rsidRPr="005A1F62">
        <w:t xml:space="preserve">с условным рейтинговым классом на уровне </w:t>
      </w:r>
      <w:r w:rsidR="00DB1766" w:rsidRPr="005A1F62">
        <w:rPr>
          <w:lang w:val="en-US"/>
        </w:rPr>
        <w:t>ruB</w:t>
      </w:r>
      <w:r w:rsidR="00DB1766" w:rsidRPr="005A1F62">
        <w:t xml:space="preserve"> и ниже</w:t>
      </w:r>
      <w:r w:rsidRPr="005A1F62">
        <w:t>, или межбанковских кредитов, выданных любому из таких контрагентов, приведет к снижению капитала ниже регулятивного минимума</w:t>
      </w:r>
      <w:r w:rsidR="00390BBF" w:rsidRPr="005A1F62">
        <w:t>, ниже уставного капитала</w:t>
      </w:r>
      <w:r w:rsidRPr="005A1F62">
        <w:t xml:space="preserve"> или нарушению любого из нормативов достаточности капитала, то стресс-фактор оказывает сильное влияние.</w:t>
      </w:r>
    </w:p>
    <w:p w14:paraId="3D861868" w14:textId="77777777" w:rsidR="00482CEA" w:rsidRPr="005A1F62" w:rsidRDefault="00482CEA" w:rsidP="00DC2FED">
      <w:pPr>
        <w:tabs>
          <w:tab w:val="left" w:pos="709"/>
        </w:tabs>
        <w:ind w:firstLine="567"/>
        <w:jc w:val="both"/>
      </w:pPr>
    </w:p>
    <w:p w14:paraId="05A57FC2" w14:textId="3BA82AFE" w:rsidR="00AA41E3" w:rsidRPr="005A1F62" w:rsidRDefault="00AA41E3" w:rsidP="00DC2FED">
      <w:pPr>
        <w:tabs>
          <w:tab w:val="left" w:pos="709"/>
        </w:tabs>
        <w:ind w:firstLine="567"/>
        <w:jc w:val="both"/>
      </w:pPr>
      <w:r w:rsidRPr="005A1F62">
        <w:t>Оценка стресс-фактора активно-пассивных операций за повышенную уязвимость капитала к реализации кредитных рисков выставляется с учетом следующих пояснений:</w:t>
      </w:r>
    </w:p>
    <w:p w14:paraId="3922DD0A" w14:textId="77777777" w:rsidR="00AA41E3" w:rsidRPr="005A1F62" w:rsidRDefault="00AA41E3" w:rsidP="00B73C6D">
      <w:pPr>
        <w:numPr>
          <w:ilvl w:val="0"/>
          <w:numId w:val="29"/>
        </w:numPr>
        <w:tabs>
          <w:tab w:val="left" w:pos="709"/>
        </w:tabs>
        <w:ind w:left="0" w:firstLine="567"/>
        <w:contextualSpacing/>
        <w:jc w:val="both"/>
      </w:pPr>
      <w:r w:rsidRPr="005A1F62">
        <w:t>Критерии для негативной оценки потенциального дефолта контрагентов на межбанковском рынке жестче аналогичных критериев по заемщикам, не являющимся кредитными организациями, потому что, как правило, дефолт требований к кредитным организациям происходит в моменте (в случае отзыва у контрагента лицензии на осуществление банковских операций необходимо сформировать 100</w:t>
      </w:r>
      <w:r w:rsidR="006F0A10" w:rsidRPr="005A1F62">
        <w:t xml:space="preserve">-процентный </w:t>
      </w:r>
      <w:r w:rsidRPr="005A1F62">
        <w:t xml:space="preserve">резерв за один операционный день), тогда как обесценение ссуд корпоративным клиентам растягивается во времени за счет реструктуризаций ссуд и поступательной переоценки финансового состояния и качества обслуживания долга, что позволяет постепенно </w:t>
      </w:r>
      <w:proofErr w:type="spellStart"/>
      <w:r w:rsidRPr="005A1F62">
        <w:t>досоздавать</w:t>
      </w:r>
      <w:proofErr w:type="spellEnd"/>
      <w:r w:rsidRPr="005A1F62">
        <w:t xml:space="preserve"> резервы до 100% на протяжении нескольких месяцев.</w:t>
      </w:r>
    </w:p>
    <w:p w14:paraId="09869EE1" w14:textId="77777777" w:rsidR="00AA41E3" w:rsidRPr="005A1F62" w:rsidRDefault="00AA41E3" w:rsidP="00B73C6D">
      <w:pPr>
        <w:numPr>
          <w:ilvl w:val="0"/>
          <w:numId w:val="29"/>
        </w:numPr>
        <w:tabs>
          <w:tab w:val="left" w:pos="709"/>
        </w:tabs>
        <w:ind w:left="0" w:firstLine="567"/>
        <w:contextualSpacing/>
        <w:jc w:val="both"/>
      </w:pPr>
      <w:r w:rsidRPr="005A1F62">
        <w:t>При оценке устойчивости капитала к дефолту контрагентов на межбанковском рынке в целях определения стресс-фактора активно-пассивных операций возможна корректировка стресс-фактора с сильного до умеренного и с умеренного до отсутствующего, если стресс-фактор определяется только этим параметром, а уязвимость капитала к дефолту контрагентов на межбанковском рынке (нарушение регулятивных требований к достаточности или величине капитала при дефолте контрагентов) обуславливают только требования к кредитным организациям, являющимся членами одной банковской группы с оцениваемым банком.</w:t>
      </w:r>
    </w:p>
    <w:p w14:paraId="0C89D3D7" w14:textId="1EF8D200" w:rsidR="00AA41E3" w:rsidRPr="005A1F62" w:rsidRDefault="00AA41E3" w:rsidP="00B73C6D">
      <w:pPr>
        <w:numPr>
          <w:ilvl w:val="0"/>
          <w:numId w:val="29"/>
        </w:numPr>
        <w:tabs>
          <w:tab w:val="left" w:pos="709"/>
        </w:tabs>
        <w:ind w:left="0" w:firstLine="567"/>
        <w:contextualSpacing/>
        <w:jc w:val="both"/>
      </w:pPr>
      <w:r w:rsidRPr="005A1F62">
        <w:t xml:space="preserve">При оценке устойчивости капитала к реализации крупнейших кредитных рисков ожидаемое давление на капитал и финансовый результат может быть полностью или частично нивелировано за счет высококачественного обеспечения по ссудам, реализация соответствующего которым кредитного риска выступает предметом стресс-тестирования. Для этого обеспечение должно соответствовать I-II категориям качества в соответствии с </w:t>
      </w:r>
      <w:r w:rsidR="00123720" w:rsidRPr="005A1F62">
        <w:t xml:space="preserve">Положением </w:t>
      </w:r>
      <w:r w:rsidRPr="005A1F62">
        <w:t>ЦБ РФ №</w:t>
      </w:r>
      <w:r w:rsidR="00DD3DEE" w:rsidRPr="005A1F62">
        <w:t>590</w:t>
      </w:r>
      <w:r w:rsidRPr="005A1F62">
        <w:t xml:space="preserve">-П. Кроме того, должны быть исключены сценарии, при которых регулятор может признать корректировку расчетных резервов на возможные потери на стоимость обеспечения неправомерной. К таким сценариям могут быть отнесены завышение оценочной стоимости обеспечения или невозможность его изъятия без риска критического ухудшения финансового положения залогодателя. К надежному </w:t>
      </w:r>
      <w:r w:rsidRPr="005A1F62">
        <w:lastRenderedPageBreak/>
        <w:t xml:space="preserve">обеспечению, с высокой вероятностью позволяющему нивелировать давление на капитал, относятся гарантийные депозиты, собственные векселя кредитной организации, входящие в Ломбардный список ЦБ РФ ценные бумаги, имеющие </w:t>
      </w:r>
      <w:r w:rsidR="00DB1766" w:rsidRPr="005A1F62">
        <w:t xml:space="preserve">условные рейтинговые классы на уровне не ниже </w:t>
      </w:r>
      <w:r w:rsidR="00DB1766" w:rsidRPr="005A1F62">
        <w:rPr>
          <w:lang w:val="en-US"/>
        </w:rPr>
        <w:t>ru</w:t>
      </w:r>
      <w:r w:rsidR="00DA08B9" w:rsidRPr="005A1F62">
        <w:rPr>
          <w:lang w:val="en-US"/>
        </w:rPr>
        <w:t>AA</w:t>
      </w:r>
      <w:r w:rsidR="00DA08B9" w:rsidRPr="005A1F62">
        <w:t>-</w:t>
      </w:r>
      <w:r w:rsidRPr="005A1F62">
        <w:t xml:space="preserve">, и гарантии лиц, имеющих </w:t>
      </w:r>
      <w:r w:rsidR="00DB1766" w:rsidRPr="005A1F62">
        <w:t xml:space="preserve">условные рейтинговые классы на уровне не ниже </w:t>
      </w:r>
      <w:r w:rsidR="00DB1766" w:rsidRPr="005A1F62">
        <w:rPr>
          <w:lang w:val="en-US"/>
        </w:rPr>
        <w:t>ru</w:t>
      </w:r>
      <w:r w:rsidR="00DA08B9" w:rsidRPr="005A1F62">
        <w:rPr>
          <w:lang w:val="en-US"/>
        </w:rPr>
        <w:t>AA</w:t>
      </w:r>
      <w:r w:rsidR="00DA08B9" w:rsidRPr="005A1F62">
        <w:t>-</w:t>
      </w:r>
      <w:r w:rsidR="006F0A10" w:rsidRPr="005A1F62">
        <w:t>.</w:t>
      </w:r>
    </w:p>
    <w:p w14:paraId="480C7E08" w14:textId="3C5D48C2" w:rsidR="002733D6" w:rsidRPr="005A1F62" w:rsidRDefault="002733D6" w:rsidP="0065042C">
      <w:pPr>
        <w:tabs>
          <w:tab w:val="left" w:pos="709"/>
        </w:tabs>
        <w:contextualSpacing/>
        <w:jc w:val="both"/>
      </w:pPr>
    </w:p>
    <w:p w14:paraId="2C28E63B" w14:textId="5C632838" w:rsidR="00AA41E3" w:rsidRPr="005A1F62" w:rsidRDefault="00AA41E3" w:rsidP="00DC2FED">
      <w:pPr>
        <w:tabs>
          <w:tab w:val="left" w:pos="709"/>
        </w:tabs>
        <w:ind w:firstLine="567"/>
        <w:jc w:val="both"/>
      </w:pPr>
      <w:r w:rsidRPr="005A1F62">
        <w:t>4.1.6.3 Низкий запас по нормативам достаточности капитала относительно регулятивных минимумов</w:t>
      </w:r>
    </w:p>
    <w:p w14:paraId="630ACF66" w14:textId="77777777" w:rsidR="00482CEA" w:rsidRPr="005A1F62" w:rsidRDefault="00482CEA" w:rsidP="00DC2FED">
      <w:pPr>
        <w:tabs>
          <w:tab w:val="left" w:pos="709"/>
        </w:tabs>
        <w:ind w:firstLine="567"/>
        <w:jc w:val="both"/>
      </w:pPr>
    </w:p>
    <w:p w14:paraId="381540C6" w14:textId="79E55CB2" w:rsidR="00AA41E3" w:rsidRPr="005A1F62" w:rsidRDefault="00AA41E3" w:rsidP="00B73C6D">
      <w:pPr>
        <w:numPr>
          <w:ilvl w:val="0"/>
          <w:numId w:val="30"/>
        </w:numPr>
        <w:tabs>
          <w:tab w:val="left" w:pos="709"/>
        </w:tabs>
        <w:ind w:left="0" w:firstLine="567"/>
        <w:contextualSpacing/>
        <w:jc w:val="both"/>
      </w:pPr>
      <w:r w:rsidRPr="005A1F62">
        <w:t>В случае если</w:t>
      </w:r>
      <w:r w:rsidR="00A70D9B" w:rsidRPr="005A1F62">
        <w:t xml:space="preserve"> в течение последних 60 дней </w:t>
      </w:r>
      <w:r w:rsidRPr="005A1F62">
        <w:t xml:space="preserve">любой из нормативов </w:t>
      </w:r>
      <w:r w:rsidR="00A70D9B" w:rsidRPr="005A1F62">
        <w:t>достаточности капитала превышал</w:t>
      </w:r>
      <w:r w:rsidRPr="005A1F62">
        <w:t xml:space="preserve"> регулятивный</w:t>
      </w:r>
      <w:r w:rsidR="002B0234" w:rsidRPr="005A1F62">
        <w:t xml:space="preserve"> минимум не более чем на 0,5 п.</w:t>
      </w:r>
      <w:r w:rsidR="00123720" w:rsidRPr="005A1F62">
        <w:t xml:space="preserve"> </w:t>
      </w:r>
      <w:r w:rsidRPr="005A1F62">
        <w:t>п., стресс-фактор оказывает умеренное влияние на оценку кредитоспособности.</w:t>
      </w:r>
    </w:p>
    <w:p w14:paraId="2262AF84" w14:textId="058D3ADE" w:rsidR="00AA41E3" w:rsidRPr="005A1F62" w:rsidRDefault="00AA41E3" w:rsidP="00B73C6D">
      <w:pPr>
        <w:numPr>
          <w:ilvl w:val="0"/>
          <w:numId w:val="30"/>
        </w:numPr>
        <w:tabs>
          <w:tab w:val="left" w:pos="709"/>
        </w:tabs>
        <w:ind w:left="0" w:firstLine="567"/>
        <w:contextualSpacing/>
        <w:jc w:val="both"/>
      </w:pPr>
      <w:r w:rsidRPr="005A1F62">
        <w:t>В случае если на последнюю отчетную дату банк допускает нарушение какого-либо из нормативов достаточности капитала</w:t>
      </w:r>
      <w:r w:rsidR="00095F30" w:rsidRPr="005A1F62">
        <w:t xml:space="preserve"> или финансового рычага</w:t>
      </w:r>
      <w:r w:rsidRPr="005A1F62">
        <w:t>, стресс-фактор оказывает сильное влияние на оценку кредитоспособности.</w:t>
      </w:r>
    </w:p>
    <w:p w14:paraId="3EF42EA6" w14:textId="44C0DCBD" w:rsidR="00AA41E3" w:rsidRPr="005A1F62" w:rsidRDefault="00AA41E3" w:rsidP="00DC2FED">
      <w:pPr>
        <w:tabs>
          <w:tab w:val="left" w:pos="709"/>
        </w:tabs>
        <w:ind w:firstLine="567"/>
        <w:jc w:val="both"/>
        <w:rPr>
          <w:i/>
        </w:rPr>
      </w:pPr>
      <w:r w:rsidRPr="005A1F62">
        <w:rPr>
          <w:i/>
        </w:rPr>
        <w:t>Оценка стресс-фактора активно-пассивных операций за низкий запас по но</w:t>
      </w:r>
      <w:r w:rsidR="00105708" w:rsidRPr="005A1F62">
        <w:rPr>
          <w:i/>
        </w:rPr>
        <w:t xml:space="preserve">рмативам достаточности капитала </w:t>
      </w:r>
      <w:r w:rsidRPr="005A1F62">
        <w:rPr>
          <w:i/>
        </w:rPr>
        <w:t>относительно регулятивных минимумов выставляется с учетом следующих пояснений:</w:t>
      </w:r>
    </w:p>
    <w:p w14:paraId="38AE6C06" w14:textId="450C4DE7" w:rsidR="00AA41E3" w:rsidRPr="005A1F62" w:rsidRDefault="00AA41E3" w:rsidP="00B73C6D">
      <w:pPr>
        <w:numPr>
          <w:ilvl w:val="0"/>
          <w:numId w:val="7"/>
        </w:numPr>
        <w:tabs>
          <w:tab w:val="clear" w:pos="720"/>
          <w:tab w:val="left" w:pos="709"/>
        </w:tabs>
        <w:ind w:left="0" w:firstLine="567"/>
        <w:jc w:val="both"/>
        <w:rPr>
          <w:rFonts w:eastAsia="Arial Unicode MS"/>
        </w:rPr>
      </w:pPr>
      <w:r w:rsidRPr="005A1F62">
        <w:t xml:space="preserve">В случае если </w:t>
      </w:r>
      <w:r w:rsidRPr="005A1F62">
        <w:rPr>
          <w:rFonts w:eastAsia="Arial Unicode MS"/>
        </w:rPr>
        <w:t xml:space="preserve">принято решение о докапитализации банка, при этом вероятность успешной реализации этого решения в течение одного квартала оценивается как </w:t>
      </w:r>
      <w:r w:rsidR="00A70D9B" w:rsidRPr="005A1F62">
        <w:rPr>
          <w:rFonts w:eastAsia="Arial Unicode MS"/>
        </w:rPr>
        <w:t xml:space="preserve">высокая, а планируемое увеличение капитала позволит поддерживать нормативы достаточности капитала </w:t>
      </w:r>
      <w:r w:rsidRPr="005A1F62">
        <w:rPr>
          <w:rFonts w:eastAsia="Arial Unicode MS"/>
        </w:rPr>
        <w:t>с запасом 0,5 п.</w:t>
      </w:r>
      <w:r w:rsidR="006F0A10" w:rsidRPr="005A1F62">
        <w:rPr>
          <w:rFonts w:eastAsia="Arial Unicode MS"/>
        </w:rPr>
        <w:t> </w:t>
      </w:r>
      <w:r w:rsidR="00A70D9B" w:rsidRPr="005A1F62">
        <w:rPr>
          <w:rFonts w:eastAsia="Arial Unicode MS"/>
        </w:rPr>
        <w:t>п. относительно минимально допустимого значения</w:t>
      </w:r>
      <w:r w:rsidRPr="005A1F62">
        <w:rPr>
          <w:rFonts w:eastAsia="Arial Unicode MS"/>
        </w:rPr>
        <w:t>, то влияние стресс-фактора может быть снижено с умеренного до нулевого.</w:t>
      </w:r>
    </w:p>
    <w:p w14:paraId="1672F43B" w14:textId="327F58D6" w:rsidR="00AA41E3" w:rsidRPr="005A1F62" w:rsidRDefault="00AA41E3" w:rsidP="00B73C6D">
      <w:pPr>
        <w:numPr>
          <w:ilvl w:val="0"/>
          <w:numId w:val="7"/>
        </w:numPr>
        <w:tabs>
          <w:tab w:val="clear" w:pos="720"/>
          <w:tab w:val="left" w:pos="709"/>
        </w:tabs>
        <w:ind w:left="0" w:firstLine="567"/>
        <w:jc w:val="both"/>
        <w:rPr>
          <w:rFonts w:eastAsia="Arial Unicode MS"/>
        </w:rPr>
      </w:pPr>
      <w:r w:rsidRPr="005A1F62">
        <w:t xml:space="preserve">В случае если </w:t>
      </w:r>
      <w:r w:rsidR="00A70D9B" w:rsidRPr="005A1F62">
        <w:rPr>
          <w:rFonts w:eastAsia="Arial Unicode MS"/>
        </w:rPr>
        <w:t xml:space="preserve">нормативы достаточности капитала </w:t>
      </w:r>
      <w:r w:rsidRPr="005A1F62">
        <w:rPr>
          <w:rFonts w:eastAsia="Arial Unicode MS"/>
        </w:rPr>
        <w:t xml:space="preserve">могут легко регулироваться решениями менеджмента банка (например, за счет продажи ликвидных ценных бумаг), при этом условие для умеренного стресс-фактора выполняется на протяжении не более </w:t>
      </w:r>
      <w:r w:rsidR="006F0A10" w:rsidRPr="005A1F62">
        <w:rPr>
          <w:rFonts w:eastAsia="Arial Unicode MS"/>
        </w:rPr>
        <w:t xml:space="preserve">шести </w:t>
      </w:r>
      <w:r w:rsidRPr="005A1F62">
        <w:rPr>
          <w:rFonts w:eastAsia="Arial Unicode MS"/>
        </w:rPr>
        <w:t>месяцев, то влияние стресс-фактора может быть снижено с умеренного до нулевого.</w:t>
      </w:r>
    </w:p>
    <w:p w14:paraId="53102AF0" w14:textId="77777777" w:rsidR="00AA41E3" w:rsidRPr="005A1F62" w:rsidRDefault="00AA41E3" w:rsidP="00DC2FED">
      <w:pPr>
        <w:tabs>
          <w:tab w:val="left" w:pos="709"/>
        </w:tabs>
        <w:ind w:firstLine="567"/>
        <w:jc w:val="both"/>
        <w:rPr>
          <w:i/>
        </w:rPr>
      </w:pPr>
    </w:p>
    <w:p w14:paraId="2E4C192C" w14:textId="30C35AD7" w:rsidR="00AA41E3" w:rsidRPr="005A1F62" w:rsidRDefault="00AA41E3" w:rsidP="00DC2FED">
      <w:pPr>
        <w:tabs>
          <w:tab w:val="left" w:pos="709"/>
        </w:tabs>
        <w:ind w:firstLine="567"/>
        <w:jc w:val="both"/>
      </w:pPr>
      <w:r w:rsidRPr="005A1F62">
        <w:t>4.1.6.4 Низкий запас по абсолютному размеру собственных средств банка относительно регулятивного минимума</w:t>
      </w:r>
    </w:p>
    <w:p w14:paraId="5180BB54" w14:textId="77777777" w:rsidR="00482CEA" w:rsidRPr="005A1F62" w:rsidRDefault="00482CEA" w:rsidP="00DC2FED">
      <w:pPr>
        <w:tabs>
          <w:tab w:val="left" w:pos="709"/>
        </w:tabs>
        <w:ind w:firstLine="567"/>
        <w:jc w:val="both"/>
      </w:pPr>
    </w:p>
    <w:p w14:paraId="386E7A9C" w14:textId="77777777" w:rsidR="00AA41E3" w:rsidRPr="005A1F62" w:rsidRDefault="00AA41E3" w:rsidP="00B73C6D">
      <w:pPr>
        <w:numPr>
          <w:ilvl w:val="0"/>
          <w:numId w:val="31"/>
        </w:numPr>
        <w:tabs>
          <w:tab w:val="left" w:pos="709"/>
        </w:tabs>
        <w:ind w:left="0" w:firstLine="567"/>
        <w:contextualSpacing/>
        <w:jc w:val="both"/>
      </w:pPr>
      <w:r w:rsidRPr="005A1F62">
        <w:t>В случае если на последнюю отчетную дату размер собственных средств банка составил 350 млн руб</w:t>
      </w:r>
      <w:r w:rsidR="006F0A10" w:rsidRPr="005A1F62">
        <w:t xml:space="preserve">лей </w:t>
      </w:r>
      <w:r w:rsidRPr="005A1F62">
        <w:t>и менее, то стресс-фактор оказывает умеренное влияние на оценку кредитоспособности.</w:t>
      </w:r>
    </w:p>
    <w:p w14:paraId="01629369" w14:textId="77777777" w:rsidR="00AA41E3" w:rsidRPr="005A1F62" w:rsidRDefault="00AA41E3" w:rsidP="00B73C6D">
      <w:pPr>
        <w:numPr>
          <w:ilvl w:val="0"/>
          <w:numId w:val="31"/>
        </w:numPr>
        <w:tabs>
          <w:tab w:val="left" w:pos="709"/>
        </w:tabs>
        <w:ind w:left="0" w:firstLine="567"/>
        <w:contextualSpacing/>
        <w:jc w:val="both"/>
      </w:pPr>
      <w:r w:rsidRPr="005A1F62">
        <w:t>В случае если на последнюю отчетную дату размер собственных средств банка составил 315 млн руб</w:t>
      </w:r>
      <w:r w:rsidR="006F0A10" w:rsidRPr="005A1F62">
        <w:t xml:space="preserve">лей </w:t>
      </w:r>
      <w:r w:rsidRPr="005A1F62">
        <w:t>и менее, то стресс-фактор оказывает сильное влияние на оценку кредитоспособности.</w:t>
      </w:r>
    </w:p>
    <w:p w14:paraId="3DBDC35D" w14:textId="77777777" w:rsidR="00AA41E3" w:rsidRPr="005A1F62" w:rsidRDefault="00AA41E3" w:rsidP="00DC2FED">
      <w:pPr>
        <w:tabs>
          <w:tab w:val="left" w:pos="709"/>
        </w:tabs>
        <w:ind w:firstLine="567"/>
        <w:jc w:val="both"/>
        <w:rPr>
          <w:i/>
        </w:rPr>
      </w:pPr>
      <w:r w:rsidRPr="005A1F62">
        <w:rPr>
          <w:i/>
        </w:rPr>
        <w:t>Оценка стресс-фактора активно-пассивных операций за низкий запас по абсолютному размеру собственных средств банка относительно регулятивного минимума выставляется с учетом следующих пояснений:</w:t>
      </w:r>
    </w:p>
    <w:p w14:paraId="33FCA4AC" w14:textId="6C2A8727" w:rsidR="00AA41E3" w:rsidRPr="005A1F62" w:rsidRDefault="00AA41E3" w:rsidP="00B73C6D">
      <w:pPr>
        <w:numPr>
          <w:ilvl w:val="0"/>
          <w:numId w:val="12"/>
        </w:numPr>
        <w:tabs>
          <w:tab w:val="clear" w:pos="720"/>
          <w:tab w:val="left" w:pos="709"/>
        </w:tabs>
        <w:ind w:left="0" w:firstLine="567"/>
        <w:jc w:val="both"/>
        <w:rPr>
          <w:rFonts w:eastAsia="Arial Unicode MS"/>
        </w:rPr>
      </w:pPr>
      <w:r w:rsidRPr="005A1F62">
        <w:rPr>
          <w:rFonts w:eastAsia="Arial Unicode MS"/>
        </w:rPr>
        <w:t>В случае если принято решение о докапитализации банка, при этом вероятность успешной реализации этого решения в течение одного квартала оценивается как высокая, а объем докапитализации будет достаточным для поддержания капи</w:t>
      </w:r>
      <w:r w:rsidR="001D0EDE" w:rsidRPr="005A1F62">
        <w:rPr>
          <w:rFonts w:eastAsia="Arial Unicode MS"/>
        </w:rPr>
        <w:t xml:space="preserve">тала на уровне выше критических значений </w:t>
      </w:r>
      <w:r w:rsidRPr="005A1F62">
        <w:rPr>
          <w:rFonts w:eastAsia="Arial Unicode MS"/>
        </w:rPr>
        <w:t>(350 млн руб</w:t>
      </w:r>
      <w:r w:rsidR="006F0A10" w:rsidRPr="005A1F62">
        <w:rPr>
          <w:rFonts w:eastAsia="Arial Unicode MS"/>
        </w:rPr>
        <w:t xml:space="preserve">лей </w:t>
      </w:r>
      <w:r w:rsidRPr="005A1F62">
        <w:rPr>
          <w:rFonts w:eastAsia="Arial Unicode MS"/>
        </w:rPr>
        <w:t>для умеренного стресс-фактора и 315 млн руб</w:t>
      </w:r>
      <w:r w:rsidR="006F0A10" w:rsidRPr="005A1F62">
        <w:rPr>
          <w:rFonts w:eastAsia="Arial Unicode MS"/>
        </w:rPr>
        <w:t xml:space="preserve">лей </w:t>
      </w:r>
      <w:r w:rsidRPr="005A1F62">
        <w:rPr>
          <w:rFonts w:eastAsia="Arial Unicode MS"/>
        </w:rPr>
        <w:t xml:space="preserve">для сильного стресс-фактора), то влияние стресс-фактора может быть </w:t>
      </w:r>
      <w:r w:rsidR="001D0EDE" w:rsidRPr="005A1F62">
        <w:rPr>
          <w:rFonts w:eastAsia="Arial Unicode MS"/>
        </w:rPr>
        <w:t>снижено с умеренного до нулевого или с сильного до умеренного или нулевого</w:t>
      </w:r>
      <w:r w:rsidRPr="005A1F62">
        <w:rPr>
          <w:rFonts w:eastAsia="Arial Unicode MS"/>
        </w:rPr>
        <w:t>.</w:t>
      </w:r>
    </w:p>
    <w:p w14:paraId="7E463046" w14:textId="082C8E43" w:rsidR="00AA41E3" w:rsidRPr="005A1F62" w:rsidRDefault="00AA41E3" w:rsidP="00B73C6D">
      <w:pPr>
        <w:numPr>
          <w:ilvl w:val="0"/>
          <w:numId w:val="12"/>
        </w:numPr>
        <w:tabs>
          <w:tab w:val="clear" w:pos="720"/>
          <w:tab w:val="left" w:pos="709"/>
        </w:tabs>
        <w:ind w:left="0" w:firstLine="567"/>
        <w:jc w:val="both"/>
        <w:rPr>
          <w:rFonts w:eastAsia="Arial Unicode MS"/>
        </w:rPr>
      </w:pPr>
      <w:r w:rsidRPr="005A1F62">
        <w:rPr>
          <w:rFonts w:eastAsia="Arial Unicode MS"/>
        </w:rPr>
        <w:t>В случае если величина капитала может легко регулироваться банком до уровня, превышающего критически</w:t>
      </w:r>
      <w:r w:rsidR="006F0A10" w:rsidRPr="005A1F62">
        <w:rPr>
          <w:rFonts w:eastAsia="Arial Unicode MS"/>
        </w:rPr>
        <w:t>й</w:t>
      </w:r>
      <w:r w:rsidRPr="005A1F62">
        <w:rPr>
          <w:rFonts w:eastAsia="Arial Unicode MS"/>
        </w:rPr>
        <w:t xml:space="preserve"> для стресс-фактора, за счет восстановления резервов. </w:t>
      </w:r>
      <w:r w:rsidRPr="005A1F62">
        <w:t xml:space="preserve">Для этого обеспечение должно соответствовать I-II категориям качества в соответствии с </w:t>
      </w:r>
      <w:r w:rsidR="00123720" w:rsidRPr="005A1F62">
        <w:lastRenderedPageBreak/>
        <w:t xml:space="preserve">Положением </w:t>
      </w:r>
      <w:r w:rsidRPr="005A1F62">
        <w:t>ЦБ РФ №</w:t>
      </w:r>
      <w:r w:rsidR="00DD3DEE" w:rsidRPr="005A1F62">
        <w:t>590</w:t>
      </w:r>
      <w:r w:rsidRPr="005A1F62">
        <w:t xml:space="preserve">-П. Кроме того, должны быть исключены сценарии, при которых регулятор может признать корректировку расчетных резервов на возможные потери на стоимость обеспечения неправомерной. К таким сценариям могут быть отнесены завышение оценочной стоимости обеспечения или невозможность его изъятия без риска критического ухудшения финансового положения залогодателя. К надежному обеспечению, с высокой вероятностью позволяющему нивелировать давление на капитал, относятся гарантийные депозиты, собственные векселя кредитной организации, входящие в Ломбардный список ЦБ РФ ценные бумаги, имеющие </w:t>
      </w:r>
      <w:r w:rsidR="00DB1766" w:rsidRPr="005A1F62">
        <w:t xml:space="preserve">условные рейтинговые классы на уровне не ниже </w:t>
      </w:r>
      <w:r w:rsidR="00DB1766" w:rsidRPr="005A1F62">
        <w:rPr>
          <w:lang w:val="en-US"/>
        </w:rPr>
        <w:t>ru</w:t>
      </w:r>
      <w:r w:rsidR="00646404" w:rsidRPr="005A1F62">
        <w:rPr>
          <w:lang w:val="en-US"/>
        </w:rPr>
        <w:t>AA</w:t>
      </w:r>
      <w:r w:rsidR="00646404" w:rsidRPr="005A1F62">
        <w:t>-</w:t>
      </w:r>
      <w:r w:rsidR="00DB1766" w:rsidRPr="005A1F62">
        <w:t>, и гарантии лиц, имеющих условные рейтинговые классы на уровне</w:t>
      </w:r>
      <w:r w:rsidR="00DB1766" w:rsidRPr="005A1F62" w:rsidDel="001D5D05">
        <w:t xml:space="preserve"> </w:t>
      </w:r>
      <w:r w:rsidR="00DB1766" w:rsidRPr="005A1F62">
        <w:t xml:space="preserve">не ниже </w:t>
      </w:r>
      <w:r w:rsidR="00DB1766" w:rsidRPr="005A1F62">
        <w:rPr>
          <w:lang w:val="en-US"/>
        </w:rPr>
        <w:t>ru</w:t>
      </w:r>
      <w:r w:rsidR="00646404" w:rsidRPr="005A1F62">
        <w:rPr>
          <w:lang w:val="en-US"/>
        </w:rPr>
        <w:t>AA</w:t>
      </w:r>
      <w:r w:rsidR="00646404" w:rsidRPr="005A1F62">
        <w:t>-</w:t>
      </w:r>
      <w:r w:rsidR="00DB1766" w:rsidRPr="005A1F62">
        <w:t>.</w:t>
      </w:r>
    </w:p>
    <w:p w14:paraId="65B6ECCE" w14:textId="77777777" w:rsidR="00AA41E3" w:rsidRPr="005A1F62" w:rsidRDefault="00AA41E3" w:rsidP="00DC2FED">
      <w:pPr>
        <w:tabs>
          <w:tab w:val="left" w:pos="709"/>
        </w:tabs>
        <w:ind w:firstLine="567"/>
        <w:jc w:val="both"/>
        <w:rPr>
          <w:rFonts w:eastAsia="Arial Unicode MS"/>
        </w:rPr>
      </w:pPr>
    </w:p>
    <w:p w14:paraId="35A792F2" w14:textId="529F5B75" w:rsidR="00AA41E3" w:rsidRPr="005A1F62" w:rsidRDefault="00AA41E3" w:rsidP="00DC2FED">
      <w:pPr>
        <w:tabs>
          <w:tab w:val="left" w:pos="709"/>
        </w:tabs>
        <w:ind w:firstLine="567"/>
        <w:jc w:val="both"/>
      </w:pPr>
      <w:r w:rsidRPr="005A1F62">
        <w:t>4.1.6.5 Крайне активный рост кредитного портфеля и</w:t>
      </w:r>
      <w:r w:rsidR="00376F44" w:rsidRPr="005A1F62">
        <w:t xml:space="preserve"> (</w:t>
      </w:r>
      <w:r w:rsidRPr="005A1F62">
        <w:t>или</w:t>
      </w:r>
      <w:r w:rsidR="00376F44" w:rsidRPr="005A1F62">
        <w:t>)</w:t>
      </w:r>
      <w:r w:rsidRPr="005A1F62">
        <w:t xml:space="preserve"> портфеля гарантий</w:t>
      </w:r>
    </w:p>
    <w:p w14:paraId="46847E75" w14:textId="77777777" w:rsidR="00482CEA" w:rsidRPr="005A1F62" w:rsidRDefault="00482CEA" w:rsidP="00DC2FED">
      <w:pPr>
        <w:tabs>
          <w:tab w:val="left" w:pos="709"/>
        </w:tabs>
        <w:ind w:firstLine="567"/>
        <w:jc w:val="both"/>
      </w:pPr>
    </w:p>
    <w:p w14:paraId="78BD2E45" w14:textId="32D691A2" w:rsidR="00AA41E3" w:rsidRPr="005A1F62" w:rsidRDefault="00AA41E3" w:rsidP="00DC2FED">
      <w:pPr>
        <w:tabs>
          <w:tab w:val="left" w:pos="709"/>
        </w:tabs>
        <w:ind w:firstLine="567"/>
        <w:jc w:val="both"/>
        <w:rPr>
          <w:rFonts w:eastAsia="Arial Unicode MS"/>
        </w:rPr>
      </w:pPr>
      <w:r w:rsidRPr="005A1F62">
        <w:t>В случае если темп прироста размера кредитного портфеля и</w:t>
      </w:r>
      <w:r w:rsidR="00376F44" w:rsidRPr="005A1F62">
        <w:t xml:space="preserve"> (</w:t>
      </w:r>
      <w:r w:rsidRPr="005A1F62">
        <w:t>или</w:t>
      </w:r>
      <w:r w:rsidR="00376F44" w:rsidRPr="005A1F62">
        <w:t>)</w:t>
      </w:r>
      <w:r w:rsidRPr="005A1F62">
        <w:t xml:space="preserve"> портфеля гарантий крайне высок на относительно коротком временном горизонте (оценивается на основе экспертного суждения), при этом запас по капиталу банка в абсолютном выражении и</w:t>
      </w:r>
      <w:r w:rsidR="00376F44" w:rsidRPr="005A1F62">
        <w:t xml:space="preserve"> (</w:t>
      </w:r>
      <w:r w:rsidRPr="005A1F62">
        <w:t>или</w:t>
      </w:r>
      <w:r w:rsidR="00376F44" w:rsidRPr="005A1F62">
        <w:t>)</w:t>
      </w:r>
      <w:r w:rsidRPr="005A1F62">
        <w:t xml:space="preserve"> по нормативам достаточности капитала не </w:t>
      </w:r>
      <w:r w:rsidR="00376F44" w:rsidRPr="005A1F62">
        <w:t xml:space="preserve">позволяет </w:t>
      </w:r>
      <w:r w:rsidRPr="005A1F62">
        <w:t>выдержать реализацию кредитных рисков на уровне</w:t>
      </w:r>
      <w:r w:rsidRPr="005A1F62">
        <w:rPr>
          <w:rFonts w:eastAsia="Arial Unicode MS"/>
        </w:rPr>
        <w:t>, характерном для среднерыночного аналога кредитного и</w:t>
      </w:r>
      <w:r w:rsidR="00376F44" w:rsidRPr="005A1F62">
        <w:rPr>
          <w:rFonts w:eastAsia="Arial Unicode MS"/>
        </w:rPr>
        <w:t xml:space="preserve"> (</w:t>
      </w:r>
      <w:r w:rsidRPr="005A1F62">
        <w:rPr>
          <w:rFonts w:eastAsia="Arial Unicode MS"/>
        </w:rPr>
        <w:t>или</w:t>
      </w:r>
      <w:r w:rsidR="00376F44" w:rsidRPr="005A1F62">
        <w:rPr>
          <w:rFonts w:eastAsia="Arial Unicode MS"/>
        </w:rPr>
        <w:t>)</w:t>
      </w:r>
      <w:r w:rsidRPr="005A1F62">
        <w:rPr>
          <w:rFonts w:eastAsia="Arial Unicode MS"/>
        </w:rPr>
        <w:t xml:space="preserve"> гарантийного портфеля (определяется на основе экспертного суждения)</w:t>
      </w:r>
      <w:r w:rsidR="00123720" w:rsidRPr="005A1F62">
        <w:rPr>
          <w:rFonts w:eastAsia="Arial Unicode MS"/>
        </w:rPr>
        <w:t>, то р</w:t>
      </w:r>
      <w:r w:rsidR="006A0DEA" w:rsidRPr="005A1F62">
        <w:rPr>
          <w:rFonts w:eastAsia="Arial Unicode MS"/>
        </w:rPr>
        <w:t>ешение по выделению стресс-фактора принимается на осн</w:t>
      </w:r>
      <w:r w:rsidR="00596D40" w:rsidRPr="005A1F62">
        <w:rPr>
          <w:rFonts w:eastAsia="Arial Unicode MS"/>
        </w:rPr>
        <w:t>ов</w:t>
      </w:r>
      <w:r w:rsidR="006A0DEA" w:rsidRPr="005A1F62">
        <w:rPr>
          <w:rFonts w:eastAsia="Arial Unicode MS"/>
        </w:rPr>
        <w:t xml:space="preserve">е моделирования </w:t>
      </w:r>
      <w:r w:rsidR="000E5DD5" w:rsidRPr="005A1F62">
        <w:rPr>
          <w:rFonts w:eastAsia="Arial Unicode MS"/>
        </w:rPr>
        <w:t>показателей достаточности собственных средств банка с учетом планов по наращиванию рисковых активов, их ожидаемой дефолтности, доходности и т.</w:t>
      </w:r>
      <w:r w:rsidR="00123720" w:rsidRPr="005A1F62">
        <w:rPr>
          <w:rFonts w:eastAsia="Arial Unicode MS"/>
        </w:rPr>
        <w:t xml:space="preserve"> </w:t>
      </w:r>
      <w:r w:rsidR="000E5DD5" w:rsidRPr="005A1F62">
        <w:rPr>
          <w:rFonts w:eastAsia="Arial Unicode MS"/>
        </w:rPr>
        <w:t>д.</w:t>
      </w:r>
    </w:p>
    <w:p w14:paraId="0CA4FD8A" w14:textId="77777777" w:rsidR="00AA41E3" w:rsidRPr="005A1F62" w:rsidRDefault="00AA41E3" w:rsidP="00DC2FED">
      <w:pPr>
        <w:tabs>
          <w:tab w:val="left" w:pos="709"/>
        </w:tabs>
        <w:ind w:firstLine="567"/>
        <w:jc w:val="both"/>
      </w:pPr>
    </w:p>
    <w:p w14:paraId="309F3CF9" w14:textId="63F41802" w:rsidR="00AA41E3" w:rsidRPr="005A1F62" w:rsidRDefault="00AA41E3" w:rsidP="00DC2FED">
      <w:pPr>
        <w:tabs>
          <w:tab w:val="left" w:pos="709"/>
        </w:tabs>
        <w:ind w:firstLine="567"/>
        <w:jc w:val="both"/>
        <w:rPr>
          <w:rFonts w:eastAsia="Arial Unicode MS"/>
        </w:rPr>
      </w:pPr>
      <w:r w:rsidRPr="005A1F62">
        <w:rPr>
          <w:rFonts w:eastAsia="Arial Unicode MS"/>
        </w:rPr>
        <w:t>4.1.6.6 Ожидаемый убыток в существенном объеме</w:t>
      </w:r>
    </w:p>
    <w:p w14:paraId="2649E5D6" w14:textId="77777777" w:rsidR="00482CEA" w:rsidRPr="005A1F62" w:rsidRDefault="00482CEA" w:rsidP="00DC2FED">
      <w:pPr>
        <w:tabs>
          <w:tab w:val="left" w:pos="709"/>
        </w:tabs>
        <w:ind w:firstLine="567"/>
        <w:jc w:val="both"/>
        <w:rPr>
          <w:rFonts w:eastAsia="Arial Unicode MS"/>
        </w:rPr>
      </w:pPr>
    </w:p>
    <w:p w14:paraId="67F2EBE1" w14:textId="7174B0D5" w:rsidR="00AA41E3" w:rsidRPr="005A1F62" w:rsidRDefault="00AA41E3" w:rsidP="00B73C6D">
      <w:pPr>
        <w:numPr>
          <w:ilvl w:val="0"/>
          <w:numId w:val="32"/>
        </w:numPr>
        <w:tabs>
          <w:tab w:val="left" w:pos="709"/>
        </w:tabs>
        <w:ind w:left="0" w:firstLine="567"/>
        <w:contextualSpacing/>
        <w:jc w:val="both"/>
      </w:pPr>
      <w:bookmarkStart w:id="237" w:name="_Hlk504933263"/>
      <w:r w:rsidRPr="005A1F62">
        <w:t xml:space="preserve">В случае если </w:t>
      </w:r>
      <w:r w:rsidR="007F7204" w:rsidRPr="005A1F62">
        <w:t>А</w:t>
      </w:r>
      <w:r w:rsidRPr="005A1F62">
        <w:t xml:space="preserve">гентство оценивает вероятность получения убытка, который приведет к снижению норматива Н1.0 ниже уровня </w:t>
      </w:r>
      <w:r w:rsidR="00EA7E03" w:rsidRPr="005A1F62">
        <w:t>8,5</w:t>
      </w:r>
      <w:r w:rsidRPr="005A1F62">
        <w:t>% и</w:t>
      </w:r>
      <w:r w:rsidR="00376F44" w:rsidRPr="005A1F62">
        <w:t xml:space="preserve"> (</w:t>
      </w:r>
      <w:r w:rsidRPr="005A1F62">
        <w:t>или</w:t>
      </w:r>
      <w:r w:rsidR="00376F44" w:rsidRPr="005A1F62">
        <w:t>)</w:t>
      </w:r>
      <w:r w:rsidRPr="005A1F62">
        <w:t xml:space="preserve"> норматива Н1.1 ниже уровня </w:t>
      </w:r>
      <w:r w:rsidR="00EA7E03" w:rsidRPr="005A1F62">
        <w:t>5,0</w:t>
      </w:r>
      <w:r w:rsidRPr="005A1F62">
        <w:t>%</w:t>
      </w:r>
      <w:r w:rsidR="00960F9B" w:rsidRPr="005A1F62">
        <w:t xml:space="preserve"> (только для банков с универсальной лицензией)</w:t>
      </w:r>
      <w:r w:rsidR="00376F44" w:rsidRPr="005A1F62">
        <w:t>,</w:t>
      </w:r>
      <w:r w:rsidRPr="005A1F62">
        <w:t xml:space="preserve"> и</w:t>
      </w:r>
      <w:r w:rsidR="00376F44" w:rsidRPr="005A1F62">
        <w:t xml:space="preserve"> (</w:t>
      </w:r>
      <w:r w:rsidRPr="005A1F62">
        <w:t>или</w:t>
      </w:r>
      <w:r w:rsidR="00376F44" w:rsidRPr="005A1F62">
        <w:t>)</w:t>
      </w:r>
      <w:r w:rsidRPr="005A1F62">
        <w:t xml:space="preserve"> норматива Н1.2 ниже уровня 6,5%</w:t>
      </w:r>
      <w:r w:rsidR="001D0EDE" w:rsidRPr="005A1F62">
        <w:t>, и (или) абсолютной величины капитала ниже 350 млн руб.</w:t>
      </w:r>
      <w:r w:rsidRPr="005A1F62">
        <w:t>, как высокую, то выделяется умеренный стресс-фактор.</w:t>
      </w:r>
    </w:p>
    <w:p w14:paraId="56FA6A5D" w14:textId="2E77B39D" w:rsidR="003D669B" w:rsidRPr="005A1F62" w:rsidRDefault="00AA41E3" w:rsidP="00B73C6D">
      <w:pPr>
        <w:numPr>
          <w:ilvl w:val="0"/>
          <w:numId w:val="32"/>
        </w:numPr>
        <w:tabs>
          <w:tab w:val="left" w:pos="709"/>
        </w:tabs>
        <w:ind w:left="0" w:firstLine="567"/>
        <w:contextualSpacing/>
        <w:jc w:val="both"/>
      </w:pPr>
      <w:r w:rsidRPr="005A1F62">
        <w:t xml:space="preserve">В случае если </w:t>
      </w:r>
      <w:r w:rsidR="007F7204" w:rsidRPr="005A1F62">
        <w:t>А</w:t>
      </w:r>
      <w:r w:rsidRPr="005A1F62">
        <w:t>гентство оценивает вероятность получения убытка, который приведет к нарушению любого из нормативов достаточности капитала</w:t>
      </w:r>
      <w:r w:rsidR="001D0EDE" w:rsidRPr="005A1F62">
        <w:t xml:space="preserve"> или снижению абсолютной величины капитала ниже 315 млн руб.</w:t>
      </w:r>
      <w:r w:rsidRPr="005A1F62">
        <w:t>, как высокую, то выделяется сильный стресс-фактор.</w:t>
      </w:r>
    </w:p>
    <w:p w14:paraId="1D8F7534" w14:textId="2601A676" w:rsidR="003D669B" w:rsidRPr="005A1F62" w:rsidRDefault="003D669B" w:rsidP="00C24C02">
      <w:pPr>
        <w:tabs>
          <w:tab w:val="left" w:pos="709"/>
        </w:tabs>
        <w:ind w:firstLine="567"/>
        <w:jc w:val="both"/>
      </w:pPr>
      <w:r w:rsidRPr="005A1F62">
        <w:t xml:space="preserve">В качестве ожидаемого убытка, как правило, рассматривается </w:t>
      </w:r>
      <w:r w:rsidR="00917EDF" w:rsidRPr="005A1F62">
        <w:t>убыток от вероятного обесценения активов, в том числе в связи с наличием признаков недосозданных резервов по проблемным активам, которые перечислены в п. 2.1 настоящей методологии.</w:t>
      </w:r>
      <w:r w:rsidR="007D0D24" w:rsidRPr="005A1F62">
        <w:t xml:space="preserve"> Другими источниками ожидаемых убытков, оцениваемых относительно регулятивных требований к капиталу в стресс-факторе, могут быть отрицательная операционная эффективность деятельности (неполное покрытие расходов на обеспечение деятельности стабильными компонентами финансового результата), потери от реализации операционного риска, которые в среднесрочной пе</w:t>
      </w:r>
      <w:r w:rsidR="00424C2D" w:rsidRPr="005A1F62">
        <w:t>р</w:t>
      </w:r>
      <w:r w:rsidR="007D0D24" w:rsidRPr="005A1F62">
        <w:t>спективе могут привести к нарушению указанных выше критериев.</w:t>
      </w:r>
    </w:p>
    <w:bookmarkEnd w:id="237"/>
    <w:p w14:paraId="31E68BBF" w14:textId="77777777" w:rsidR="00DB1766" w:rsidRPr="005A1F62" w:rsidRDefault="00DB1766" w:rsidP="00DC2FED">
      <w:pPr>
        <w:pStyle w:val="afb"/>
        <w:tabs>
          <w:tab w:val="left" w:pos="709"/>
        </w:tabs>
        <w:ind w:left="1004"/>
        <w:jc w:val="both"/>
        <w:rPr>
          <w:b/>
          <w:i/>
        </w:rPr>
      </w:pPr>
    </w:p>
    <w:p w14:paraId="748BDF0C" w14:textId="48ED4040" w:rsidR="00DB1766" w:rsidRPr="005A1F62" w:rsidRDefault="00DB1766" w:rsidP="00DC2FED">
      <w:pPr>
        <w:pStyle w:val="afb"/>
        <w:tabs>
          <w:tab w:val="left" w:pos="709"/>
        </w:tabs>
        <w:ind w:left="1004" w:hanging="437"/>
        <w:jc w:val="both"/>
        <w:rPr>
          <w:b/>
        </w:rPr>
      </w:pPr>
      <w:r w:rsidRPr="005A1F62">
        <w:rPr>
          <w:b/>
        </w:rPr>
        <w:t>4.1.7 Деловая репутация</w:t>
      </w:r>
    </w:p>
    <w:p w14:paraId="50C6B49C" w14:textId="77777777" w:rsidR="00482CEA" w:rsidRPr="005A1F62" w:rsidRDefault="00482CEA" w:rsidP="00DC2FED">
      <w:pPr>
        <w:pStyle w:val="afb"/>
        <w:tabs>
          <w:tab w:val="left" w:pos="709"/>
        </w:tabs>
        <w:ind w:left="1004" w:hanging="437"/>
        <w:jc w:val="both"/>
        <w:rPr>
          <w:b/>
        </w:rPr>
      </w:pPr>
    </w:p>
    <w:p w14:paraId="34F8C632" w14:textId="65FC06C6" w:rsidR="00DB1766" w:rsidRPr="005A1F62" w:rsidRDefault="00DB1766" w:rsidP="00DC2FED">
      <w:pPr>
        <w:tabs>
          <w:tab w:val="left" w:pos="709"/>
        </w:tabs>
        <w:ind w:firstLine="567"/>
        <w:jc w:val="both"/>
      </w:pPr>
      <w:r w:rsidRPr="005A1F62">
        <w:t xml:space="preserve">Основания для выделения стресс-фактора деловой репутации описаны в пункте </w:t>
      </w:r>
      <w:r w:rsidR="0045262A" w:rsidRPr="005A1F62">
        <w:t>1.1</w:t>
      </w:r>
      <w:r w:rsidRPr="005A1F62">
        <w:t xml:space="preserve"> </w:t>
      </w:r>
      <w:r w:rsidR="00241D6E" w:rsidRPr="005A1F62">
        <w:t xml:space="preserve">главы </w:t>
      </w:r>
      <w:r w:rsidR="00241D6E" w:rsidRPr="005A1F62">
        <w:rPr>
          <w:lang w:val="en-US"/>
        </w:rPr>
        <w:t>V</w:t>
      </w:r>
      <w:r w:rsidR="00241D6E" w:rsidRPr="005A1F62">
        <w:t xml:space="preserve"> </w:t>
      </w:r>
      <w:r w:rsidRPr="005A1F62">
        <w:t>настоящей методологии.</w:t>
      </w:r>
    </w:p>
    <w:p w14:paraId="46D8494D" w14:textId="77777777" w:rsidR="00AA41E3" w:rsidRPr="005A1F62" w:rsidRDefault="00AA41E3" w:rsidP="00DC2FED">
      <w:pPr>
        <w:tabs>
          <w:tab w:val="left" w:pos="709"/>
        </w:tabs>
        <w:ind w:firstLine="567"/>
        <w:contextualSpacing/>
        <w:jc w:val="both"/>
      </w:pPr>
    </w:p>
    <w:p w14:paraId="7280E058" w14:textId="720BAAF2" w:rsidR="00AA41E3" w:rsidRPr="005A1F62" w:rsidRDefault="00AA41E3" w:rsidP="00DC2FED">
      <w:pPr>
        <w:tabs>
          <w:tab w:val="left" w:pos="709"/>
        </w:tabs>
        <w:ind w:firstLine="567"/>
        <w:jc w:val="both"/>
        <w:rPr>
          <w:b/>
        </w:rPr>
      </w:pPr>
      <w:r w:rsidRPr="005A1F62">
        <w:rPr>
          <w:b/>
        </w:rPr>
        <w:t>4.1.</w:t>
      </w:r>
      <w:r w:rsidR="00F81B6B" w:rsidRPr="005A1F62">
        <w:rPr>
          <w:b/>
        </w:rPr>
        <w:t xml:space="preserve">8 </w:t>
      </w:r>
      <w:r w:rsidRPr="005A1F62">
        <w:rPr>
          <w:b/>
        </w:rPr>
        <w:t xml:space="preserve">Внутренний иной стресс-фактор </w:t>
      </w:r>
    </w:p>
    <w:p w14:paraId="44AA03CB" w14:textId="77777777" w:rsidR="00482CEA" w:rsidRPr="005A1F62" w:rsidRDefault="00482CEA" w:rsidP="00DC2FED">
      <w:pPr>
        <w:tabs>
          <w:tab w:val="left" w:pos="709"/>
        </w:tabs>
        <w:ind w:firstLine="567"/>
        <w:jc w:val="both"/>
        <w:rPr>
          <w:b/>
          <w:i/>
        </w:rPr>
      </w:pPr>
    </w:p>
    <w:p w14:paraId="552B73D9" w14:textId="77777777" w:rsidR="00166B93" w:rsidRPr="005A1F62" w:rsidRDefault="00AA41E3" w:rsidP="00DC2FED">
      <w:pPr>
        <w:tabs>
          <w:tab w:val="left" w:pos="709"/>
        </w:tabs>
        <w:ind w:firstLine="567"/>
        <w:jc w:val="both"/>
      </w:pPr>
      <w:r w:rsidRPr="005A1F62">
        <w:t>Внутренние риски, которые не были учтены в рейтинговой модели в связи с особенностями объекта рейтинга либо кратковременны</w:t>
      </w:r>
      <w:r w:rsidR="007071C0" w:rsidRPr="005A1F62">
        <w:t>ми</w:t>
      </w:r>
      <w:r w:rsidRPr="005A1F62">
        <w:t xml:space="preserve"> факторами, отражаются во внутреннем ином стресс-факторе. </w:t>
      </w:r>
      <w:r w:rsidR="00166B93" w:rsidRPr="005A1F62">
        <w:t>Влияние внутреннего иного стресс-фактора может быть умеренным</w:t>
      </w:r>
      <w:r w:rsidR="00CD78CF" w:rsidRPr="005A1F62">
        <w:t xml:space="preserve"> </w:t>
      </w:r>
      <w:r w:rsidR="00166B93" w:rsidRPr="005A1F62">
        <w:t>или сильным.</w:t>
      </w:r>
    </w:p>
    <w:p w14:paraId="7757C09E" w14:textId="44D992A8" w:rsidR="007071C0" w:rsidRPr="005A1F62" w:rsidRDefault="00AA41E3" w:rsidP="00DC2FED">
      <w:pPr>
        <w:tabs>
          <w:tab w:val="left" w:pos="709"/>
        </w:tabs>
        <w:ind w:firstLine="567"/>
        <w:jc w:val="both"/>
      </w:pPr>
      <w:r w:rsidRPr="005A1F62">
        <w:t xml:space="preserve">Под кратковременными факторами понимается </w:t>
      </w:r>
      <w:r w:rsidR="00292D61" w:rsidRPr="005A1F62">
        <w:t xml:space="preserve">текущее </w:t>
      </w:r>
      <w:r w:rsidRPr="005A1F62">
        <w:t>увеличение рейтингового числа</w:t>
      </w:r>
      <w:r w:rsidR="00292D61" w:rsidRPr="005A1F62">
        <w:t xml:space="preserve"> относительно ожиданий Агентства по его величине в будущем</w:t>
      </w:r>
      <w:r w:rsidRPr="005A1F62">
        <w:t>, которое, по мнению членов рейтингового комитета, носит временный характер</w:t>
      </w:r>
      <w:r w:rsidR="00376F44" w:rsidRPr="005A1F62">
        <w:t>,</w:t>
      </w:r>
      <w:r w:rsidRPr="005A1F62">
        <w:t xml:space="preserve"> и в ближайш</w:t>
      </w:r>
      <w:r w:rsidR="0014658E" w:rsidRPr="005A1F62">
        <w:t xml:space="preserve">ее полугодие </w:t>
      </w:r>
      <w:r w:rsidRPr="005A1F62">
        <w:t xml:space="preserve">рейтинговое число существенно сократится. Таким образом, под кратковременным фактором понимается фактор, действие которого с высокой вероятностью прекратится в течение </w:t>
      </w:r>
      <w:r w:rsidR="0014658E" w:rsidRPr="005A1F62">
        <w:t xml:space="preserve">шести </w:t>
      </w:r>
      <w:r w:rsidRPr="005A1F62">
        <w:t>месяцев.</w:t>
      </w:r>
      <w:r w:rsidR="00C46D61" w:rsidRPr="005A1F62">
        <w:t xml:space="preserve"> Данный стресс-фактор также применяется при выявлении </w:t>
      </w:r>
      <w:r w:rsidR="00C3706F" w:rsidRPr="005A1F62">
        <w:t>не</w:t>
      </w:r>
      <w:r w:rsidR="00C46D61" w:rsidRPr="005A1F62">
        <w:t>значительных признаков недостоверности отч</w:t>
      </w:r>
      <w:r w:rsidR="00CD78CF" w:rsidRPr="005A1F62">
        <w:t>е</w:t>
      </w:r>
      <w:r w:rsidR="00C46D61" w:rsidRPr="005A1F62">
        <w:t>тности</w:t>
      </w:r>
      <w:r w:rsidR="00C3706F" w:rsidRPr="005A1F62">
        <w:t xml:space="preserve"> (</w:t>
      </w:r>
      <w:r w:rsidR="00F16EC8" w:rsidRPr="005A1F62">
        <w:t>из-за чего</w:t>
      </w:r>
      <w:r w:rsidR="00C3706F" w:rsidRPr="005A1F62">
        <w:t xml:space="preserve"> некоторые параметры могут оцениваться в рамках стандартных правил оценки недостаточно консервативно)</w:t>
      </w:r>
      <w:r w:rsidR="00C46D61" w:rsidRPr="005A1F62">
        <w:t>, если при этом сохраняется возможность применения настоящей методологии.</w:t>
      </w:r>
      <w:r w:rsidRPr="005A1F62">
        <w:t xml:space="preserve"> Влияние внутреннего иного стресс-фактора может быть умеренным</w:t>
      </w:r>
      <w:r w:rsidR="00CD78CF" w:rsidRPr="005A1F62">
        <w:t xml:space="preserve"> </w:t>
      </w:r>
      <w:r w:rsidRPr="005A1F62">
        <w:t>или сильным.</w:t>
      </w:r>
    </w:p>
    <w:p w14:paraId="7C8569B3" w14:textId="77777777" w:rsidR="00AA41E3" w:rsidRPr="005A1F62" w:rsidRDefault="00AA41E3" w:rsidP="00DC2FED">
      <w:pPr>
        <w:tabs>
          <w:tab w:val="left" w:pos="709"/>
        </w:tabs>
        <w:ind w:firstLine="567"/>
        <w:jc w:val="both"/>
        <w:rPr>
          <w:b/>
        </w:rPr>
      </w:pPr>
    </w:p>
    <w:p w14:paraId="2535056B" w14:textId="77777777" w:rsidR="00AA41E3" w:rsidRPr="005A1F62" w:rsidRDefault="00AA41E3" w:rsidP="00DC2FED">
      <w:pPr>
        <w:tabs>
          <w:tab w:val="left" w:pos="709"/>
        </w:tabs>
        <w:ind w:firstLine="567"/>
        <w:jc w:val="both"/>
        <w:rPr>
          <w:b/>
          <w:sz w:val="26"/>
          <w:szCs w:val="26"/>
        </w:rPr>
      </w:pPr>
      <w:r w:rsidRPr="005A1F62">
        <w:rPr>
          <w:b/>
          <w:sz w:val="26"/>
          <w:szCs w:val="26"/>
        </w:rPr>
        <w:t>4.2 Внутренние факторы поддержки</w:t>
      </w:r>
    </w:p>
    <w:p w14:paraId="7E1DAA6A" w14:textId="77777777" w:rsidR="00AA41E3" w:rsidRPr="005A1F62" w:rsidRDefault="00AA41E3" w:rsidP="00DC2FED">
      <w:pPr>
        <w:tabs>
          <w:tab w:val="left" w:pos="709"/>
        </w:tabs>
        <w:ind w:firstLine="567"/>
        <w:jc w:val="both"/>
        <w:rPr>
          <w:b/>
          <w:bCs/>
          <w:i/>
        </w:rPr>
      </w:pPr>
    </w:p>
    <w:p w14:paraId="531FAED3" w14:textId="49606294" w:rsidR="00AA41E3" w:rsidRPr="005A1F62" w:rsidRDefault="00AA41E3" w:rsidP="00DC2FED">
      <w:pPr>
        <w:tabs>
          <w:tab w:val="left" w:pos="709"/>
        </w:tabs>
        <w:ind w:firstLine="567"/>
        <w:jc w:val="both"/>
        <w:rPr>
          <w:b/>
          <w:bCs/>
        </w:rPr>
      </w:pPr>
      <w:r w:rsidRPr="005A1F62">
        <w:rPr>
          <w:b/>
          <w:bCs/>
        </w:rPr>
        <w:t>4.2.1 Внутренний иной фактор поддержки</w:t>
      </w:r>
    </w:p>
    <w:p w14:paraId="11B2ADD2" w14:textId="77777777" w:rsidR="00482CEA" w:rsidRPr="005A1F62" w:rsidRDefault="00482CEA" w:rsidP="00DC2FED">
      <w:pPr>
        <w:tabs>
          <w:tab w:val="left" w:pos="709"/>
        </w:tabs>
        <w:ind w:firstLine="567"/>
        <w:jc w:val="both"/>
      </w:pPr>
    </w:p>
    <w:p w14:paraId="0182BA7C" w14:textId="77777777" w:rsidR="006C50E6" w:rsidRPr="005A1F62" w:rsidRDefault="00AA41E3" w:rsidP="00DC2FED">
      <w:pPr>
        <w:tabs>
          <w:tab w:val="left" w:pos="709"/>
        </w:tabs>
        <w:ind w:firstLine="567"/>
        <w:jc w:val="both"/>
      </w:pPr>
      <w:r w:rsidRPr="005A1F62">
        <w:t>Дополнительные внутренние факторы поддержки, которые не были учтены в рейтинговой модели в связи с особенностями объекта рейтинга либо кратковременны</w:t>
      </w:r>
      <w:r w:rsidR="006C50E6" w:rsidRPr="005A1F62">
        <w:t>ми</w:t>
      </w:r>
      <w:r w:rsidRPr="005A1F62">
        <w:t xml:space="preserve"> факторами, отражаются во внутреннем ином факторе поддержки. </w:t>
      </w:r>
      <w:r w:rsidR="006C50E6" w:rsidRPr="005A1F62">
        <w:t>Влияние внутреннего иного фактора поддержки может быть умеренным или сильным</w:t>
      </w:r>
      <w:r w:rsidR="00C3706F" w:rsidRPr="005A1F62">
        <w:t>.</w:t>
      </w:r>
    </w:p>
    <w:p w14:paraId="0F38D4C2" w14:textId="51304AD5" w:rsidR="006C50E6" w:rsidRPr="005A1F62" w:rsidRDefault="00AA41E3" w:rsidP="00DC2FED">
      <w:pPr>
        <w:tabs>
          <w:tab w:val="left" w:pos="709"/>
        </w:tabs>
        <w:ind w:firstLine="567"/>
        <w:jc w:val="both"/>
      </w:pPr>
      <w:r w:rsidRPr="005A1F62">
        <w:t>Под кратковременными факторами понимается</w:t>
      </w:r>
      <w:r w:rsidR="00CB3C65" w:rsidRPr="005A1F62">
        <w:t xml:space="preserve"> текущее</w:t>
      </w:r>
      <w:r w:rsidRPr="005A1F62">
        <w:t xml:space="preserve"> </w:t>
      </w:r>
      <w:r w:rsidR="00292D61" w:rsidRPr="005A1F62">
        <w:t>уменьшение</w:t>
      </w:r>
      <w:r w:rsidRPr="005A1F62">
        <w:t xml:space="preserve"> рейтингового числа, которое, по мнению членов рейтингового комитета, носит временный характер</w:t>
      </w:r>
      <w:r w:rsidR="00376F44" w:rsidRPr="005A1F62">
        <w:t>,</w:t>
      </w:r>
      <w:r w:rsidRPr="005A1F62">
        <w:t xml:space="preserve"> и в ближайш</w:t>
      </w:r>
      <w:r w:rsidR="0014658E" w:rsidRPr="005A1F62">
        <w:t>ее полугодие</w:t>
      </w:r>
      <w:r w:rsidRPr="005A1F62">
        <w:t xml:space="preserve"> рейтинговое число существенно </w:t>
      </w:r>
      <w:r w:rsidR="00292D61" w:rsidRPr="005A1F62">
        <w:t>вырастет</w:t>
      </w:r>
      <w:r w:rsidRPr="005A1F62">
        <w:t>. Таким образом, под кратковременным фактором понимается фактор, действие которого</w:t>
      </w:r>
      <w:r w:rsidR="006C50E6" w:rsidRPr="005A1F62">
        <w:t>, по м</w:t>
      </w:r>
      <w:r w:rsidR="005D283D" w:rsidRPr="005A1F62">
        <w:t xml:space="preserve">нению рейтинговых аналитиков </w:t>
      </w:r>
      <w:r w:rsidR="006C50E6" w:rsidRPr="005A1F62">
        <w:t>«Эксперт</w:t>
      </w:r>
      <w:r w:rsidR="00F81B6B" w:rsidRPr="005A1F62">
        <w:t>а</w:t>
      </w:r>
      <w:r w:rsidR="006C50E6" w:rsidRPr="005A1F62">
        <w:t xml:space="preserve"> РА»,</w:t>
      </w:r>
      <w:r w:rsidRPr="005A1F62">
        <w:t xml:space="preserve"> с высокой вероятностью прекратится в течение </w:t>
      </w:r>
      <w:r w:rsidR="0014658E" w:rsidRPr="005A1F62">
        <w:t xml:space="preserve">шести </w:t>
      </w:r>
      <w:r w:rsidRPr="005A1F62">
        <w:t>месяцев</w:t>
      </w:r>
      <w:r w:rsidR="00292D61" w:rsidRPr="005A1F62">
        <w:t xml:space="preserve"> </w:t>
      </w:r>
      <w:r w:rsidR="006C50E6" w:rsidRPr="005A1F62">
        <w:t>ввиду</w:t>
      </w:r>
      <w:r w:rsidR="00292D61" w:rsidRPr="005A1F62">
        <w:t xml:space="preserve"> позитивных изменений в деятельности объекта рейтинга</w:t>
      </w:r>
      <w:r w:rsidRPr="005A1F62">
        <w:t xml:space="preserve">. </w:t>
      </w:r>
    </w:p>
    <w:p w14:paraId="3F994001" w14:textId="3B50DEF2" w:rsidR="006C50E6" w:rsidRPr="005A1F62" w:rsidRDefault="006C50E6" w:rsidP="00DC2FED">
      <w:pPr>
        <w:tabs>
          <w:tab w:val="left" w:pos="709"/>
        </w:tabs>
        <w:ind w:firstLine="567"/>
        <w:jc w:val="both"/>
        <w:rPr>
          <w:rFonts w:eastAsia="Arial Unicode MS"/>
          <w:b/>
          <w:sz w:val="28"/>
          <w:szCs w:val="28"/>
        </w:rPr>
      </w:pPr>
      <w:r w:rsidRPr="005A1F62">
        <w:t xml:space="preserve">В частности, иной фактор поддержки применяется, если </w:t>
      </w:r>
      <w:r w:rsidR="0052593F" w:rsidRPr="005A1F62">
        <w:t xml:space="preserve">банк предоставил отчетность на </w:t>
      </w:r>
      <w:proofErr w:type="spellStart"/>
      <w:r w:rsidR="0052593F" w:rsidRPr="005A1F62">
        <w:t>внутримесячную</w:t>
      </w:r>
      <w:proofErr w:type="spellEnd"/>
      <w:r w:rsidR="0052593F" w:rsidRPr="005A1F62">
        <w:t xml:space="preserve"> дату</w:t>
      </w:r>
      <w:r w:rsidRPr="005A1F62">
        <w:t xml:space="preserve"> или иные документы</w:t>
      </w:r>
      <w:r w:rsidR="0052593F" w:rsidRPr="005A1F62">
        <w:t xml:space="preserve">, исходя из </w:t>
      </w:r>
      <w:r w:rsidR="00C3706F" w:rsidRPr="005A1F62">
        <w:t>которых</w:t>
      </w:r>
      <w:r w:rsidR="0052593F" w:rsidRPr="005A1F62">
        <w:t xml:space="preserve"> можно с уверенностью полагать, что какой-либо стресс-фактор в течение </w:t>
      </w:r>
      <w:r w:rsidR="0014658E" w:rsidRPr="005A1F62">
        <w:t xml:space="preserve">шести </w:t>
      </w:r>
      <w:r w:rsidR="0052593F" w:rsidRPr="005A1F62">
        <w:t>месяцев будет снят или какой-либо балл будет значительно повышен</w:t>
      </w:r>
      <w:r w:rsidRPr="005A1F62">
        <w:t>,</w:t>
      </w:r>
      <w:r w:rsidR="0052593F" w:rsidRPr="005A1F62">
        <w:t xml:space="preserve"> при этом </w:t>
      </w:r>
      <w:r w:rsidRPr="005A1F62">
        <w:t xml:space="preserve">такая </w:t>
      </w:r>
      <w:r w:rsidR="0052593F" w:rsidRPr="005A1F62">
        <w:t>корректировка балла или стресс-фактора не предусмотрена в соответствующем разделе</w:t>
      </w:r>
      <w:r w:rsidR="00F16EC8" w:rsidRPr="005A1F62">
        <w:t xml:space="preserve"> методологии</w:t>
      </w:r>
      <w:r w:rsidR="000840D4" w:rsidRPr="005A1F62">
        <w:t>.</w:t>
      </w:r>
    </w:p>
    <w:p w14:paraId="75394CC0" w14:textId="77777777" w:rsidR="00AA41E3" w:rsidRPr="005A1F62" w:rsidRDefault="00AA41E3" w:rsidP="00DC2FED">
      <w:pPr>
        <w:tabs>
          <w:tab w:val="left" w:pos="709"/>
        </w:tabs>
        <w:ind w:firstLine="567"/>
        <w:jc w:val="both"/>
      </w:pPr>
    </w:p>
    <w:p w14:paraId="6B0C3DB9" w14:textId="77777777" w:rsidR="002733D6" w:rsidRPr="005A1F62" w:rsidRDefault="002733D6">
      <w:pPr>
        <w:rPr>
          <w:b/>
          <w:bCs/>
          <w:iCs/>
          <w:sz w:val="28"/>
          <w:szCs w:val="28"/>
        </w:rPr>
      </w:pPr>
      <w:bookmarkStart w:id="238" w:name="_Toc459363770"/>
      <w:r w:rsidRPr="005A1F62">
        <w:rPr>
          <w:b/>
          <w:bCs/>
          <w:iCs/>
          <w:sz w:val="28"/>
          <w:szCs w:val="28"/>
        </w:rPr>
        <w:br w:type="page"/>
      </w:r>
    </w:p>
    <w:p w14:paraId="324256F0" w14:textId="3F6BB662" w:rsidR="00AA41E3" w:rsidRPr="005A1F62" w:rsidRDefault="00AA41E3" w:rsidP="00DC2FED">
      <w:pPr>
        <w:keepNext/>
        <w:tabs>
          <w:tab w:val="left" w:pos="709"/>
        </w:tabs>
        <w:ind w:firstLine="567"/>
        <w:jc w:val="both"/>
        <w:outlineLvl w:val="1"/>
        <w:rPr>
          <w:b/>
          <w:bCs/>
          <w:iCs/>
          <w:sz w:val="28"/>
          <w:szCs w:val="28"/>
        </w:rPr>
      </w:pPr>
      <w:bookmarkStart w:id="239" w:name="_Toc44433473"/>
      <w:r w:rsidRPr="005A1F62">
        <w:rPr>
          <w:b/>
          <w:bCs/>
          <w:iCs/>
          <w:sz w:val="28"/>
          <w:szCs w:val="28"/>
        </w:rPr>
        <w:lastRenderedPageBreak/>
        <w:t xml:space="preserve">РАЗДЕЛ </w:t>
      </w:r>
      <w:r w:rsidRPr="005A1F62">
        <w:rPr>
          <w:b/>
          <w:bCs/>
          <w:iCs/>
          <w:sz w:val="28"/>
          <w:szCs w:val="28"/>
          <w:lang w:val="en-US"/>
        </w:rPr>
        <w:t>V</w:t>
      </w:r>
      <w:r w:rsidRPr="005A1F62">
        <w:rPr>
          <w:b/>
          <w:bCs/>
          <w:iCs/>
          <w:sz w:val="28"/>
          <w:szCs w:val="28"/>
        </w:rPr>
        <w:t>. ВНЕШНИЕ СТРЕСС-ФАКТОРЫ И ВНЕШНИЕ ФАКТОРЫ ПОДДЕРЖКИ</w:t>
      </w:r>
      <w:bookmarkEnd w:id="238"/>
      <w:bookmarkEnd w:id="239"/>
    </w:p>
    <w:p w14:paraId="54E1CB86" w14:textId="77777777" w:rsidR="00AA41E3" w:rsidRPr="005A1F62" w:rsidRDefault="00AA41E3" w:rsidP="00DC2FED">
      <w:pPr>
        <w:tabs>
          <w:tab w:val="left" w:pos="709"/>
        </w:tabs>
        <w:ind w:firstLine="567"/>
        <w:jc w:val="both"/>
      </w:pPr>
    </w:p>
    <w:p w14:paraId="7549B78E" w14:textId="0EC313E7" w:rsidR="00AA41E3" w:rsidRPr="005A1F62" w:rsidRDefault="00AA41E3" w:rsidP="00DC2FED">
      <w:pPr>
        <w:tabs>
          <w:tab w:val="left" w:pos="709"/>
        </w:tabs>
        <w:ind w:firstLine="567"/>
        <w:jc w:val="both"/>
        <w:rPr>
          <w:b/>
          <w:sz w:val="26"/>
          <w:szCs w:val="26"/>
        </w:rPr>
      </w:pPr>
      <w:r w:rsidRPr="005A1F62">
        <w:rPr>
          <w:b/>
          <w:sz w:val="26"/>
          <w:szCs w:val="26"/>
        </w:rPr>
        <w:t>5.1 Внешние стресс-факторы</w:t>
      </w:r>
    </w:p>
    <w:p w14:paraId="6CDF4AC0" w14:textId="77777777" w:rsidR="00482CEA" w:rsidRPr="005A1F62" w:rsidRDefault="00482CEA" w:rsidP="00DC2FED">
      <w:pPr>
        <w:tabs>
          <w:tab w:val="left" w:pos="709"/>
        </w:tabs>
        <w:ind w:firstLine="567"/>
        <w:jc w:val="both"/>
        <w:rPr>
          <w:b/>
          <w:sz w:val="26"/>
          <w:szCs w:val="26"/>
        </w:rPr>
      </w:pPr>
    </w:p>
    <w:p w14:paraId="2813C7A9" w14:textId="00756CEB" w:rsidR="00AA41E3" w:rsidRPr="005A1F62" w:rsidRDefault="00AA41E3" w:rsidP="00DC2FED">
      <w:pPr>
        <w:tabs>
          <w:tab w:val="left" w:pos="709"/>
        </w:tabs>
        <w:ind w:firstLine="567"/>
        <w:jc w:val="both"/>
      </w:pPr>
      <w:r w:rsidRPr="005A1F62">
        <w:t>В целях учета внешних по отношению к банку характеристик, которые могут крайне деструктивно повлиять на кредитоспособность банка (например, привести к сворачиванию бизнеса, дефолту, санкциям со стороны регулятора)</w:t>
      </w:r>
      <w:r w:rsidR="00376F44" w:rsidRPr="005A1F62">
        <w:t>,</w:t>
      </w:r>
      <w:r w:rsidR="00CC61D5" w:rsidRPr="005A1F62">
        <w:t xml:space="preserve"> предусмотрены внешние стресс-факторы.</w:t>
      </w:r>
    </w:p>
    <w:p w14:paraId="0F3BF804" w14:textId="77777777" w:rsidR="00AA41E3" w:rsidRPr="005A1F62" w:rsidRDefault="00AA41E3" w:rsidP="00DC2FED">
      <w:pPr>
        <w:tabs>
          <w:tab w:val="left" w:pos="709"/>
        </w:tabs>
        <w:ind w:firstLine="567"/>
        <w:jc w:val="both"/>
      </w:pPr>
    </w:p>
    <w:p w14:paraId="0AA665FB" w14:textId="4D438CAE" w:rsidR="00AA41E3" w:rsidRPr="005A1F62" w:rsidRDefault="00AA41E3" w:rsidP="00DC2FED">
      <w:pPr>
        <w:tabs>
          <w:tab w:val="left" w:pos="709"/>
        </w:tabs>
        <w:ind w:firstLine="567"/>
        <w:jc w:val="both"/>
        <w:rPr>
          <w:b/>
        </w:rPr>
      </w:pPr>
      <w:r w:rsidRPr="005A1F62">
        <w:rPr>
          <w:b/>
        </w:rPr>
        <w:t>5.1.1 Внешний стресс-фактор за негативные действия со стороны собственников</w:t>
      </w:r>
    </w:p>
    <w:p w14:paraId="3378BC77" w14:textId="77777777" w:rsidR="00482CEA" w:rsidRPr="005A1F62" w:rsidRDefault="00482CEA" w:rsidP="00DC2FED">
      <w:pPr>
        <w:tabs>
          <w:tab w:val="left" w:pos="709"/>
        </w:tabs>
        <w:ind w:firstLine="567"/>
        <w:jc w:val="both"/>
        <w:rPr>
          <w:b/>
          <w:i/>
        </w:rPr>
      </w:pPr>
    </w:p>
    <w:p w14:paraId="2CA30E53" w14:textId="42F08EC4" w:rsidR="00AA41E3" w:rsidRPr="005A1F62" w:rsidRDefault="00AA41E3" w:rsidP="00B73C6D">
      <w:pPr>
        <w:numPr>
          <w:ilvl w:val="0"/>
          <w:numId w:val="33"/>
        </w:numPr>
        <w:tabs>
          <w:tab w:val="left" w:pos="709"/>
        </w:tabs>
        <w:ind w:left="0" w:firstLine="567"/>
        <w:contextualSpacing/>
        <w:jc w:val="both"/>
      </w:pPr>
      <w:r w:rsidRPr="005A1F62">
        <w:t xml:space="preserve">В случае если </w:t>
      </w:r>
      <w:r w:rsidR="007F7204" w:rsidRPr="005A1F62">
        <w:t>А</w:t>
      </w:r>
      <w:r w:rsidRPr="005A1F62">
        <w:t>гентство оценивает вероятность вывода активов из банка и</w:t>
      </w:r>
      <w:r w:rsidR="00376F44" w:rsidRPr="005A1F62">
        <w:t xml:space="preserve"> (</w:t>
      </w:r>
      <w:r w:rsidRPr="005A1F62">
        <w:t>или</w:t>
      </w:r>
      <w:r w:rsidR="00376F44" w:rsidRPr="005A1F62">
        <w:t>)</w:t>
      </w:r>
      <w:r w:rsidRPr="005A1F62">
        <w:t xml:space="preserve"> ухудшения его финансового состояния / роста регулятивных рисков для банка по причине проблем (финансового либо иного характера) собственников банка и</w:t>
      </w:r>
      <w:r w:rsidR="00376F44" w:rsidRPr="005A1F62">
        <w:t xml:space="preserve"> (</w:t>
      </w:r>
      <w:r w:rsidRPr="005A1F62">
        <w:t>или</w:t>
      </w:r>
      <w:r w:rsidR="00376F44" w:rsidRPr="005A1F62">
        <w:t>)</w:t>
      </w:r>
      <w:r w:rsidRPr="005A1F62">
        <w:t xml:space="preserve"> негативной репутации менеджмента</w:t>
      </w:r>
      <w:r w:rsidR="00376F44" w:rsidRPr="005A1F62">
        <w:t xml:space="preserve"> </w:t>
      </w:r>
      <w:r w:rsidRPr="005A1F62">
        <w:t>/</w:t>
      </w:r>
      <w:r w:rsidR="00376F44" w:rsidRPr="005A1F62">
        <w:t xml:space="preserve"> </w:t>
      </w:r>
      <w:r w:rsidRPr="005A1F62">
        <w:t>собственников банка либо иных аспектов, связанных с бен</w:t>
      </w:r>
      <w:r w:rsidR="00B602D3" w:rsidRPr="005A1F62">
        <w:t>е</w:t>
      </w:r>
      <w:r w:rsidRPr="005A1F62">
        <w:t>фициарами банка</w:t>
      </w:r>
      <w:r w:rsidR="00376F44" w:rsidRPr="005A1F62">
        <w:t xml:space="preserve"> </w:t>
      </w:r>
      <w:r w:rsidRPr="005A1F62">
        <w:t>/</w:t>
      </w:r>
      <w:r w:rsidR="00376F44" w:rsidRPr="005A1F62">
        <w:t xml:space="preserve"> </w:t>
      </w:r>
      <w:r w:rsidRPr="005A1F62">
        <w:t>их бизнесом, как высокую, стресс-фактор оказывает умеренное влияние на оценку кредитоспособности.</w:t>
      </w:r>
    </w:p>
    <w:p w14:paraId="06694C37" w14:textId="5884FFAD" w:rsidR="00AA41E3" w:rsidRPr="005A1F62" w:rsidRDefault="00AA41E3" w:rsidP="00B73C6D">
      <w:pPr>
        <w:numPr>
          <w:ilvl w:val="0"/>
          <w:numId w:val="33"/>
        </w:numPr>
        <w:tabs>
          <w:tab w:val="left" w:pos="709"/>
        </w:tabs>
        <w:ind w:left="0" w:firstLine="567"/>
        <w:contextualSpacing/>
        <w:jc w:val="both"/>
      </w:pPr>
      <w:r w:rsidRPr="005A1F62">
        <w:t xml:space="preserve">В случае если </w:t>
      </w:r>
      <w:r w:rsidR="007F7204" w:rsidRPr="005A1F62">
        <w:t>А</w:t>
      </w:r>
      <w:r w:rsidRPr="005A1F62">
        <w:t>гентство оценивает вероятность вывода активов из банка и</w:t>
      </w:r>
      <w:r w:rsidR="00376F44" w:rsidRPr="005A1F62">
        <w:t xml:space="preserve"> </w:t>
      </w:r>
      <w:r w:rsidR="00F81B6B" w:rsidRPr="005A1F62">
        <w:t>(</w:t>
      </w:r>
      <w:r w:rsidRPr="005A1F62">
        <w:t>или</w:t>
      </w:r>
      <w:r w:rsidR="00F81B6B" w:rsidRPr="005A1F62">
        <w:t>)</w:t>
      </w:r>
      <w:r w:rsidRPr="005A1F62">
        <w:t xml:space="preserve"> ухудшения его финансового состояния / роста регулятивных рисков для банка по причине проблем (финансового либо иного характера) собственников банка и</w:t>
      </w:r>
      <w:r w:rsidR="00376F44" w:rsidRPr="005A1F62">
        <w:t xml:space="preserve"> (</w:t>
      </w:r>
      <w:r w:rsidRPr="005A1F62">
        <w:t>или</w:t>
      </w:r>
      <w:r w:rsidR="00376F44" w:rsidRPr="005A1F62">
        <w:t>)</w:t>
      </w:r>
      <w:r w:rsidRPr="005A1F62">
        <w:t xml:space="preserve"> негативной репутации менеджмента</w:t>
      </w:r>
      <w:r w:rsidR="00376F44" w:rsidRPr="005A1F62">
        <w:t xml:space="preserve"> </w:t>
      </w:r>
      <w:r w:rsidRPr="005A1F62">
        <w:t>/</w:t>
      </w:r>
      <w:r w:rsidR="00376F44" w:rsidRPr="005A1F62">
        <w:t xml:space="preserve"> </w:t>
      </w:r>
      <w:r w:rsidRPr="005A1F62">
        <w:t xml:space="preserve">собственников банка либо иных аспектов, связанных с </w:t>
      </w:r>
      <w:r w:rsidR="00B602D3" w:rsidRPr="005A1F62">
        <w:t>бенефициарами</w:t>
      </w:r>
      <w:r w:rsidRPr="005A1F62">
        <w:t xml:space="preserve"> банка</w:t>
      </w:r>
      <w:r w:rsidR="00376F44" w:rsidRPr="005A1F62">
        <w:t xml:space="preserve"> </w:t>
      </w:r>
      <w:r w:rsidRPr="005A1F62">
        <w:t>/</w:t>
      </w:r>
      <w:r w:rsidR="00376F44" w:rsidRPr="005A1F62">
        <w:t xml:space="preserve"> </w:t>
      </w:r>
      <w:r w:rsidRPr="005A1F62">
        <w:t>их бизнесом, как крайне высокую, стресс-фактор оказывает сильное влияние на оценку кредитоспособности.</w:t>
      </w:r>
    </w:p>
    <w:p w14:paraId="109D8717" w14:textId="77777777" w:rsidR="00AA41E3" w:rsidRPr="005A1F62" w:rsidRDefault="00AA41E3" w:rsidP="00DC2FED">
      <w:pPr>
        <w:tabs>
          <w:tab w:val="left" w:pos="709"/>
        </w:tabs>
        <w:ind w:firstLine="567"/>
        <w:jc w:val="both"/>
      </w:pPr>
    </w:p>
    <w:p w14:paraId="06543E2C" w14:textId="0E328A4B" w:rsidR="00AA41E3" w:rsidRPr="005A1F62" w:rsidRDefault="00482CEA" w:rsidP="00482CEA">
      <w:pPr>
        <w:tabs>
          <w:tab w:val="left" w:pos="709"/>
        </w:tabs>
        <w:ind w:firstLine="567"/>
        <w:jc w:val="both"/>
        <w:rPr>
          <w:b/>
        </w:rPr>
      </w:pPr>
      <w:r w:rsidRPr="005A1F62">
        <w:rPr>
          <w:b/>
        </w:rPr>
        <w:t xml:space="preserve">5.1.2 </w:t>
      </w:r>
      <w:r w:rsidR="00AA41E3" w:rsidRPr="005A1F62">
        <w:rPr>
          <w:b/>
        </w:rPr>
        <w:t>Внешний стресс-фактор рисков регулирования и надзора</w:t>
      </w:r>
    </w:p>
    <w:p w14:paraId="43F02168" w14:textId="77777777" w:rsidR="00482CEA" w:rsidRPr="005A1F62" w:rsidRDefault="00482CEA" w:rsidP="00482CEA">
      <w:pPr>
        <w:tabs>
          <w:tab w:val="left" w:pos="709"/>
        </w:tabs>
        <w:ind w:firstLine="567"/>
        <w:jc w:val="both"/>
        <w:rPr>
          <w:b/>
        </w:rPr>
      </w:pPr>
    </w:p>
    <w:p w14:paraId="533779CE" w14:textId="292BC30F" w:rsidR="004A4D01" w:rsidRPr="005A1F62" w:rsidRDefault="00937972" w:rsidP="00B73C6D">
      <w:pPr>
        <w:numPr>
          <w:ilvl w:val="0"/>
          <w:numId w:val="34"/>
        </w:numPr>
        <w:tabs>
          <w:tab w:val="left" w:pos="709"/>
        </w:tabs>
        <w:ind w:left="0" w:firstLine="567"/>
        <w:contextualSpacing/>
        <w:jc w:val="both"/>
      </w:pPr>
      <w:bookmarkStart w:id="240" w:name="_Hlk508812300"/>
      <w:r w:rsidRPr="005A1F62">
        <w:t xml:space="preserve">В </w:t>
      </w:r>
      <w:r w:rsidR="004A4D01" w:rsidRPr="005A1F62">
        <w:t>случае если адаптация банка к ожидаемым изменениям нормативно-правовой базы, по оценкам Агентства, повлечет существенные дополнительные расходы</w:t>
      </w:r>
      <w:r w:rsidR="00F81B6B" w:rsidRPr="005A1F62">
        <w:t>,</w:t>
      </w:r>
      <w:r w:rsidR="004A4D01" w:rsidRPr="005A1F62">
        <w:t xml:space="preserve"> и (или) при</w:t>
      </w:r>
      <w:r w:rsidR="00B875A9" w:rsidRPr="005A1F62">
        <w:t xml:space="preserve">ведет к ухудшению финансовых показателей </w:t>
      </w:r>
      <w:r w:rsidR="004A4D01" w:rsidRPr="005A1F62">
        <w:t>за счет отражения принятых банком рисков</w:t>
      </w:r>
      <w:r w:rsidR="00F81B6B" w:rsidRPr="005A1F62">
        <w:t>,</w:t>
      </w:r>
      <w:r w:rsidR="004A4D01" w:rsidRPr="005A1F62">
        <w:t xml:space="preserve"> и (или) потребует оптимизации бизнес-модели, выделяется умеренный стресс-фактор.</w:t>
      </w:r>
    </w:p>
    <w:p w14:paraId="5C27E6DD" w14:textId="2E35DF95" w:rsidR="004A4D01" w:rsidRPr="005A1F62" w:rsidRDefault="004A4D01" w:rsidP="00B73C6D">
      <w:pPr>
        <w:numPr>
          <w:ilvl w:val="0"/>
          <w:numId w:val="34"/>
        </w:numPr>
        <w:tabs>
          <w:tab w:val="left" w:pos="709"/>
        </w:tabs>
        <w:ind w:left="0" w:firstLine="567"/>
        <w:contextualSpacing/>
        <w:jc w:val="both"/>
      </w:pPr>
      <w:r w:rsidRPr="005A1F62">
        <w:t xml:space="preserve">В случае если адаптация банка к ожидаемым изменениям нормативно-правовой базы, по оценкам Агентства, приведет к </w:t>
      </w:r>
      <w:r w:rsidR="000B3973" w:rsidRPr="005A1F62">
        <w:t xml:space="preserve">значительному </w:t>
      </w:r>
      <w:r w:rsidR="00B875A9" w:rsidRPr="005A1F62">
        <w:t xml:space="preserve">ухудшению финансовых показателей </w:t>
      </w:r>
      <w:r w:rsidRPr="005A1F62">
        <w:t>за счет отражения принятых банком рисков и (и</w:t>
      </w:r>
      <w:r w:rsidR="00B875A9" w:rsidRPr="005A1F62">
        <w:t xml:space="preserve">ли) потребует изменения </w:t>
      </w:r>
      <w:r w:rsidRPr="005A1F62">
        <w:t>бизне</w:t>
      </w:r>
      <w:r w:rsidR="00B875A9" w:rsidRPr="005A1F62">
        <w:t xml:space="preserve">с-модели, выделяется сильный </w:t>
      </w:r>
      <w:r w:rsidRPr="005A1F62">
        <w:t>стресс-фактор.</w:t>
      </w:r>
    </w:p>
    <w:bookmarkEnd w:id="240"/>
    <w:p w14:paraId="42975BDA" w14:textId="77777777" w:rsidR="00AA41E3" w:rsidRPr="005A1F62" w:rsidRDefault="00AA41E3" w:rsidP="00DC2FED">
      <w:pPr>
        <w:tabs>
          <w:tab w:val="left" w:pos="709"/>
        </w:tabs>
        <w:ind w:firstLine="567"/>
        <w:contextualSpacing/>
        <w:jc w:val="both"/>
      </w:pPr>
    </w:p>
    <w:p w14:paraId="43AB9F46" w14:textId="6E3E7B87" w:rsidR="00AA41E3" w:rsidRPr="005A1F62" w:rsidRDefault="00AA41E3" w:rsidP="00DC2FED">
      <w:pPr>
        <w:tabs>
          <w:tab w:val="left" w:pos="709"/>
        </w:tabs>
        <w:ind w:firstLine="567"/>
        <w:jc w:val="both"/>
        <w:rPr>
          <w:b/>
        </w:rPr>
      </w:pPr>
      <w:r w:rsidRPr="005A1F62">
        <w:rPr>
          <w:b/>
        </w:rPr>
        <w:t>5.1.3 Внешний стресс-фактор за риски санации</w:t>
      </w:r>
    </w:p>
    <w:p w14:paraId="6E15E7B2" w14:textId="77777777" w:rsidR="00482CEA" w:rsidRPr="005A1F62" w:rsidRDefault="00482CEA" w:rsidP="00DC2FED">
      <w:pPr>
        <w:tabs>
          <w:tab w:val="left" w:pos="709"/>
        </w:tabs>
        <w:ind w:firstLine="567"/>
        <w:jc w:val="both"/>
        <w:rPr>
          <w:b/>
        </w:rPr>
      </w:pPr>
    </w:p>
    <w:p w14:paraId="2A0A1B8B" w14:textId="416E1BF3" w:rsidR="00AA41E3" w:rsidRPr="005A1F62" w:rsidRDefault="00AA41E3" w:rsidP="00DC2FED">
      <w:pPr>
        <w:tabs>
          <w:tab w:val="left" w:pos="709"/>
        </w:tabs>
        <w:ind w:firstLine="567"/>
        <w:contextualSpacing/>
        <w:jc w:val="both"/>
      </w:pPr>
      <w:r w:rsidRPr="005A1F62">
        <w:t>Операционные, регулятивные, репутационные и иные риски, связанные с санацией</w:t>
      </w:r>
      <w:r w:rsidR="0022601B" w:rsidRPr="005A1F62">
        <w:t xml:space="preserve"> другого банка, проводимой </w:t>
      </w:r>
      <w:r w:rsidR="00F16C7D" w:rsidRPr="005A1F62">
        <w:t xml:space="preserve">непосредственно самим </w:t>
      </w:r>
      <w:r w:rsidRPr="005A1F62">
        <w:t xml:space="preserve">объектом </w:t>
      </w:r>
      <w:r w:rsidR="00071EE7" w:rsidRPr="005A1F62">
        <w:t>рейтинга</w:t>
      </w:r>
      <w:r w:rsidR="00F16C7D" w:rsidRPr="005A1F62">
        <w:t xml:space="preserve"> либо физическими</w:t>
      </w:r>
      <w:r w:rsidR="002733D6" w:rsidRPr="005A1F62">
        <w:t> </w:t>
      </w:r>
      <w:r w:rsidR="00F16C7D" w:rsidRPr="005A1F62">
        <w:t>/</w:t>
      </w:r>
      <w:r w:rsidR="00F81B6B" w:rsidRPr="005A1F62">
        <w:t xml:space="preserve"> </w:t>
      </w:r>
      <w:r w:rsidR="00F16C7D" w:rsidRPr="005A1F62">
        <w:t xml:space="preserve">юридическими лицами, оказывающими на него существенное </w:t>
      </w:r>
      <w:r w:rsidR="0022601B" w:rsidRPr="005A1F62">
        <w:t>влияние</w:t>
      </w:r>
      <w:r w:rsidR="00376F44" w:rsidRPr="005A1F62">
        <w:t>,</w:t>
      </w:r>
      <w:r w:rsidRPr="005A1F62">
        <w:t xml:space="preserve"> отражаются во внешнем стресс-факторе за риски санации. Операционные риски состоят в отвлечении ресурсов (в первую очередь трудовых) на управление санируемыми банками. Регулятивные риски – в невыполнении плана санации, нецелевом использовании полученных на санацию средств и использовании санируемых банков для передачи проблемных активов со своего баланса и</w:t>
      </w:r>
      <w:r w:rsidR="00376F44" w:rsidRPr="005A1F62">
        <w:t xml:space="preserve"> (</w:t>
      </w:r>
      <w:r w:rsidRPr="005A1F62">
        <w:t>или</w:t>
      </w:r>
      <w:r w:rsidR="00376F44" w:rsidRPr="005A1F62">
        <w:t>)</w:t>
      </w:r>
      <w:r w:rsidRPr="005A1F62">
        <w:t xml:space="preserve"> проведения сомнительных операций в связи с их регулятивной неуязвимостью и, соответственно, последующим регулятивным воздействием на </w:t>
      </w:r>
      <w:proofErr w:type="spellStart"/>
      <w:r w:rsidRPr="005A1F62">
        <w:t>санатора</w:t>
      </w:r>
      <w:proofErr w:type="spellEnd"/>
      <w:r w:rsidRPr="005A1F62">
        <w:t xml:space="preserve">. Репутационные риски вытекают из регулятивных в случае сохранения лицензии, а также могут быть связаны с отложенным проявлением проблем санируемых банков, нарушающих </w:t>
      </w:r>
      <w:r w:rsidRPr="005A1F62">
        <w:lastRenderedPageBreak/>
        <w:t xml:space="preserve">интересы их кредиторов вопреки обещаниям </w:t>
      </w:r>
      <w:proofErr w:type="spellStart"/>
      <w:r w:rsidRPr="005A1F62">
        <w:t>санатора</w:t>
      </w:r>
      <w:proofErr w:type="spellEnd"/>
      <w:r w:rsidRPr="005A1F62">
        <w:t xml:space="preserve">. Основным количественным показателем при оценке данного стресс-фактора является агрегированная достаточность капитала </w:t>
      </w:r>
      <w:proofErr w:type="spellStart"/>
      <w:r w:rsidRPr="005A1F62">
        <w:t>санатора</w:t>
      </w:r>
      <w:proofErr w:type="spellEnd"/>
      <w:r w:rsidRPr="005A1F62">
        <w:t xml:space="preserve"> и санируемых им банков. Влияние стресс-фактора может изменяться непрерывно от нулевого до сильного.</w:t>
      </w:r>
    </w:p>
    <w:p w14:paraId="60CF788A" w14:textId="77777777" w:rsidR="00AA41E3" w:rsidRPr="005A1F62" w:rsidRDefault="00AA41E3" w:rsidP="00DC2FED">
      <w:pPr>
        <w:tabs>
          <w:tab w:val="left" w:pos="709"/>
        </w:tabs>
        <w:ind w:firstLine="567"/>
        <w:contextualSpacing/>
        <w:jc w:val="both"/>
      </w:pPr>
      <w:r w:rsidRPr="005A1F62">
        <w:t>Непрерывная линейная оценка осуществляется на основе бенчмарков</w:t>
      </w:r>
      <w:r w:rsidR="00376F44" w:rsidRPr="005A1F62">
        <w:t>.</w:t>
      </w:r>
    </w:p>
    <w:p w14:paraId="12502632" w14:textId="7DF2AF1C" w:rsidR="00614D27" w:rsidRPr="005A1F62" w:rsidRDefault="00614D27" w:rsidP="00DC2FED">
      <w:pPr>
        <w:tabs>
          <w:tab w:val="left" w:pos="709"/>
        </w:tabs>
        <w:ind w:firstLine="567"/>
        <w:contextualSpacing/>
        <w:jc w:val="both"/>
      </w:pPr>
      <w:r w:rsidRPr="005A1F62">
        <w:t>Если санацию иной компании / банка о</w:t>
      </w:r>
      <w:r w:rsidR="005205B3" w:rsidRPr="005A1F62">
        <w:t>существляет лицо, связанное</w:t>
      </w:r>
      <w:r w:rsidRPr="005A1F62">
        <w:t xml:space="preserve"> с объектом рейтинга, то Агентство </w:t>
      </w:r>
      <w:r w:rsidR="00F81B6B" w:rsidRPr="005A1F62">
        <w:t>оценивает</w:t>
      </w:r>
      <w:r w:rsidRPr="005A1F62">
        <w:t xml:space="preserve"> </w:t>
      </w:r>
      <w:r w:rsidR="00F81B6B" w:rsidRPr="005A1F62">
        <w:t xml:space="preserve">влияние </w:t>
      </w:r>
      <w:r w:rsidR="009103BD" w:rsidRPr="005A1F62">
        <w:t xml:space="preserve">связанных с этим рисков </w:t>
      </w:r>
      <w:r w:rsidRPr="005A1F62">
        <w:t>на объект рейтинга. Если данные риски являются существенными для объекта рейтинга, по мнению Агентства, то производится оценка в соответствии с критериями стресс-фактора за риски санации.</w:t>
      </w:r>
    </w:p>
    <w:p w14:paraId="0E6AED48" w14:textId="76D54E4E" w:rsidR="00571707" w:rsidRPr="005A1F62" w:rsidRDefault="00571707" w:rsidP="00DC2FED">
      <w:pPr>
        <w:tabs>
          <w:tab w:val="left" w:pos="709"/>
        </w:tabs>
        <w:ind w:firstLine="567"/>
        <w:contextualSpacing/>
        <w:jc w:val="both"/>
      </w:pPr>
      <w:r w:rsidRPr="005A1F62">
        <w:t xml:space="preserve">Стресс-фактор за риски санации выделяется, если рассчитанная Агентством агрегированная достаточность капитала (аналог норматива Н1.0) </w:t>
      </w:r>
      <w:proofErr w:type="spellStart"/>
      <w:r w:rsidRPr="005A1F62">
        <w:t>санатора</w:t>
      </w:r>
      <w:proofErr w:type="spellEnd"/>
      <w:r w:rsidRPr="005A1F62">
        <w:t xml:space="preserve"> и санируемых им банков ниже 4% на дату оценки. Влияние стресс-</w:t>
      </w:r>
      <w:r w:rsidR="00F81B6B" w:rsidRPr="005A1F62">
        <w:t xml:space="preserve">фактора </w:t>
      </w:r>
      <w:r w:rsidRPr="005A1F62">
        <w:t>за риски санации может колебаться в диапазоне от 0 до 20 баллов (т</w:t>
      </w:r>
      <w:r w:rsidR="00F81B6B" w:rsidRPr="005A1F62">
        <w:t>о есть</w:t>
      </w:r>
      <w:r w:rsidRPr="005A1F62">
        <w:t xml:space="preserve"> вплоть до сильного влияния на рейтинговое число) и определяется как непре</w:t>
      </w:r>
      <w:r w:rsidR="00246880" w:rsidRPr="005A1F62">
        <w:t>рывная линейная оценка агрегиров</w:t>
      </w:r>
      <w:r w:rsidRPr="005A1F62">
        <w:t>анной достаточности капитала в соответствии со следующими бенчмарками</w:t>
      </w:r>
      <w:r w:rsidR="00F81B6B" w:rsidRPr="005A1F62">
        <w:t>.</w:t>
      </w:r>
    </w:p>
    <w:p w14:paraId="27D5FA66" w14:textId="77777777" w:rsidR="00376F44" w:rsidRPr="005A1F62" w:rsidRDefault="00376F44" w:rsidP="00DC2FED">
      <w:pPr>
        <w:tabs>
          <w:tab w:val="left" w:pos="709"/>
        </w:tabs>
        <w:ind w:firstLine="567"/>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486"/>
        <w:gridCol w:w="1484"/>
      </w:tblGrid>
      <w:tr w:rsidR="00AA41E3" w:rsidRPr="005A1F62" w14:paraId="166A1BC3" w14:textId="77777777" w:rsidTr="00482CEA">
        <w:trPr>
          <w:trHeight w:val="20"/>
        </w:trPr>
        <w:tc>
          <w:tcPr>
            <w:tcW w:w="3411" w:type="pct"/>
            <w:shd w:val="clear" w:color="auto" w:fill="auto"/>
            <w:vAlign w:val="center"/>
          </w:tcPr>
          <w:p w14:paraId="56F3D14D" w14:textId="77777777" w:rsidR="00AA41E3" w:rsidRPr="005A1F62" w:rsidRDefault="00AA41E3" w:rsidP="00482CEA">
            <w:pPr>
              <w:tabs>
                <w:tab w:val="left" w:pos="709"/>
              </w:tabs>
              <w:contextualSpacing/>
              <w:rPr>
                <w:b/>
              </w:rPr>
            </w:pPr>
            <w:r w:rsidRPr="005A1F62">
              <w:rPr>
                <w:b/>
              </w:rPr>
              <w:t>Влияние внешнего стресс-фактора за риски санации</w:t>
            </w:r>
          </w:p>
        </w:tc>
        <w:tc>
          <w:tcPr>
            <w:tcW w:w="795" w:type="pct"/>
            <w:shd w:val="clear" w:color="auto" w:fill="auto"/>
            <w:vAlign w:val="center"/>
          </w:tcPr>
          <w:p w14:paraId="62B1644B" w14:textId="77777777" w:rsidR="00AA41E3" w:rsidRPr="005A1F62" w:rsidRDefault="00AA41E3" w:rsidP="00DC2FED">
            <w:pPr>
              <w:tabs>
                <w:tab w:val="left" w:pos="709"/>
              </w:tabs>
              <w:contextualSpacing/>
              <w:jc w:val="center"/>
              <w:rPr>
                <w:b/>
              </w:rPr>
            </w:pPr>
            <w:r w:rsidRPr="005A1F62">
              <w:rPr>
                <w:b/>
              </w:rPr>
              <w:t xml:space="preserve">Сильное </w:t>
            </w:r>
          </w:p>
        </w:tc>
        <w:tc>
          <w:tcPr>
            <w:tcW w:w="795" w:type="pct"/>
            <w:shd w:val="clear" w:color="auto" w:fill="auto"/>
            <w:vAlign w:val="center"/>
          </w:tcPr>
          <w:p w14:paraId="4A616B9C" w14:textId="77777777" w:rsidR="00AA41E3" w:rsidRPr="005A1F62" w:rsidRDefault="00AA41E3" w:rsidP="00DC2FED">
            <w:pPr>
              <w:tabs>
                <w:tab w:val="left" w:pos="709"/>
              </w:tabs>
              <w:contextualSpacing/>
              <w:jc w:val="center"/>
              <w:rPr>
                <w:b/>
              </w:rPr>
            </w:pPr>
            <w:r w:rsidRPr="005A1F62">
              <w:rPr>
                <w:b/>
              </w:rPr>
              <w:t xml:space="preserve">Нулевое </w:t>
            </w:r>
          </w:p>
        </w:tc>
      </w:tr>
      <w:tr w:rsidR="00AA41E3" w:rsidRPr="005A1F62" w14:paraId="1DF2F497" w14:textId="77777777" w:rsidTr="00482CEA">
        <w:trPr>
          <w:trHeight w:val="20"/>
        </w:trPr>
        <w:tc>
          <w:tcPr>
            <w:tcW w:w="3411" w:type="pct"/>
            <w:shd w:val="clear" w:color="auto" w:fill="auto"/>
            <w:vAlign w:val="center"/>
          </w:tcPr>
          <w:p w14:paraId="7FB7C461" w14:textId="77777777" w:rsidR="00AA41E3" w:rsidRPr="005A1F62" w:rsidRDefault="00AA41E3" w:rsidP="00482CEA">
            <w:pPr>
              <w:tabs>
                <w:tab w:val="left" w:pos="709"/>
              </w:tabs>
              <w:contextualSpacing/>
            </w:pPr>
            <w:r w:rsidRPr="005A1F62">
              <w:t>Агрегированная достаточность капитала оцениваемого банка и санируемых им банков</w:t>
            </w:r>
          </w:p>
        </w:tc>
        <w:tc>
          <w:tcPr>
            <w:tcW w:w="795" w:type="pct"/>
            <w:shd w:val="clear" w:color="auto" w:fill="auto"/>
            <w:vAlign w:val="center"/>
          </w:tcPr>
          <w:p w14:paraId="47F5B473" w14:textId="60DE82F1" w:rsidR="00AA41E3" w:rsidRPr="005A1F62" w:rsidRDefault="00571707" w:rsidP="00DC2FED">
            <w:pPr>
              <w:tabs>
                <w:tab w:val="left" w:pos="709"/>
              </w:tabs>
              <w:contextualSpacing/>
              <w:jc w:val="center"/>
            </w:pPr>
            <w:r w:rsidRPr="005A1F62">
              <w:t>-4%</w:t>
            </w:r>
          </w:p>
        </w:tc>
        <w:tc>
          <w:tcPr>
            <w:tcW w:w="795" w:type="pct"/>
            <w:shd w:val="clear" w:color="auto" w:fill="auto"/>
            <w:vAlign w:val="center"/>
          </w:tcPr>
          <w:p w14:paraId="38187951" w14:textId="30AA53E9" w:rsidR="00AA41E3" w:rsidRPr="005A1F62" w:rsidRDefault="00571707" w:rsidP="00DC2FED">
            <w:pPr>
              <w:tabs>
                <w:tab w:val="left" w:pos="709"/>
              </w:tabs>
              <w:contextualSpacing/>
              <w:jc w:val="center"/>
            </w:pPr>
            <w:r w:rsidRPr="005A1F62">
              <w:t>4%</w:t>
            </w:r>
          </w:p>
        </w:tc>
      </w:tr>
    </w:tbl>
    <w:p w14:paraId="0C9E085F" w14:textId="77777777" w:rsidR="00AA41E3" w:rsidRPr="005A1F62" w:rsidRDefault="00AA41E3" w:rsidP="00DC2FED">
      <w:pPr>
        <w:tabs>
          <w:tab w:val="left" w:pos="709"/>
        </w:tabs>
        <w:jc w:val="both"/>
        <w:rPr>
          <w:b/>
          <w:i/>
        </w:rPr>
      </w:pPr>
    </w:p>
    <w:p w14:paraId="25B3CAE0" w14:textId="4B452251" w:rsidR="00AA41E3" w:rsidRPr="005A1F62" w:rsidRDefault="00AA41E3" w:rsidP="00DC2FED">
      <w:pPr>
        <w:tabs>
          <w:tab w:val="left" w:pos="709"/>
        </w:tabs>
        <w:ind w:firstLine="567"/>
        <w:jc w:val="both"/>
        <w:rPr>
          <w:b/>
        </w:rPr>
      </w:pPr>
      <w:r w:rsidRPr="005A1F62">
        <w:rPr>
          <w:b/>
        </w:rPr>
        <w:t>5.1.4 Внешний иной стресс-фактор</w:t>
      </w:r>
    </w:p>
    <w:p w14:paraId="36425DB6" w14:textId="77777777" w:rsidR="00482CEA" w:rsidRPr="005A1F62" w:rsidRDefault="00482CEA" w:rsidP="00DC2FED">
      <w:pPr>
        <w:tabs>
          <w:tab w:val="left" w:pos="709"/>
        </w:tabs>
        <w:ind w:firstLine="567"/>
        <w:jc w:val="both"/>
        <w:rPr>
          <w:b/>
        </w:rPr>
      </w:pPr>
    </w:p>
    <w:p w14:paraId="7D7ACD36" w14:textId="304042F0" w:rsidR="00AA41E3" w:rsidRPr="005A1F62" w:rsidRDefault="00AA41E3" w:rsidP="00DC2FED">
      <w:pPr>
        <w:tabs>
          <w:tab w:val="left" w:pos="709"/>
        </w:tabs>
        <w:ind w:firstLine="567"/>
        <w:jc w:val="both"/>
        <w:rPr>
          <w:rFonts w:eastAsia="Arial Unicode MS"/>
          <w:b/>
          <w:sz w:val="28"/>
          <w:szCs w:val="28"/>
        </w:rPr>
      </w:pPr>
      <w:r w:rsidRPr="005A1F62">
        <w:t>Внешние риски, которые не были учтены в рейтинговой модели в связи с особенностями объекта рейтинга либо кратковременны</w:t>
      </w:r>
      <w:r w:rsidR="00376F44" w:rsidRPr="005A1F62">
        <w:t>ми</w:t>
      </w:r>
      <w:r w:rsidRPr="005A1F62">
        <w:t xml:space="preserve"> факторами, отражаются во внешнем ином стресс-факторе. Под кратковременными факторами понимается увеличение рейтингового числа, которое, по мнению членов рейтингового комитета, носит временный характер</w:t>
      </w:r>
      <w:r w:rsidR="00376F44" w:rsidRPr="005A1F62">
        <w:t>,</w:t>
      </w:r>
      <w:r w:rsidRPr="005A1F62">
        <w:t xml:space="preserve"> и в ближайш</w:t>
      </w:r>
      <w:r w:rsidR="0014658E" w:rsidRPr="005A1F62">
        <w:t>ее полугодие</w:t>
      </w:r>
      <w:r w:rsidRPr="005A1F62">
        <w:t xml:space="preserve"> рейтинговое число существенно сократится. Таким образом, под кратковременным фактором понимается фактор, действие которого с высокой вероятностью прекратится в течение </w:t>
      </w:r>
      <w:r w:rsidR="0014658E" w:rsidRPr="005A1F62">
        <w:t xml:space="preserve">шести </w:t>
      </w:r>
      <w:r w:rsidRPr="005A1F62">
        <w:t>месяцев</w:t>
      </w:r>
      <w:r w:rsidR="00292D61" w:rsidRPr="005A1F62">
        <w:t xml:space="preserve"> на фоне ожидания </w:t>
      </w:r>
      <w:r w:rsidR="007F7204" w:rsidRPr="005A1F62">
        <w:t>А</w:t>
      </w:r>
      <w:r w:rsidR="00292D61" w:rsidRPr="005A1F62">
        <w:t>гентством негативных изменений в деятельности объекта рейтинга, связанных с внешними обстоятельствами (наприм</w:t>
      </w:r>
      <w:r w:rsidR="00CB3C65" w:rsidRPr="005A1F62">
        <w:t xml:space="preserve">ер, изменение законодательства, ограничивающее отдельные </w:t>
      </w:r>
      <w:r w:rsidR="00583AA0" w:rsidRPr="005A1F62">
        <w:t>значимые для банка</w:t>
      </w:r>
      <w:r w:rsidR="00583AA0" w:rsidRPr="005A1F62" w:rsidDel="00583AA0">
        <w:t xml:space="preserve"> </w:t>
      </w:r>
      <w:r w:rsidR="00CB3C65" w:rsidRPr="005A1F62">
        <w:t>операции</w:t>
      </w:r>
      <w:r w:rsidR="005115F3" w:rsidRPr="005A1F62">
        <w:t>,</w:t>
      </w:r>
      <w:r w:rsidR="00CB3C65" w:rsidRPr="005A1F62">
        <w:t xml:space="preserve"> и т.</w:t>
      </w:r>
      <w:r w:rsidR="005115F3" w:rsidRPr="005A1F62">
        <w:t xml:space="preserve"> </w:t>
      </w:r>
      <w:r w:rsidR="00CB3C65" w:rsidRPr="005A1F62">
        <w:t>д</w:t>
      </w:r>
      <w:r w:rsidR="005E7134" w:rsidRPr="005A1F62">
        <w:t>.</w:t>
      </w:r>
      <w:r w:rsidR="00292D61" w:rsidRPr="005A1F62">
        <w:t>)</w:t>
      </w:r>
      <w:r w:rsidRPr="005A1F62">
        <w:t>. Влияние внешнего иного стресс-фактора может быть умеренным</w:t>
      </w:r>
      <w:r w:rsidR="00CD78CF" w:rsidRPr="005A1F62">
        <w:t xml:space="preserve"> </w:t>
      </w:r>
      <w:r w:rsidRPr="005A1F62">
        <w:t>или сильным.</w:t>
      </w:r>
    </w:p>
    <w:p w14:paraId="6B1F88A6" w14:textId="77777777" w:rsidR="00AA41E3" w:rsidRPr="005A1F62" w:rsidRDefault="00AA41E3" w:rsidP="00DC2FED">
      <w:pPr>
        <w:tabs>
          <w:tab w:val="left" w:pos="709"/>
        </w:tabs>
        <w:ind w:firstLine="567"/>
        <w:jc w:val="both"/>
        <w:rPr>
          <w:b/>
          <w:i/>
        </w:rPr>
      </w:pPr>
    </w:p>
    <w:p w14:paraId="33CA4835" w14:textId="2B11D241" w:rsidR="00AA41E3" w:rsidRPr="005A1F62" w:rsidRDefault="00AA41E3" w:rsidP="00DC2FED">
      <w:pPr>
        <w:tabs>
          <w:tab w:val="left" w:pos="709"/>
        </w:tabs>
        <w:ind w:firstLine="567"/>
        <w:jc w:val="both"/>
        <w:rPr>
          <w:b/>
          <w:sz w:val="26"/>
          <w:szCs w:val="26"/>
        </w:rPr>
      </w:pPr>
      <w:r w:rsidRPr="005A1F62">
        <w:rPr>
          <w:b/>
          <w:sz w:val="26"/>
          <w:szCs w:val="26"/>
        </w:rPr>
        <w:t>5.2 Внешние факторы поддержки</w:t>
      </w:r>
    </w:p>
    <w:p w14:paraId="65BBD7DC" w14:textId="77777777" w:rsidR="00482CEA" w:rsidRPr="005A1F62" w:rsidRDefault="00482CEA" w:rsidP="00DC2FED">
      <w:pPr>
        <w:tabs>
          <w:tab w:val="left" w:pos="709"/>
        </w:tabs>
        <w:ind w:firstLine="567"/>
        <w:jc w:val="both"/>
        <w:rPr>
          <w:b/>
        </w:rPr>
      </w:pPr>
    </w:p>
    <w:p w14:paraId="7240F57D" w14:textId="77777777" w:rsidR="00AA41E3" w:rsidRPr="005A1F62" w:rsidRDefault="00AA41E3" w:rsidP="00DC2FED">
      <w:pPr>
        <w:tabs>
          <w:tab w:val="left" w:pos="709"/>
        </w:tabs>
        <w:ind w:firstLine="567"/>
        <w:jc w:val="both"/>
      </w:pPr>
      <w:r w:rsidRPr="005A1F62">
        <w:t>В целях учета внешних по отношению к банку характеристик, которые могут позитивно повлиять на кредитоспособность банка</w:t>
      </w:r>
      <w:r w:rsidR="005115F3" w:rsidRPr="005A1F62">
        <w:t>,</w:t>
      </w:r>
      <w:r w:rsidRPr="005A1F62">
        <w:t xml:space="preserve"> предусмотрены следующие внешние факторы поддержки:</w:t>
      </w:r>
    </w:p>
    <w:p w14:paraId="4116AD41" w14:textId="77777777" w:rsidR="00AA41E3" w:rsidRPr="005A1F62" w:rsidRDefault="005115F3" w:rsidP="00B73C6D">
      <w:pPr>
        <w:numPr>
          <w:ilvl w:val="0"/>
          <w:numId w:val="35"/>
        </w:numPr>
        <w:tabs>
          <w:tab w:val="left" w:pos="709"/>
        </w:tabs>
        <w:ind w:left="0" w:firstLine="567"/>
        <w:contextualSpacing/>
        <w:jc w:val="both"/>
      </w:pPr>
      <w:r w:rsidRPr="005A1F62">
        <w:t xml:space="preserve">поддержка </w:t>
      </w:r>
      <w:r w:rsidR="00AA41E3" w:rsidRPr="005A1F62">
        <w:t>со стороны собственников;</w:t>
      </w:r>
    </w:p>
    <w:p w14:paraId="1E015F5F" w14:textId="77777777" w:rsidR="00AA41E3" w:rsidRPr="005A1F62" w:rsidRDefault="005115F3" w:rsidP="00B73C6D">
      <w:pPr>
        <w:numPr>
          <w:ilvl w:val="0"/>
          <w:numId w:val="35"/>
        </w:numPr>
        <w:tabs>
          <w:tab w:val="left" w:pos="709"/>
        </w:tabs>
        <w:ind w:left="0" w:firstLine="567"/>
        <w:contextualSpacing/>
        <w:jc w:val="both"/>
      </w:pPr>
      <w:r w:rsidRPr="005A1F62">
        <w:t xml:space="preserve">поддержка </w:t>
      </w:r>
      <w:r w:rsidR="00AA41E3" w:rsidRPr="005A1F62">
        <w:t>со стороны органов власти;</w:t>
      </w:r>
    </w:p>
    <w:p w14:paraId="35B4814D" w14:textId="77777777" w:rsidR="00AA41E3" w:rsidRPr="005A1F62" w:rsidRDefault="005115F3" w:rsidP="00B73C6D">
      <w:pPr>
        <w:numPr>
          <w:ilvl w:val="0"/>
          <w:numId w:val="35"/>
        </w:numPr>
        <w:tabs>
          <w:tab w:val="left" w:pos="709"/>
        </w:tabs>
        <w:ind w:left="0" w:firstLine="567"/>
        <w:contextualSpacing/>
        <w:jc w:val="both"/>
      </w:pPr>
      <w:r w:rsidRPr="005A1F62">
        <w:t xml:space="preserve">иной </w:t>
      </w:r>
      <w:r w:rsidR="00AA41E3" w:rsidRPr="005A1F62">
        <w:t>фактор поддержки.</w:t>
      </w:r>
    </w:p>
    <w:p w14:paraId="3BB39FA3" w14:textId="77777777" w:rsidR="00AA41E3" w:rsidRPr="005A1F62" w:rsidRDefault="00AA41E3" w:rsidP="00DC2FED">
      <w:pPr>
        <w:tabs>
          <w:tab w:val="left" w:pos="709"/>
        </w:tabs>
        <w:ind w:firstLine="567"/>
        <w:jc w:val="both"/>
        <w:rPr>
          <w:b/>
          <w:i/>
        </w:rPr>
      </w:pPr>
    </w:p>
    <w:p w14:paraId="74FFF944" w14:textId="7255015D" w:rsidR="00AA41E3" w:rsidRPr="005A1F62" w:rsidRDefault="00AA41E3" w:rsidP="00DC2FED">
      <w:pPr>
        <w:tabs>
          <w:tab w:val="left" w:pos="709"/>
        </w:tabs>
        <w:ind w:firstLine="567"/>
        <w:jc w:val="both"/>
        <w:rPr>
          <w:b/>
        </w:rPr>
      </w:pPr>
      <w:r w:rsidRPr="005A1F62">
        <w:rPr>
          <w:b/>
        </w:rPr>
        <w:t>5.2.1 Внешний фактор поддержки со стороны собственников</w:t>
      </w:r>
    </w:p>
    <w:p w14:paraId="422242F3" w14:textId="77777777" w:rsidR="00482CEA" w:rsidRPr="005A1F62" w:rsidRDefault="00482CEA" w:rsidP="00DC2FED">
      <w:pPr>
        <w:tabs>
          <w:tab w:val="left" w:pos="709"/>
        </w:tabs>
        <w:ind w:firstLine="567"/>
        <w:jc w:val="both"/>
        <w:rPr>
          <w:b/>
          <w:i/>
        </w:rPr>
      </w:pPr>
    </w:p>
    <w:p w14:paraId="031E2083" w14:textId="77777777" w:rsidR="00286473" w:rsidRPr="005A1F62" w:rsidRDefault="00286473" w:rsidP="00DC2FED">
      <w:pPr>
        <w:ind w:firstLine="567"/>
        <w:jc w:val="both"/>
        <w:rPr>
          <w:bCs/>
        </w:rPr>
      </w:pPr>
      <w:r w:rsidRPr="005A1F62">
        <w:rPr>
          <w:bCs/>
        </w:rPr>
        <w:t>Для оценки вероятности поддержки банка со стороны собственников предусмотрено выделение внешнего фактора поддержки. Влияние фактора под</w:t>
      </w:r>
      <w:r w:rsidR="003C61A7" w:rsidRPr="005A1F62">
        <w:rPr>
          <w:bCs/>
        </w:rPr>
        <w:t xml:space="preserve">держки может быть умеренным и </w:t>
      </w:r>
      <w:r w:rsidRPr="005A1F62">
        <w:rPr>
          <w:bCs/>
        </w:rPr>
        <w:t>сильным.</w:t>
      </w:r>
    </w:p>
    <w:p w14:paraId="51F88741" w14:textId="77777777" w:rsidR="00286473" w:rsidRPr="005A1F62" w:rsidRDefault="00286473" w:rsidP="00DC2FED">
      <w:pPr>
        <w:ind w:firstLine="567"/>
        <w:jc w:val="both"/>
        <w:rPr>
          <w:bCs/>
        </w:rPr>
      </w:pPr>
      <w:r w:rsidRPr="005A1F62">
        <w:rPr>
          <w:bCs/>
        </w:rPr>
        <w:t>При выделении фактора поддержки со стороны собственников учитываются следующие параметры:</w:t>
      </w:r>
    </w:p>
    <w:p w14:paraId="4669B855" w14:textId="77777777" w:rsidR="00286473" w:rsidRPr="005A1F62" w:rsidRDefault="00286473" w:rsidP="00B73C6D">
      <w:pPr>
        <w:numPr>
          <w:ilvl w:val="0"/>
          <w:numId w:val="37"/>
        </w:numPr>
        <w:ind w:left="567" w:firstLine="0"/>
        <w:contextualSpacing/>
        <w:jc w:val="both"/>
      </w:pPr>
      <w:r w:rsidRPr="005A1F62">
        <w:lastRenderedPageBreak/>
        <w:t>Условный рейтинговый класс связанной с объектом рейтинга структуры, которая может оказать поддержку. Фактор поддержки может выделяться, только если условный рейтинговый класс такой структуры выше рейтинга самостоятельной кредитоспособности объекта рейтинга. Для собственников – физических лиц во внимание принимаются документально подтвержденные активы вне банка и их ликвидность.</w:t>
      </w:r>
    </w:p>
    <w:p w14:paraId="60D1680C" w14:textId="77777777" w:rsidR="00286473" w:rsidRPr="005A1F62" w:rsidRDefault="00286473" w:rsidP="00B73C6D">
      <w:pPr>
        <w:numPr>
          <w:ilvl w:val="0"/>
          <w:numId w:val="37"/>
        </w:numPr>
        <w:ind w:left="567" w:firstLine="0"/>
        <w:contextualSpacing/>
        <w:jc w:val="both"/>
      </w:pPr>
      <w:r w:rsidRPr="005A1F62">
        <w:t>Значимость банка как актива для поддерживающей структуры / физического лица. Для оценки такой значимости кредитное рейтинговое агентство учитывает долю поддерживающей структуры / физического лица в капитале объекта рейтинга, предоставление писем о готовности оказать финансовую поддержку, наличие поручительств по обязательствам объекта рейтинга, взаимозависимость бизнесов и иные факторы.</w:t>
      </w:r>
    </w:p>
    <w:p w14:paraId="5C918606" w14:textId="77777777" w:rsidR="00286473" w:rsidRPr="005A1F62" w:rsidRDefault="00286473" w:rsidP="00B73C6D">
      <w:pPr>
        <w:numPr>
          <w:ilvl w:val="0"/>
          <w:numId w:val="37"/>
        </w:numPr>
        <w:ind w:left="567" w:firstLine="0"/>
        <w:contextualSpacing/>
        <w:jc w:val="both"/>
      </w:pPr>
      <w:r w:rsidRPr="005A1F62">
        <w:t>Потенциальная потребность банка в финансовой помощи и наличие необходимых для этого ресурсов у поддерживающей структуры / физического лица. Кредитное рейтинговое агентство выделяет две ситуации:</w:t>
      </w:r>
    </w:p>
    <w:p w14:paraId="55CF8313" w14:textId="77777777" w:rsidR="00286473" w:rsidRPr="005A1F62" w:rsidRDefault="00286473" w:rsidP="00B73C6D">
      <w:pPr>
        <w:numPr>
          <w:ilvl w:val="0"/>
          <w:numId w:val="45"/>
        </w:numPr>
        <w:ind w:left="1276" w:hanging="283"/>
        <w:jc w:val="both"/>
      </w:pPr>
      <w:r w:rsidRPr="005A1F62">
        <w:t>в данный момент банк нуждается в финансовой помощи. В этом случае необходимым условием выделения фактора поддержки является наличие у поддерживающей структуры / физического лица достаточного объема ликвидных активов, которые могут быть своевременно переданы на баланс объекта рейтинга для покрытия текущей потребности, а также способность и готовность поддерживающей структуры / физического лица в дальнейшем оказывать такую поддержку;</w:t>
      </w:r>
    </w:p>
    <w:p w14:paraId="14E44327" w14:textId="1ECCE5DD" w:rsidR="00286473" w:rsidRPr="005A1F62" w:rsidRDefault="00286473" w:rsidP="00B73C6D">
      <w:pPr>
        <w:numPr>
          <w:ilvl w:val="0"/>
          <w:numId w:val="45"/>
        </w:numPr>
        <w:ind w:left="1276" w:hanging="283"/>
        <w:jc w:val="both"/>
      </w:pPr>
      <w:r w:rsidRPr="005A1F62">
        <w:t xml:space="preserve">в настоящее время банк не нуждается в финансовой помощи; Агентство оценивает вероятность ее оказания в будущем в случае реализации негативного сценария. В этом случае во внимание </w:t>
      </w:r>
      <w:r w:rsidR="00E734AF" w:rsidRPr="005A1F62">
        <w:t xml:space="preserve">принимаются </w:t>
      </w:r>
      <w:r w:rsidRPr="005A1F62">
        <w:t>как текущее наличие у поддерживающей структуры / физического лица соответствующих активов, так и способность их генерировать.</w:t>
      </w:r>
    </w:p>
    <w:p w14:paraId="1A1152AE" w14:textId="172E297E" w:rsidR="00286473" w:rsidRPr="005A1F62" w:rsidRDefault="00286473" w:rsidP="00DC2FED">
      <w:pPr>
        <w:ind w:firstLine="567"/>
        <w:jc w:val="both"/>
      </w:pPr>
      <w:r w:rsidRPr="005A1F62">
        <w:t>Сильный фактор поддержки может выделяться при очень высокой значимости объекта рейтинга для поддерживающей структуры и нали</w:t>
      </w:r>
      <w:r w:rsidR="00D55A21" w:rsidRPr="005A1F62">
        <w:t>чии у нее кредитного рейтинга не ниже уровня</w:t>
      </w:r>
      <w:r w:rsidRPr="005A1F62">
        <w:t xml:space="preserve"> ru</w:t>
      </w:r>
      <w:r w:rsidR="00224186" w:rsidRPr="005A1F62">
        <w:rPr>
          <w:lang w:val="en-US"/>
        </w:rPr>
        <w:t>BBB</w:t>
      </w:r>
      <w:r w:rsidR="00224186" w:rsidRPr="005A1F62">
        <w:t>+</w:t>
      </w:r>
      <w:r w:rsidRPr="005A1F62">
        <w:t xml:space="preserve"> в соответствии со шкалой «Эксперт</w:t>
      </w:r>
      <w:r w:rsidR="00E734AF" w:rsidRPr="005A1F62">
        <w:t>а</w:t>
      </w:r>
      <w:r w:rsidRPr="005A1F62">
        <w:t xml:space="preserve"> РА» или аналогичного уровня </w:t>
      </w:r>
      <w:r w:rsidR="00605CE2" w:rsidRPr="005A1F62">
        <w:t xml:space="preserve">кредитного рейтинга </w:t>
      </w:r>
      <w:r w:rsidRPr="005A1F62">
        <w:t>от других кредитных рейтинговых агентств.</w:t>
      </w:r>
    </w:p>
    <w:p w14:paraId="27D5EC58" w14:textId="25E63E11" w:rsidR="00145687" w:rsidRPr="005A1F62" w:rsidRDefault="00145687" w:rsidP="00DC2FED">
      <w:pPr>
        <w:ind w:firstLine="567"/>
        <w:jc w:val="both"/>
      </w:pPr>
      <w:r w:rsidRPr="005A1F62">
        <w:t>При выставлении фактора поддержки за собственника необходимо учитывать, что рейтинг кредитоспособности банка не может быть выше кредитного рейтинга / условного рейтингового класса поддерживающей структуры.</w:t>
      </w:r>
    </w:p>
    <w:p w14:paraId="0CE7D10B" w14:textId="2F5D52D5" w:rsidR="0025751D" w:rsidRPr="005A1F62" w:rsidRDefault="0025751D" w:rsidP="00DC2FED">
      <w:pPr>
        <w:ind w:firstLine="567"/>
        <w:jc w:val="both"/>
      </w:pPr>
      <w:r w:rsidRPr="005A1F62">
        <w:t xml:space="preserve">Фактор поддержки со стороны собственников не выделяется </w:t>
      </w:r>
      <w:r w:rsidR="0015149F" w:rsidRPr="005A1F62">
        <w:t xml:space="preserve">в случае санации банка с участием Банка России или федеральных органов власти, соответствующая поддержка </w:t>
      </w:r>
      <w:r w:rsidR="0056389D" w:rsidRPr="005A1F62">
        <w:t xml:space="preserve">может </w:t>
      </w:r>
      <w:r w:rsidR="0015149F" w:rsidRPr="005A1F62">
        <w:t>учитыва</w:t>
      </w:r>
      <w:r w:rsidR="0056389D" w:rsidRPr="005A1F62">
        <w:t xml:space="preserve">ться </w:t>
      </w:r>
      <w:r w:rsidR="0015149F" w:rsidRPr="005A1F62">
        <w:t>в факторе поддержки со стороны органов власти.</w:t>
      </w:r>
    </w:p>
    <w:p w14:paraId="0BBBB3BA" w14:textId="77777777" w:rsidR="00134752" w:rsidRPr="005A1F62" w:rsidRDefault="00134752" w:rsidP="00DC2FED">
      <w:pPr>
        <w:ind w:firstLine="360"/>
        <w:jc w:val="both"/>
      </w:pPr>
    </w:p>
    <w:p w14:paraId="54D8C223" w14:textId="376F28FD" w:rsidR="00AA41E3" w:rsidRPr="005A1F62" w:rsidRDefault="00AA41E3" w:rsidP="00DC2FED">
      <w:pPr>
        <w:tabs>
          <w:tab w:val="left" w:pos="709"/>
        </w:tabs>
        <w:ind w:firstLine="567"/>
        <w:jc w:val="both"/>
        <w:rPr>
          <w:b/>
        </w:rPr>
      </w:pPr>
      <w:r w:rsidRPr="005A1F62">
        <w:rPr>
          <w:b/>
        </w:rPr>
        <w:t>5.2.2 Внешний фактор поддержки со стороны органов власти</w:t>
      </w:r>
    </w:p>
    <w:p w14:paraId="3E843B0A" w14:textId="77777777" w:rsidR="00482CEA" w:rsidRPr="005A1F62" w:rsidRDefault="00482CEA" w:rsidP="00DC2FED">
      <w:pPr>
        <w:tabs>
          <w:tab w:val="left" w:pos="709"/>
        </w:tabs>
        <w:ind w:firstLine="567"/>
        <w:jc w:val="both"/>
        <w:rPr>
          <w:b/>
          <w:i/>
        </w:rPr>
      </w:pPr>
    </w:p>
    <w:p w14:paraId="1A9C8E36" w14:textId="4310E84F" w:rsidR="00AA41E3" w:rsidRPr="005A1F62" w:rsidRDefault="00AA41E3" w:rsidP="00DC2FED">
      <w:pPr>
        <w:tabs>
          <w:tab w:val="left" w:pos="709"/>
        </w:tabs>
        <w:ind w:firstLine="567"/>
        <w:jc w:val="both"/>
      </w:pPr>
      <w:r w:rsidRPr="005A1F62">
        <w:t>Для оценки вероятности поддержки банка со стороны органов федеральной, региональной или местной (муниципальной) власти предусмотрено выделение внешнего фактора поддержки со стороны органов власти. Влияние фактора под</w:t>
      </w:r>
      <w:r w:rsidR="00DA3EE0" w:rsidRPr="005A1F62">
        <w:t xml:space="preserve">держки может быть умеренным, </w:t>
      </w:r>
      <w:r w:rsidRPr="005A1F62">
        <w:t>сильным</w:t>
      </w:r>
      <w:r w:rsidR="001E47F6" w:rsidRPr="005A1F62">
        <w:t>, очень сильным, сверхсильным и максимальным</w:t>
      </w:r>
      <w:r w:rsidRPr="005A1F62">
        <w:t>.</w:t>
      </w:r>
    </w:p>
    <w:p w14:paraId="03086AC3" w14:textId="451EA54F" w:rsidR="00AA41E3" w:rsidRPr="005A1F62" w:rsidRDefault="00AA41E3" w:rsidP="00B73C6D">
      <w:pPr>
        <w:numPr>
          <w:ilvl w:val="0"/>
          <w:numId w:val="36"/>
        </w:numPr>
        <w:tabs>
          <w:tab w:val="left" w:pos="709"/>
        </w:tabs>
        <w:ind w:left="0" w:firstLine="567"/>
        <w:contextualSpacing/>
        <w:jc w:val="both"/>
      </w:pPr>
      <w:r w:rsidRPr="005A1F62">
        <w:t>В случае если банк имеет хорошие связи с органами власти</w:t>
      </w:r>
      <w:r w:rsidR="005115F3" w:rsidRPr="005A1F62">
        <w:t xml:space="preserve"> </w:t>
      </w:r>
      <w:r w:rsidRPr="005A1F62">
        <w:t>/</w:t>
      </w:r>
      <w:r w:rsidR="005115F3" w:rsidRPr="005A1F62">
        <w:t xml:space="preserve"> </w:t>
      </w:r>
      <w:r w:rsidRPr="005A1F62">
        <w:t>регуляторами, которые оказывают умеренное положительное влияние на деятельность банка и перспективы развития</w:t>
      </w:r>
      <w:r w:rsidR="005115F3" w:rsidRPr="005A1F62">
        <w:t>,</w:t>
      </w:r>
      <w:r w:rsidRPr="005A1F62">
        <w:t xml:space="preserve"> и</w:t>
      </w:r>
      <w:r w:rsidR="005115F3" w:rsidRPr="005A1F62">
        <w:t xml:space="preserve"> (</w:t>
      </w:r>
      <w:r w:rsidRPr="005A1F62">
        <w:t>или</w:t>
      </w:r>
      <w:r w:rsidR="005115F3" w:rsidRPr="005A1F62">
        <w:t>)</w:t>
      </w:r>
      <w:r w:rsidRPr="005A1F62">
        <w:t xml:space="preserve"> банк может рассчитывать на административную поддержку федеральных</w:t>
      </w:r>
      <w:r w:rsidR="005115F3" w:rsidRPr="005A1F62">
        <w:t xml:space="preserve"> </w:t>
      </w:r>
      <w:r w:rsidRPr="005A1F62">
        <w:t>/</w:t>
      </w:r>
      <w:r w:rsidR="005115F3" w:rsidRPr="005A1F62">
        <w:t xml:space="preserve"> </w:t>
      </w:r>
      <w:r w:rsidRPr="005A1F62">
        <w:t>региональных органов власти, то фактор поддержки оказывает умеренное влияние на оценку кредитоспособности.</w:t>
      </w:r>
    </w:p>
    <w:p w14:paraId="74F476B4" w14:textId="77777777" w:rsidR="00AA41E3" w:rsidRPr="005A1F62" w:rsidRDefault="00AA41E3" w:rsidP="00B73C6D">
      <w:pPr>
        <w:numPr>
          <w:ilvl w:val="0"/>
          <w:numId w:val="36"/>
        </w:numPr>
        <w:tabs>
          <w:tab w:val="left" w:pos="709"/>
        </w:tabs>
        <w:ind w:left="0" w:firstLine="567"/>
        <w:contextualSpacing/>
        <w:jc w:val="both"/>
      </w:pPr>
      <w:r w:rsidRPr="005A1F62">
        <w:lastRenderedPageBreak/>
        <w:t>Фактор поддержки оказывает сильное влияние на оценку кредитоспособности в следующих случаях:</w:t>
      </w:r>
    </w:p>
    <w:p w14:paraId="617ADC9D" w14:textId="77777777" w:rsidR="00AA41E3" w:rsidRPr="005A1F62" w:rsidRDefault="005115F3" w:rsidP="00B73C6D">
      <w:pPr>
        <w:numPr>
          <w:ilvl w:val="1"/>
          <w:numId w:val="36"/>
        </w:numPr>
        <w:tabs>
          <w:tab w:val="left" w:pos="709"/>
        </w:tabs>
        <w:ind w:left="1134" w:firstLine="0"/>
        <w:contextualSpacing/>
        <w:jc w:val="both"/>
      </w:pPr>
      <w:r w:rsidRPr="005A1F62">
        <w:t xml:space="preserve">банк </w:t>
      </w:r>
      <w:r w:rsidR="00AA41E3" w:rsidRPr="005A1F62">
        <w:t>имеет хорошие связи с органами власти</w:t>
      </w:r>
      <w:r w:rsidRPr="005A1F62">
        <w:t xml:space="preserve"> </w:t>
      </w:r>
      <w:r w:rsidR="00AA41E3" w:rsidRPr="005A1F62">
        <w:t>/</w:t>
      </w:r>
      <w:r w:rsidRPr="005A1F62">
        <w:t xml:space="preserve"> </w:t>
      </w:r>
      <w:r w:rsidR="00AA41E3" w:rsidRPr="005A1F62">
        <w:t>регуляторами, которые оказывают сильное положительное влияние на деятельность банка и перспективы его развития;</w:t>
      </w:r>
    </w:p>
    <w:p w14:paraId="416E624E" w14:textId="77777777" w:rsidR="00AA41E3" w:rsidRPr="005A1F62" w:rsidRDefault="005115F3" w:rsidP="00B73C6D">
      <w:pPr>
        <w:numPr>
          <w:ilvl w:val="1"/>
          <w:numId w:val="36"/>
        </w:numPr>
        <w:tabs>
          <w:tab w:val="left" w:pos="709"/>
        </w:tabs>
        <w:ind w:left="1134" w:firstLine="0"/>
        <w:contextualSpacing/>
        <w:jc w:val="both"/>
      </w:pPr>
      <w:r w:rsidRPr="005A1F62">
        <w:t xml:space="preserve">банк </w:t>
      </w:r>
      <w:r w:rsidR="00AA41E3" w:rsidRPr="005A1F62">
        <w:t>может рассчитывать на административную и финансовую поддержку федеральных</w:t>
      </w:r>
      <w:r w:rsidRPr="005A1F62">
        <w:t xml:space="preserve"> </w:t>
      </w:r>
      <w:r w:rsidR="00AA41E3" w:rsidRPr="005A1F62">
        <w:t>/</w:t>
      </w:r>
      <w:r w:rsidRPr="005A1F62">
        <w:t xml:space="preserve"> </w:t>
      </w:r>
      <w:r w:rsidR="00AA41E3" w:rsidRPr="005A1F62">
        <w:t>региональных органов власти;</w:t>
      </w:r>
    </w:p>
    <w:p w14:paraId="42BE1A0F" w14:textId="0D10F1D3" w:rsidR="00AA41E3" w:rsidRPr="005A1F62" w:rsidRDefault="005115F3" w:rsidP="00B73C6D">
      <w:pPr>
        <w:numPr>
          <w:ilvl w:val="1"/>
          <w:numId w:val="36"/>
        </w:numPr>
        <w:tabs>
          <w:tab w:val="left" w:pos="709"/>
        </w:tabs>
        <w:ind w:left="1134" w:firstLine="0"/>
        <w:contextualSpacing/>
        <w:jc w:val="both"/>
      </w:pPr>
      <w:r w:rsidRPr="005A1F62">
        <w:t xml:space="preserve">банк </w:t>
      </w:r>
      <w:r w:rsidR="00AA41E3" w:rsidRPr="005A1F62">
        <w:t>относится к системно</w:t>
      </w:r>
      <w:r w:rsidRPr="005A1F62">
        <w:t xml:space="preserve"> </w:t>
      </w:r>
      <w:r w:rsidR="00AA41E3" w:rsidRPr="005A1F62">
        <w:t xml:space="preserve">значимым банкам в соответствии с </w:t>
      </w:r>
      <w:r w:rsidRPr="005A1F62">
        <w:t xml:space="preserve">указанием </w:t>
      </w:r>
      <w:r w:rsidR="00AA41E3" w:rsidRPr="005A1F62">
        <w:t xml:space="preserve">ЦБ РФ №3737-У или </w:t>
      </w:r>
      <w:r w:rsidRPr="005A1F62">
        <w:t xml:space="preserve">соответствует </w:t>
      </w:r>
      <w:r w:rsidR="00AA41E3" w:rsidRPr="005A1F62">
        <w:t>критериям статьи 8.1 Федерального закона</w:t>
      </w:r>
      <w:r w:rsidRPr="005A1F62">
        <w:t xml:space="preserve"> №275-ФЗ</w:t>
      </w:r>
      <w:r w:rsidR="00AA41E3" w:rsidRPr="005A1F62">
        <w:t xml:space="preserve"> от 29 декабря 2012 года «О государственном оборонном заказе».</w:t>
      </w:r>
    </w:p>
    <w:p w14:paraId="11FA957B" w14:textId="77777777" w:rsidR="00AA41E3" w:rsidRPr="005A1F62" w:rsidRDefault="00AA41E3" w:rsidP="00DC2FED">
      <w:pPr>
        <w:tabs>
          <w:tab w:val="left" w:pos="709"/>
        </w:tabs>
        <w:ind w:firstLine="567"/>
        <w:jc w:val="both"/>
      </w:pPr>
      <w:r w:rsidRPr="005A1F62">
        <w:t>При оценке влияния фактора поддержки со стороны органов власти может быть принято во внимания следующее:</w:t>
      </w:r>
    </w:p>
    <w:p w14:paraId="554555F7" w14:textId="77777777" w:rsidR="00AA41E3" w:rsidRPr="005A1F62" w:rsidRDefault="005115F3" w:rsidP="00B73C6D">
      <w:pPr>
        <w:numPr>
          <w:ilvl w:val="0"/>
          <w:numId w:val="15"/>
        </w:numPr>
        <w:tabs>
          <w:tab w:val="left" w:pos="709"/>
        </w:tabs>
        <w:ind w:left="0" w:firstLine="567"/>
        <w:jc w:val="both"/>
      </w:pPr>
      <w:r w:rsidRPr="005A1F62">
        <w:t xml:space="preserve">имелись </w:t>
      </w:r>
      <w:r w:rsidR="00AA41E3" w:rsidRPr="005A1F62">
        <w:t>прецеденты оказания помощи банку со стороны федеральных</w:t>
      </w:r>
      <w:r w:rsidRPr="005A1F62">
        <w:t xml:space="preserve"> </w:t>
      </w:r>
      <w:r w:rsidR="00AA41E3" w:rsidRPr="005A1F62">
        <w:t>/</w:t>
      </w:r>
      <w:r w:rsidRPr="005A1F62">
        <w:t xml:space="preserve"> </w:t>
      </w:r>
      <w:r w:rsidR="00AA41E3" w:rsidRPr="005A1F62">
        <w:t>региональных органов власти;</w:t>
      </w:r>
    </w:p>
    <w:p w14:paraId="5FFFCD1B" w14:textId="77777777" w:rsidR="00AA41E3" w:rsidRPr="005A1F62" w:rsidRDefault="005115F3" w:rsidP="00B73C6D">
      <w:pPr>
        <w:numPr>
          <w:ilvl w:val="0"/>
          <w:numId w:val="15"/>
        </w:numPr>
        <w:tabs>
          <w:tab w:val="left" w:pos="709"/>
        </w:tabs>
        <w:ind w:left="0" w:firstLine="567"/>
        <w:jc w:val="both"/>
      </w:pPr>
      <w:r w:rsidRPr="005A1F62">
        <w:t xml:space="preserve">сильные </w:t>
      </w:r>
      <w:r w:rsidR="00AA41E3" w:rsidRPr="005A1F62">
        <w:t>позиции в социально чувствительных сегментах (например, на рынке розничных депозитов);</w:t>
      </w:r>
    </w:p>
    <w:p w14:paraId="736C5F9E" w14:textId="77777777" w:rsidR="00AA41E3" w:rsidRPr="005A1F62" w:rsidRDefault="005115F3" w:rsidP="00B73C6D">
      <w:pPr>
        <w:numPr>
          <w:ilvl w:val="0"/>
          <w:numId w:val="15"/>
        </w:numPr>
        <w:tabs>
          <w:tab w:val="left" w:pos="709"/>
        </w:tabs>
        <w:ind w:left="0" w:firstLine="567"/>
        <w:jc w:val="both"/>
      </w:pPr>
      <w:r w:rsidRPr="005A1F62">
        <w:t xml:space="preserve">наличие </w:t>
      </w:r>
      <w:r w:rsidR="00AA41E3" w:rsidRPr="005A1F62">
        <w:t>дружественных банку членов законодательных собраний федерального или регионального уровня;</w:t>
      </w:r>
    </w:p>
    <w:p w14:paraId="1F9D364C" w14:textId="500C63BA" w:rsidR="00AA41E3" w:rsidRPr="005A1F62" w:rsidRDefault="005115F3" w:rsidP="00B73C6D">
      <w:pPr>
        <w:numPr>
          <w:ilvl w:val="0"/>
          <w:numId w:val="15"/>
        </w:numPr>
        <w:tabs>
          <w:tab w:val="left" w:pos="709"/>
        </w:tabs>
        <w:ind w:left="0" w:firstLine="567"/>
        <w:jc w:val="both"/>
      </w:pPr>
      <w:r w:rsidRPr="005A1F62">
        <w:t xml:space="preserve">участие </w:t>
      </w:r>
      <w:r w:rsidR="00AA41E3" w:rsidRPr="005A1F62">
        <w:t>в капитале банка государственных структур и структур, бл</w:t>
      </w:r>
      <w:r w:rsidR="00D23360" w:rsidRPr="005A1F62">
        <w:t>изких по политическому влиянию.</w:t>
      </w:r>
    </w:p>
    <w:p w14:paraId="065AB3DC" w14:textId="67353D99" w:rsidR="00D23360" w:rsidRPr="005A1F62" w:rsidRDefault="00D23360" w:rsidP="00DC2FED">
      <w:pPr>
        <w:tabs>
          <w:tab w:val="left" w:pos="709"/>
        </w:tabs>
        <w:ind w:firstLine="567"/>
        <w:jc w:val="both"/>
      </w:pPr>
      <w:r w:rsidRPr="005A1F62">
        <w:t>В слу</w:t>
      </w:r>
      <w:r w:rsidR="00CE2598" w:rsidRPr="005A1F62">
        <w:t>чае санации банка с участием Банка России или федеральных органов власти</w:t>
      </w:r>
      <w:r w:rsidRPr="005A1F62">
        <w:t xml:space="preserve"> возможно выделение фактора поддержки со стороны органов власти вплоть до </w:t>
      </w:r>
      <w:r w:rsidR="00DA3EE0" w:rsidRPr="005A1F62">
        <w:t xml:space="preserve">максимального. При этом фактор поддержки отражает потенциальную поддержку </w:t>
      </w:r>
      <w:r w:rsidR="00534F4E" w:rsidRPr="005A1F62">
        <w:t>банка в форме докапитализации, очистки баланса от проблемных активов и иных мер в рамках выполнения плана финансового оздоровления. По мере реализации предусмотренных планом финансового оздоровления мероприятий сил</w:t>
      </w:r>
      <w:r w:rsidR="00CE2598" w:rsidRPr="005A1F62">
        <w:t>а фактора поддержки уменьшается</w:t>
      </w:r>
      <w:r w:rsidR="00534F4E" w:rsidRPr="005A1F62">
        <w:t>, исходя из предположения</w:t>
      </w:r>
      <w:r w:rsidR="00CE2598" w:rsidRPr="005A1F62">
        <w:t>, что внешняя поддержка должна оказыва</w:t>
      </w:r>
      <w:r w:rsidR="00534F4E" w:rsidRPr="005A1F62">
        <w:t>ть существенное влияние на в</w:t>
      </w:r>
      <w:r w:rsidR="00095120" w:rsidRPr="005A1F62">
        <w:t>нутренние финансовые п</w:t>
      </w:r>
      <w:r w:rsidR="004A30BE" w:rsidRPr="005A1F62">
        <w:t xml:space="preserve">оказатели. Сила фактора поддержки </w:t>
      </w:r>
      <w:r w:rsidR="00095120" w:rsidRPr="005A1F62">
        <w:t>также зависит от соответствия</w:t>
      </w:r>
      <w:r w:rsidR="004A30BE" w:rsidRPr="005A1F62">
        <w:t xml:space="preserve"> осуществляемых в рамках санации</w:t>
      </w:r>
      <w:r w:rsidR="00095120" w:rsidRPr="005A1F62">
        <w:t xml:space="preserve"> мероприятий плану финансового оздоровления, их адекватности и своевр</w:t>
      </w:r>
      <w:r w:rsidR="00603CE3" w:rsidRPr="005A1F62">
        <w:t xml:space="preserve">еменности, что определяется </w:t>
      </w:r>
      <w:r w:rsidR="00095120" w:rsidRPr="005A1F62">
        <w:t>экспертным суждением.</w:t>
      </w:r>
    </w:p>
    <w:p w14:paraId="6D38CBDC" w14:textId="77777777" w:rsidR="00AA41E3" w:rsidRPr="005A1F62" w:rsidRDefault="00AA41E3" w:rsidP="00DC2FED">
      <w:pPr>
        <w:tabs>
          <w:tab w:val="left" w:pos="709"/>
        </w:tabs>
        <w:ind w:firstLine="567"/>
        <w:jc w:val="both"/>
        <w:rPr>
          <w:b/>
          <w:i/>
        </w:rPr>
      </w:pPr>
    </w:p>
    <w:p w14:paraId="36F1B75A" w14:textId="71D9D342" w:rsidR="00AA41E3" w:rsidRPr="005A1F62" w:rsidRDefault="00AA41E3" w:rsidP="00DC2FED">
      <w:pPr>
        <w:tabs>
          <w:tab w:val="left" w:pos="709"/>
        </w:tabs>
        <w:ind w:firstLine="567"/>
        <w:jc w:val="both"/>
        <w:rPr>
          <w:b/>
        </w:rPr>
      </w:pPr>
      <w:r w:rsidRPr="005A1F62">
        <w:rPr>
          <w:b/>
        </w:rPr>
        <w:t>5.2.3 Внешний иной фактор поддержки</w:t>
      </w:r>
    </w:p>
    <w:p w14:paraId="4C8A8901" w14:textId="77777777" w:rsidR="00482CEA" w:rsidRPr="005A1F62" w:rsidRDefault="00482CEA" w:rsidP="00DC2FED">
      <w:pPr>
        <w:tabs>
          <w:tab w:val="left" w:pos="709"/>
        </w:tabs>
        <w:ind w:firstLine="567"/>
        <w:jc w:val="both"/>
        <w:rPr>
          <w:b/>
        </w:rPr>
      </w:pPr>
    </w:p>
    <w:p w14:paraId="7213B80E" w14:textId="3241FBC5" w:rsidR="00AA41E3" w:rsidRPr="005A1F62" w:rsidRDefault="00AA41E3" w:rsidP="00DC2FED">
      <w:pPr>
        <w:tabs>
          <w:tab w:val="left" w:pos="709"/>
        </w:tabs>
        <w:ind w:firstLine="567"/>
        <w:jc w:val="both"/>
        <w:rPr>
          <w:rFonts w:eastAsia="Arial Unicode MS"/>
          <w:b/>
          <w:sz w:val="28"/>
          <w:szCs w:val="28"/>
        </w:rPr>
      </w:pPr>
      <w:r w:rsidRPr="005A1F62">
        <w:t>Дополнительные внешние факторы поддержки, которые не были учтены в рейтинговой модели в связи с особенностями объекта рейтинга либо кратковременны</w:t>
      </w:r>
      <w:r w:rsidR="005115F3" w:rsidRPr="005A1F62">
        <w:t>ми</w:t>
      </w:r>
      <w:r w:rsidRPr="005A1F62">
        <w:t xml:space="preserve"> факторами, отражаются во внешнем ином факторе поддержки. Под кратковременными факторами понимается </w:t>
      </w:r>
      <w:r w:rsidR="001C59F8" w:rsidRPr="005A1F62">
        <w:t xml:space="preserve">уменьшение </w:t>
      </w:r>
      <w:r w:rsidRPr="005A1F62">
        <w:t>рейтингового числа, которое, по мнению членов рейтингового комитета, носит временный характер</w:t>
      </w:r>
      <w:r w:rsidR="005115F3" w:rsidRPr="005A1F62">
        <w:t>,</w:t>
      </w:r>
      <w:r w:rsidRPr="005A1F62">
        <w:t xml:space="preserve"> и в ближайш</w:t>
      </w:r>
      <w:r w:rsidR="0014658E" w:rsidRPr="005A1F62">
        <w:t>ее полугодие</w:t>
      </w:r>
      <w:r w:rsidRPr="005A1F62">
        <w:t xml:space="preserve"> рейтинговое число существенно </w:t>
      </w:r>
      <w:r w:rsidR="001C59F8" w:rsidRPr="005A1F62">
        <w:t>вырастет</w:t>
      </w:r>
      <w:r w:rsidRPr="005A1F62">
        <w:t xml:space="preserve">. Таким образом, под кратковременным фактором понимается фактор, действие которого с высокой вероятностью прекратится в течение </w:t>
      </w:r>
      <w:r w:rsidR="0014658E" w:rsidRPr="005A1F62">
        <w:t xml:space="preserve">шести </w:t>
      </w:r>
      <w:r w:rsidRPr="005A1F62">
        <w:t>месяцев</w:t>
      </w:r>
      <w:r w:rsidR="00292D61" w:rsidRPr="005A1F62">
        <w:t xml:space="preserve"> на фоне ожидания </w:t>
      </w:r>
      <w:r w:rsidR="007F7204" w:rsidRPr="005A1F62">
        <w:t>А</w:t>
      </w:r>
      <w:r w:rsidR="00292D61" w:rsidRPr="005A1F62">
        <w:t>гентством позитивных изменений в деятельности объекта рейтинга, связанных с внешними по отношению к нему факторами</w:t>
      </w:r>
      <w:r w:rsidRPr="005A1F62">
        <w:t>. Влияние внешнего иного фактора поддержки может быть умеренным или сильным.</w:t>
      </w:r>
    </w:p>
    <w:p w14:paraId="7988F269" w14:textId="77777777" w:rsidR="00AA41E3" w:rsidRPr="005A1F62" w:rsidRDefault="00AA41E3" w:rsidP="00DC2FED">
      <w:pPr>
        <w:tabs>
          <w:tab w:val="left" w:pos="709"/>
        </w:tabs>
        <w:ind w:firstLine="567"/>
        <w:jc w:val="both"/>
      </w:pPr>
    </w:p>
    <w:p w14:paraId="15C893C4" w14:textId="263C1A13" w:rsidR="00CF0D7A" w:rsidRPr="005A1F62" w:rsidRDefault="003B6FB2" w:rsidP="00B73C6D">
      <w:pPr>
        <w:pStyle w:val="1"/>
        <w:numPr>
          <w:ilvl w:val="0"/>
          <w:numId w:val="62"/>
        </w:numPr>
        <w:tabs>
          <w:tab w:val="left" w:pos="709"/>
        </w:tabs>
        <w:spacing w:before="0" w:after="0"/>
        <w:rPr>
          <w:rFonts w:ascii="Times New Roman" w:hAnsi="Times New Roman" w:cs="Times New Roman"/>
          <w:sz w:val="28"/>
          <w:szCs w:val="28"/>
        </w:rPr>
      </w:pPr>
      <w:bookmarkStart w:id="241" w:name="_Toc459363771"/>
      <w:bookmarkEnd w:id="229"/>
      <w:bookmarkEnd w:id="230"/>
      <w:r w:rsidRPr="005A1F62">
        <w:rPr>
          <w:rFonts w:ascii="Times New Roman" w:hAnsi="Times New Roman" w:cs="Times New Roman"/>
          <w:sz w:val="20"/>
          <w:szCs w:val="20"/>
        </w:rPr>
        <w:br w:type="page"/>
      </w:r>
      <w:bookmarkStart w:id="242" w:name="_Toc44433474"/>
      <w:r w:rsidR="00B73C6D" w:rsidRPr="005A1F62">
        <w:rPr>
          <w:rFonts w:ascii="Times New Roman" w:hAnsi="Times New Roman" w:cs="Times New Roman"/>
          <w:sz w:val="28"/>
          <w:szCs w:val="28"/>
        </w:rPr>
        <w:lastRenderedPageBreak/>
        <w:t>Порядок определения прогноза по кредитному рейтингу банка</w:t>
      </w:r>
      <w:bookmarkEnd w:id="242"/>
    </w:p>
    <w:p w14:paraId="4AD99627" w14:textId="77777777" w:rsidR="00CF0D7A" w:rsidRPr="005A1F62" w:rsidRDefault="00CF0D7A" w:rsidP="00DC2FED">
      <w:pPr>
        <w:tabs>
          <w:tab w:val="left" w:pos="709"/>
        </w:tabs>
        <w:ind w:firstLine="567"/>
        <w:jc w:val="both"/>
      </w:pPr>
    </w:p>
    <w:p w14:paraId="186228BE" w14:textId="10A02CEB" w:rsidR="008B419F" w:rsidRPr="005A1F62" w:rsidRDefault="008B419F" w:rsidP="00DC2FED">
      <w:pPr>
        <w:pStyle w:val="af9"/>
        <w:spacing w:before="0" w:beforeAutospacing="0" w:after="0" w:afterAutospacing="0"/>
        <w:ind w:firstLine="567"/>
        <w:jc w:val="both"/>
      </w:pPr>
      <w:r w:rsidRPr="005A1F62">
        <w:t>Опираясь на данную методологию, «Эксперт РА» устанавливает прогноз по кредитному рейтингу, который означает мнение кредитного рейтингового агентства относительно возможного изменения уровня кредитного рейтинга в перспективе одного года. Объекту рейтинга может быть присвоен один из четырех видов прогноза по кредитному рейтингу:</w:t>
      </w:r>
    </w:p>
    <w:p w14:paraId="08C1BAF2" w14:textId="77777777" w:rsidR="008B419F" w:rsidRPr="005A1F62" w:rsidRDefault="008B419F" w:rsidP="00B73C6D">
      <w:pPr>
        <w:numPr>
          <w:ilvl w:val="0"/>
          <w:numId w:val="23"/>
        </w:numPr>
        <w:ind w:hanging="11"/>
        <w:jc w:val="both"/>
      </w:pPr>
      <w:r w:rsidRPr="005A1F62">
        <w:t>позитивный (высокая вероятность повышения кредитного рейтинга на горизонте 12 месяцев);</w:t>
      </w:r>
    </w:p>
    <w:p w14:paraId="0B2D990E" w14:textId="77777777" w:rsidR="008B419F" w:rsidRPr="005A1F62" w:rsidRDefault="008B419F" w:rsidP="00B73C6D">
      <w:pPr>
        <w:numPr>
          <w:ilvl w:val="0"/>
          <w:numId w:val="23"/>
        </w:numPr>
        <w:ind w:hanging="11"/>
        <w:jc w:val="both"/>
      </w:pPr>
      <w:r w:rsidRPr="005A1F62">
        <w:t>негативный (высокая вероятность снижения кредитного рейтинга на горизонте 12 месяцев);</w:t>
      </w:r>
    </w:p>
    <w:p w14:paraId="6F5557F8" w14:textId="77777777" w:rsidR="008B419F" w:rsidRPr="005A1F62" w:rsidRDefault="008B419F" w:rsidP="00B73C6D">
      <w:pPr>
        <w:numPr>
          <w:ilvl w:val="0"/>
          <w:numId w:val="23"/>
        </w:numPr>
        <w:ind w:hanging="11"/>
        <w:jc w:val="both"/>
      </w:pPr>
      <w:r w:rsidRPr="005A1F62">
        <w:t>стабильный (высокая вероятность сохранения кредитного рейтинга на прежнем уровне на горизонте 12 месяцев);</w:t>
      </w:r>
    </w:p>
    <w:p w14:paraId="381CB38A" w14:textId="6BE7F1A2" w:rsidR="008B419F" w:rsidRPr="005A1F62" w:rsidRDefault="008B419F" w:rsidP="00B73C6D">
      <w:pPr>
        <w:numPr>
          <w:ilvl w:val="0"/>
          <w:numId w:val="23"/>
        </w:numPr>
        <w:ind w:hanging="11"/>
        <w:jc w:val="both"/>
      </w:pPr>
      <w:r w:rsidRPr="005A1F62">
        <w:t xml:space="preserve">развивающийся (на горизонте </w:t>
      </w:r>
      <w:r w:rsidR="0014658E" w:rsidRPr="005A1F62">
        <w:t xml:space="preserve">12 </w:t>
      </w:r>
      <w:r w:rsidRPr="005A1F62">
        <w:t>месяцев равновероятны два или более вариантов рейтинговых действий: сохранение, повышение или снижение кредитного рейтинга).</w:t>
      </w:r>
    </w:p>
    <w:p w14:paraId="40208515" w14:textId="77777777" w:rsidR="008B419F" w:rsidRPr="005A1F62" w:rsidRDefault="008B419F" w:rsidP="00DC2FED">
      <w:pPr>
        <w:pStyle w:val="af9"/>
        <w:spacing w:before="0" w:beforeAutospacing="0" w:after="0" w:afterAutospacing="0"/>
        <w:ind w:firstLine="567"/>
        <w:jc w:val="both"/>
      </w:pPr>
      <w:r w:rsidRPr="005A1F62">
        <w:t xml:space="preserve">Прогноз по кредитному рейтингу определяется на основании ожиданий кредитного рейтингового агентства по динамике показателей, перечисленных в настоящей методологии, то есть на прогноз по кредитному рейтингу влияют те же факторы, что и на присвоенный кредитный рейтинг, в том числе факторы поддержки и стресс-факторы. Прогноз присваивается только по отношению к итоговому рейтингу кредитоспособности (не к рейтингу самостоятельной кредитоспособности). </w:t>
      </w:r>
    </w:p>
    <w:p w14:paraId="3A9E4933" w14:textId="77777777" w:rsidR="008B419F" w:rsidRPr="005A1F62" w:rsidRDefault="008B419F" w:rsidP="00DC2FED">
      <w:pPr>
        <w:pStyle w:val="af9"/>
        <w:spacing w:before="0" w:beforeAutospacing="0" w:after="0" w:afterAutospacing="0"/>
        <w:ind w:firstLine="567"/>
        <w:jc w:val="both"/>
      </w:pPr>
      <w:r w:rsidRPr="005A1F62">
        <w:t>При определении прогноза «Эксперт РА» ориентируется на исторические данные, данные стратегии объекта рейтинга, собственный макроэкономический прогноз.</w:t>
      </w:r>
    </w:p>
    <w:p w14:paraId="656B09CF" w14:textId="77777777" w:rsidR="008B419F" w:rsidRPr="005A1F62" w:rsidRDefault="008B419F" w:rsidP="00DC2FED">
      <w:pPr>
        <w:pStyle w:val="af9"/>
        <w:spacing w:before="0" w:beforeAutospacing="0" w:after="0" w:afterAutospacing="0"/>
        <w:ind w:firstLine="567"/>
        <w:jc w:val="both"/>
      </w:pPr>
      <w:r w:rsidRPr="005A1F62">
        <w:t>При оценке перспектив объекта рейтинга «Эксперт РА» использует ключевые рейтинговые предпосылки о возможных сценариях развития объекта рейтинга и вероятности того или иного сценария, которые являются субъективным мнением участников рейтингового комитета. Данные сценарии могут быть основаны на официальной стратегии объекта рейтинга и внутренних расчетах «Эксперта РА». Прогноз по рейтингу чувствителен к выбору наиболее вероятного, по мнению рейтингового комитета, сценария развития компании. Также при определении прогноза учитываются плановые изменения законодательства, если они способны оказать существенное влияние на рейтинг.</w:t>
      </w:r>
    </w:p>
    <w:p w14:paraId="566433B2" w14:textId="77777777" w:rsidR="008B419F" w:rsidRPr="005A1F62" w:rsidRDefault="008B419F" w:rsidP="00DC2FED">
      <w:pPr>
        <w:pStyle w:val="af9"/>
        <w:spacing w:before="0" w:beforeAutospacing="0" w:after="0" w:afterAutospacing="0"/>
        <w:ind w:firstLine="567"/>
        <w:jc w:val="both"/>
      </w:pPr>
      <w:r w:rsidRPr="005A1F62">
        <w:t>Рейтинговый комитет может определить критерии, выполнение или невыполнение которых с высокой вероятностью приведет к изменению рейтинга (рейтинговые условия). Обычно установление пороговых значений показателей сопровождается установлением позитивного или негативного прогноза.</w:t>
      </w:r>
    </w:p>
    <w:p w14:paraId="13AD6AA3" w14:textId="77777777" w:rsidR="006237F9" w:rsidRPr="005A1F62" w:rsidRDefault="0045138D" w:rsidP="00B73C6D">
      <w:pPr>
        <w:pStyle w:val="1"/>
        <w:numPr>
          <w:ilvl w:val="0"/>
          <w:numId w:val="62"/>
        </w:numPr>
        <w:tabs>
          <w:tab w:val="left" w:pos="709"/>
        </w:tabs>
        <w:spacing w:before="0" w:after="0"/>
        <w:rPr>
          <w:rFonts w:ascii="Times New Roman" w:hAnsi="Times New Roman" w:cs="Times New Roman"/>
          <w:sz w:val="28"/>
          <w:szCs w:val="28"/>
        </w:rPr>
      </w:pPr>
      <w:r w:rsidRPr="005A1F62">
        <w:rPr>
          <w:rFonts w:ascii="Times New Roman" w:hAnsi="Times New Roman" w:cs="Times New Roman"/>
          <w:sz w:val="28"/>
          <w:szCs w:val="28"/>
        </w:rPr>
        <w:br w:type="page"/>
      </w:r>
    </w:p>
    <w:p w14:paraId="5D202A46" w14:textId="2AE33308" w:rsidR="003E38FC" w:rsidRPr="005A1F62" w:rsidRDefault="005A1F66" w:rsidP="005A1F66">
      <w:pPr>
        <w:pStyle w:val="1"/>
        <w:tabs>
          <w:tab w:val="left" w:pos="709"/>
        </w:tabs>
        <w:spacing w:before="0" w:after="0"/>
        <w:ind w:left="927"/>
        <w:rPr>
          <w:rFonts w:ascii="Times New Roman" w:hAnsi="Times New Roman" w:cs="Times New Roman"/>
          <w:sz w:val="28"/>
          <w:szCs w:val="28"/>
        </w:rPr>
      </w:pPr>
      <w:bookmarkStart w:id="243" w:name="_Toc44433475"/>
      <w:r w:rsidRPr="005A1F66">
        <w:rPr>
          <w:rFonts w:ascii="Times New Roman" w:hAnsi="Times New Roman" w:cs="Times New Roman"/>
          <w:sz w:val="28"/>
          <w:szCs w:val="28"/>
        </w:rPr>
        <w:lastRenderedPageBreak/>
        <w:t xml:space="preserve">7. </w:t>
      </w:r>
      <w:r w:rsidR="003E38FC" w:rsidRPr="005A1F62">
        <w:rPr>
          <w:rFonts w:ascii="Times New Roman" w:hAnsi="Times New Roman" w:cs="Times New Roman"/>
          <w:sz w:val="28"/>
          <w:szCs w:val="28"/>
        </w:rPr>
        <w:t xml:space="preserve">Бенчмарки по показателям, используемым в </w:t>
      </w:r>
      <w:r w:rsidR="00663CD9" w:rsidRPr="005A1F62">
        <w:rPr>
          <w:rFonts w:ascii="Times New Roman" w:hAnsi="Times New Roman" w:cs="Times New Roman"/>
          <w:sz w:val="28"/>
          <w:szCs w:val="28"/>
        </w:rPr>
        <w:t>методологии</w:t>
      </w:r>
      <w:r w:rsidR="003E38FC" w:rsidRPr="005A1F62">
        <w:rPr>
          <w:rFonts w:ascii="Times New Roman" w:hAnsi="Times New Roman" w:cs="Times New Roman"/>
          <w:sz w:val="28"/>
          <w:szCs w:val="28"/>
        </w:rPr>
        <w:t xml:space="preserve"> присвоения рейтингов кредитоспособности банков</w:t>
      </w:r>
      <w:bookmarkEnd w:id="241"/>
      <w:bookmarkEnd w:id="243"/>
      <w:r w:rsidR="003E38FC" w:rsidRPr="005A1F62">
        <w:rPr>
          <w:rFonts w:ascii="Times New Roman" w:hAnsi="Times New Roman" w:cs="Times New Roman"/>
          <w:sz w:val="28"/>
          <w:szCs w:val="28"/>
        </w:rPr>
        <w:t xml:space="preserve"> </w:t>
      </w:r>
    </w:p>
    <w:p w14:paraId="3602ADE0" w14:textId="77777777" w:rsidR="00574658" w:rsidRPr="005A1F62" w:rsidRDefault="00574658" w:rsidP="00DC2FED">
      <w:pPr>
        <w:tabs>
          <w:tab w:val="left" w:pos="709"/>
        </w:tabs>
        <w:ind w:firstLine="567"/>
      </w:pPr>
    </w:p>
    <w:p w14:paraId="1FD53A2D" w14:textId="466AE330" w:rsidR="00574658" w:rsidRPr="005A1F62" w:rsidRDefault="0018285B" w:rsidP="00DC2FED">
      <w:pPr>
        <w:tabs>
          <w:tab w:val="left" w:pos="709"/>
        </w:tabs>
        <w:ind w:firstLine="567"/>
        <w:jc w:val="both"/>
      </w:pPr>
      <w:r w:rsidRPr="005A1F62">
        <w:t xml:space="preserve">В непрерывных </w:t>
      </w:r>
      <w:r w:rsidR="00183261" w:rsidRPr="005A1F62">
        <w:t>оценках,</w:t>
      </w:r>
      <w:r w:rsidR="00574658" w:rsidRPr="005A1F62">
        <w:t xml:space="preserve"> описанных в разделе параметров</w:t>
      </w:r>
      <w:r w:rsidR="00183261" w:rsidRPr="005A1F62">
        <w:t>,</w:t>
      </w:r>
      <w:r w:rsidR="00574658" w:rsidRPr="005A1F62">
        <w:t xml:space="preserve"> зависимость баллов от значений параметров определяется линейными и нелинейными степенными функциями. Если значение параметра находится вне заданного бенчмарками диапазона, соответствующий ему балл устанавливается на уровне -1 или 1 </w:t>
      </w:r>
      <w:r w:rsidR="00583AA0" w:rsidRPr="005A1F62">
        <w:t>без учета</w:t>
      </w:r>
      <w:r w:rsidR="00574658" w:rsidRPr="005A1F62">
        <w:t xml:space="preserve"> </w:t>
      </w:r>
      <w:r w:rsidR="00583AA0" w:rsidRPr="005A1F62">
        <w:t xml:space="preserve">указанной выше </w:t>
      </w:r>
      <w:r w:rsidR="00574658" w:rsidRPr="005A1F62">
        <w:t>функциональн</w:t>
      </w:r>
      <w:r w:rsidR="00583AA0" w:rsidRPr="005A1F62">
        <w:t>ой</w:t>
      </w:r>
      <w:r w:rsidR="00574658" w:rsidRPr="005A1F62">
        <w:t xml:space="preserve"> зависимост</w:t>
      </w:r>
      <w:r w:rsidR="00583AA0" w:rsidRPr="005A1F62">
        <w:t>и.</w:t>
      </w:r>
    </w:p>
    <w:p w14:paraId="522594FB" w14:textId="0F39EF73" w:rsidR="00574658" w:rsidRPr="005A1F62" w:rsidRDefault="00574658" w:rsidP="00DC2FED">
      <w:pPr>
        <w:tabs>
          <w:tab w:val="left" w:pos="709"/>
        </w:tabs>
        <w:ind w:firstLine="567"/>
        <w:jc w:val="both"/>
      </w:pPr>
    </w:p>
    <w:p w14:paraId="06D149B6" w14:textId="77777777" w:rsidR="00574658" w:rsidRPr="005A1F62" w:rsidRDefault="00234152" w:rsidP="00DC2FED">
      <w:pPr>
        <w:tabs>
          <w:tab w:val="left" w:pos="709"/>
        </w:tabs>
        <w:ind w:firstLine="567"/>
        <w:jc w:val="both"/>
      </w:pPr>
      <w:r w:rsidRPr="005A1F62">
        <w:t>В случае линейной зависимости балла от значения параметра балл определяется следующей формулой</w:t>
      </w:r>
      <w:r w:rsidR="00B03F53" w:rsidRPr="005A1F62">
        <w:t>:</w:t>
      </w:r>
    </w:p>
    <w:p w14:paraId="26058D81" w14:textId="77777777" w:rsidR="00234152" w:rsidRPr="005A1F62" w:rsidRDefault="00234152" w:rsidP="00DC2FED">
      <w:pPr>
        <w:tabs>
          <w:tab w:val="left" w:pos="709"/>
        </w:tabs>
        <w:ind w:firstLine="567"/>
        <w:jc w:val="both"/>
      </w:pPr>
      <w:r w:rsidRPr="005A1F62">
        <w:rPr>
          <w:lang w:val="en-US"/>
        </w:rPr>
        <w:t>z</w:t>
      </w:r>
      <w:r w:rsidRPr="005A1F62">
        <w:t xml:space="preserve"> = 2 * (</w:t>
      </w:r>
      <w:r w:rsidRPr="005A1F62">
        <w:rPr>
          <w:lang w:val="en-US"/>
        </w:rPr>
        <w:t>x</w:t>
      </w:r>
      <w:r w:rsidRPr="005A1F62">
        <w:t xml:space="preserve"> </w:t>
      </w:r>
      <w:r w:rsidR="005106DB" w:rsidRPr="005A1F62">
        <w:t>–</w:t>
      </w:r>
      <w:r w:rsidRPr="005A1F62">
        <w:t xml:space="preserve"> </w:t>
      </w:r>
      <w:r w:rsidRPr="005A1F62">
        <w:rPr>
          <w:lang w:val="en-US"/>
        </w:rPr>
        <w:t>a</w:t>
      </w:r>
      <w:r w:rsidRPr="005A1F62">
        <w:t>) / (</w:t>
      </w:r>
      <w:r w:rsidRPr="005A1F62">
        <w:rPr>
          <w:lang w:val="en-US"/>
        </w:rPr>
        <w:t>b</w:t>
      </w:r>
      <w:r w:rsidRPr="005A1F62">
        <w:t xml:space="preserve"> </w:t>
      </w:r>
      <w:r w:rsidR="005106DB" w:rsidRPr="005A1F62">
        <w:t>–</w:t>
      </w:r>
      <w:r w:rsidRPr="005A1F62">
        <w:t xml:space="preserve"> </w:t>
      </w:r>
      <w:r w:rsidRPr="005A1F62">
        <w:rPr>
          <w:lang w:val="en-US"/>
        </w:rPr>
        <w:t>a</w:t>
      </w:r>
      <w:r w:rsidRPr="005A1F62">
        <w:t>) – 1, где</w:t>
      </w:r>
      <w:r w:rsidR="005106DB" w:rsidRPr="005A1F62">
        <w:t>:</w:t>
      </w:r>
    </w:p>
    <w:p w14:paraId="3E126528" w14:textId="77777777" w:rsidR="00234152" w:rsidRPr="005A1F62" w:rsidRDefault="00234152" w:rsidP="00DC2FED">
      <w:pPr>
        <w:tabs>
          <w:tab w:val="left" w:pos="709"/>
        </w:tabs>
        <w:ind w:firstLine="567"/>
        <w:jc w:val="both"/>
      </w:pPr>
      <w:r w:rsidRPr="005A1F62">
        <w:rPr>
          <w:lang w:val="en-US"/>
        </w:rPr>
        <w:t>z</w:t>
      </w:r>
      <w:r w:rsidRPr="005A1F62">
        <w:t xml:space="preserve"> – балл</w:t>
      </w:r>
      <w:r w:rsidR="005106DB" w:rsidRPr="005A1F62">
        <w:t xml:space="preserve">; </w:t>
      </w:r>
      <w:r w:rsidRPr="005A1F62">
        <w:rPr>
          <w:lang w:val="en-US"/>
        </w:rPr>
        <w:t>x</w:t>
      </w:r>
      <w:r w:rsidRPr="005A1F62">
        <w:t xml:space="preserve"> – значение параметра</w:t>
      </w:r>
      <w:r w:rsidR="005106DB" w:rsidRPr="005A1F62">
        <w:t xml:space="preserve">; </w:t>
      </w:r>
      <w:r w:rsidRPr="005A1F62">
        <w:rPr>
          <w:lang w:val="en-US"/>
        </w:rPr>
        <w:t>a</w:t>
      </w:r>
      <w:r w:rsidRPr="005A1F62">
        <w:t xml:space="preserve"> – значение параметра, соответствующее минимальному баллу</w:t>
      </w:r>
      <w:r w:rsidR="005106DB" w:rsidRPr="005A1F62">
        <w:t xml:space="preserve">; </w:t>
      </w:r>
      <w:r w:rsidRPr="005A1F62">
        <w:rPr>
          <w:lang w:val="en-US"/>
        </w:rPr>
        <w:t>b</w:t>
      </w:r>
      <w:r w:rsidRPr="005A1F62">
        <w:t xml:space="preserve"> – значение параметра, соответствующее максимальному баллу</w:t>
      </w:r>
      <w:r w:rsidR="00AF5148" w:rsidRPr="005A1F62">
        <w:t>.</w:t>
      </w:r>
    </w:p>
    <w:p w14:paraId="62BF7A75" w14:textId="6C73308F" w:rsidR="00234152" w:rsidRPr="005A1F62" w:rsidRDefault="00234152" w:rsidP="00DC2FED">
      <w:pPr>
        <w:tabs>
          <w:tab w:val="left" w:pos="709"/>
        </w:tabs>
        <w:ind w:firstLine="567"/>
        <w:jc w:val="both"/>
      </w:pPr>
    </w:p>
    <w:p w14:paraId="66C9CCEB" w14:textId="77777777" w:rsidR="00234152" w:rsidRPr="005A1F62" w:rsidRDefault="00234152" w:rsidP="00DC2FED">
      <w:pPr>
        <w:tabs>
          <w:tab w:val="left" w:pos="709"/>
        </w:tabs>
        <w:ind w:firstLine="567"/>
        <w:jc w:val="both"/>
      </w:pPr>
      <w:r w:rsidRPr="005A1F62">
        <w:t>В случае нелинейной зависимости балла от значения параметра, имеющего положительн</w:t>
      </w:r>
      <w:r w:rsidR="00B03F53" w:rsidRPr="005A1F62">
        <w:t>ую корреляцию с баллом</w:t>
      </w:r>
      <w:r w:rsidRPr="005A1F62">
        <w:t>, балл определяется следующей формулой</w:t>
      </w:r>
      <w:r w:rsidR="00B03F53" w:rsidRPr="005A1F62">
        <w:t>:</w:t>
      </w:r>
    </w:p>
    <w:p w14:paraId="66C73B38" w14:textId="77777777" w:rsidR="00234152" w:rsidRPr="005A1F62" w:rsidRDefault="00234152" w:rsidP="00DC2FED">
      <w:pPr>
        <w:tabs>
          <w:tab w:val="left" w:pos="709"/>
        </w:tabs>
        <w:ind w:firstLine="567"/>
        <w:jc w:val="both"/>
        <w:rPr>
          <w:lang w:val="fr-FR"/>
        </w:rPr>
      </w:pPr>
      <w:r w:rsidRPr="005A1F62">
        <w:rPr>
          <w:lang w:val="fr-FR"/>
        </w:rPr>
        <w:t>z = 2 / (b – a)</w:t>
      </w:r>
      <w:r w:rsidRPr="005A1F62">
        <w:rPr>
          <w:vertAlign w:val="superscript"/>
          <w:lang w:val="fr-FR"/>
        </w:rPr>
        <w:t>t</w:t>
      </w:r>
      <w:r w:rsidRPr="005A1F62">
        <w:rPr>
          <w:lang w:val="fr-FR"/>
        </w:rPr>
        <w:t xml:space="preserve"> * (x – a)</w:t>
      </w:r>
      <w:r w:rsidRPr="005A1F62">
        <w:rPr>
          <w:vertAlign w:val="superscript"/>
          <w:lang w:val="fr-FR"/>
        </w:rPr>
        <w:t>t</w:t>
      </w:r>
      <w:r w:rsidRPr="005A1F62">
        <w:rPr>
          <w:lang w:val="fr-FR"/>
        </w:rPr>
        <w:t xml:space="preserve"> – 1, </w:t>
      </w:r>
      <w:r w:rsidRPr="005A1F62">
        <w:t>где</w:t>
      </w:r>
      <w:r w:rsidR="005106DB" w:rsidRPr="005A1F62">
        <w:rPr>
          <w:lang w:val="fr-FR"/>
        </w:rPr>
        <w:t>:</w:t>
      </w:r>
    </w:p>
    <w:p w14:paraId="0437CA1C" w14:textId="77777777" w:rsidR="00234152" w:rsidRPr="005A1F62" w:rsidRDefault="00234152" w:rsidP="00DC2FED">
      <w:pPr>
        <w:tabs>
          <w:tab w:val="left" w:pos="709"/>
        </w:tabs>
        <w:ind w:firstLine="567"/>
        <w:jc w:val="both"/>
      </w:pPr>
      <w:r w:rsidRPr="005A1F62">
        <w:rPr>
          <w:lang w:val="en-US"/>
        </w:rPr>
        <w:t>z</w:t>
      </w:r>
      <w:r w:rsidRPr="005A1F62">
        <w:t xml:space="preserve"> – балл</w:t>
      </w:r>
      <w:r w:rsidR="005106DB" w:rsidRPr="005A1F62">
        <w:t xml:space="preserve">; </w:t>
      </w:r>
      <w:r w:rsidRPr="005A1F62">
        <w:rPr>
          <w:lang w:val="en-US"/>
        </w:rPr>
        <w:t>x</w:t>
      </w:r>
      <w:r w:rsidRPr="005A1F62">
        <w:t xml:space="preserve"> – значение параметра</w:t>
      </w:r>
      <w:r w:rsidR="005106DB" w:rsidRPr="005A1F62">
        <w:t xml:space="preserve">; </w:t>
      </w:r>
      <w:r w:rsidRPr="005A1F62">
        <w:rPr>
          <w:lang w:val="en-US"/>
        </w:rPr>
        <w:t>a</w:t>
      </w:r>
      <w:r w:rsidRPr="005A1F62">
        <w:t xml:space="preserve"> – значение параметра, соответствующее минимальному баллу</w:t>
      </w:r>
      <w:r w:rsidR="005106DB" w:rsidRPr="005A1F62">
        <w:t>;</w:t>
      </w:r>
      <w:r w:rsidRPr="005A1F62">
        <w:t xml:space="preserve"> </w:t>
      </w:r>
      <w:r w:rsidRPr="005A1F62">
        <w:rPr>
          <w:lang w:val="en-US"/>
        </w:rPr>
        <w:t>b</w:t>
      </w:r>
      <w:r w:rsidRPr="005A1F62">
        <w:t xml:space="preserve"> – значение параметра, соот</w:t>
      </w:r>
      <w:r w:rsidR="00AF5148" w:rsidRPr="005A1F62">
        <w:t>ветствующее максимальному баллу</w:t>
      </w:r>
      <w:r w:rsidR="005106DB" w:rsidRPr="005A1F62">
        <w:t xml:space="preserve">; </w:t>
      </w:r>
      <w:r w:rsidR="00AF5148" w:rsidRPr="005A1F62">
        <w:rPr>
          <w:lang w:val="en-US"/>
        </w:rPr>
        <w:t>t</w:t>
      </w:r>
      <w:r w:rsidR="00AF5148" w:rsidRPr="005A1F62">
        <w:t xml:space="preserve"> – степень функции.</w:t>
      </w:r>
    </w:p>
    <w:p w14:paraId="6B5143D3" w14:textId="6BB14D1C" w:rsidR="00AF5148" w:rsidRPr="005A1F62" w:rsidRDefault="00AF5148" w:rsidP="00DC2FED">
      <w:pPr>
        <w:tabs>
          <w:tab w:val="left" w:pos="709"/>
        </w:tabs>
        <w:ind w:firstLine="567"/>
        <w:jc w:val="both"/>
      </w:pPr>
    </w:p>
    <w:p w14:paraId="27A3E393" w14:textId="77777777" w:rsidR="00AF5148" w:rsidRPr="005A1F62" w:rsidRDefault="00AF5148" w:rsidP="00DC2FED">
      <w:pPr>
        <w:tabs>
          <w:tab w:val="left" w:pos="709"/>
        </w:tabs>
        <w:ind w:firstLine="567"/>
        <w:jc w:val="both"/>
      </w:pPr>
      <w:r w:rsidRPr="005A1F62">
        <w:t xml:space="preserve">В случае нелинейной зависимости балла от значения параметра, имеющего </w:t>
      </w:r>
      <w:r w:rsidR="00B03F53" w:rsidRPr="005A1F62">
        <w:t>отрицательную корреляцию с баллом</w:t>
      </w:r>
      <w:r w:rsidRPr="005A1F62">
        <w:t>, балл определяется следующей формулой</w:t>
      </w:r>
      <w:r w:rsidR="00B03F53" w:rsidRPr="005A1F62">
        <w:t>:</w:t>
      </w:r>
    </w:p>
    <w:p w14:paraId="555E43DC" w14:textId="77777777" w:rsidR="00AF5148" w:rsidRPr="005A1F62" w:rsidRDefault="00AF5148" w:rsidP="00DC2FED">
      <w:pPr>
        <w:tabs>
          <w:tab w:val="left" w:pos="709"/>
        </w:tabs>
        <w:ind w:firstLine="567"/>
        <w:jc w:val="both"/>
        <w:rPr>
          <w:lang w:val="fr-FR"/>
        </w:rPr>
      </w:pPr>
      <w:r w:rsidRPr="005A1F62">
        <w:rPr>
          <w:lang w:val="fr-FR"/>
        </w:rPr>
        <w:t>z = 2 / (a – b)</w:t>
      </w:r>
      <w:r w:rsidRPr="005A1F62">
        <w:rPr>
          <w:vertAlign w:val="superscript"/>
          <w:lang w:val="fr-FR"/>
        </w:rPr>
        <w:t>t</w:t>
      </w:r>
      <w:r w:rsidRPr="005A1F62">
        <w:rPr>
          <w:lang w:val="fr-FR"/>
        </w:rPr>
        <w:t xml:space="preserve"> * (a – x)</w:t>
      </w:r>
      <w:r w:rsidRPr="005A1F62">
        <w:rPr>
          <w:vertAlign w:val="superscript"/>
          <w:lang w:val="fr-FR"/>
        </w:rPr>
        <w:t>t</w:t>
      </w:r>
      <w:r w:rsidRPr="005A1F62">
        <w:rPr>
          <w:lang w:val="fr-FR"/>
        </w:rPr>
        <w:t xml:space="preserve"> – 1, </w:t>
      </w:r>
      <w:r w:rsidRPr="005A1F62">
        <w:t>где</w:t>
      </w:r>
      <w:r w:rsidR="005106DB" w:rsidRPr="005A1F62">
        <w:rPr>
          <w:lang w:val="fr-FR"/>
        </w:rPr>
        <w:t>:</w:t>
      </w:r>
    </w:p>
    <w:p w14:paraId="1C5E3760" w14:textId="77777777" w:rsidR="00AF5148" w:rsidRPr="005A1F62" w:rsidRDefault="00AF5148" w:rsidP="00DC2FED">
      <w:pPr>
        <w:tabs>
          <w:tab w:val="left" w:pos="709"/>
        </w:tabs>
        <w:ind w:firstLine="567"/>
        <w:jc w:val="both"/>
      </w:pPr>
      <w:r w:rsidRPr="005A1F62">
        <w:rPr>
          <w:lang w:val="en-US"/>
        </w:rPr>
        <w:t>z</w:t>
      </w:r>
      <w:r w:rsidRPr="005A1F62">
        <w:t xml:space="preserve"> – балл</w:t>
      </w:r>
      <w:r w:rsidR="005106DB" w:rsidRPr="005A1F62">
        <w:t xml:space="preserve">; </w:t>
      </w:r>
      <w:r w:rsidRPr="005A1F62">
        <w:rPr>
          <w:lang w:val="en-US"/>
        </w:rPr>
        <w:t>x</w:t>
      </w:r>
      <w:r w:rsidRPr="005A1F62">
        <w:t xml:space="preserve"> – значение параметра</w:t>
      </w:r>
      <w:r w:rsidR="005106DB" w:rsidRPr="005A1F62">
        <w:t xml:space="preserve">; </w:t>
      </w:r>
      <w:r w:rsidRPr="005A1F62">
        <w:rPr>
          <w:lang w:val="en-US"/>
        </w:rPr>
        <w:t>a</w:t>
      </w:r>
      <w:r w:rsidRPr="005A1F62">
        <w:t xml:space="preserve"> – значение параметра, соответствующее минимальному баллу</w:t>
      </w:r>
      <w:r w:rsidR="005106DB" w:rsidRPr="005A1F62">
        <w:t xml:space="preserve">; </w:t>
      </w:r>
      <w:r w:rsidRPr="005A1F62">
        <w:rPr>
          <w:lang w:val="en-US"/>
        </w:rPr>
        <w:t>b</w:t>
      </w:r>
      <w:r w:rsidRPr="005A1F62">
        <w:t xml:space="preserve"> – значение параметра, соответствующее максимальному баллу</w:t>
      </w:r>
      <w:r w:rsidR="005106DB" w:rsidRPr="005A1F62">
        <w:t xml:space="preserve">; </w:t>
      </w:r>
      <w:r w:rsidRPr="005A1F62">
        <w:rPr>
          <w:lang w:val="en-US"/>
        </w:rPr>
        <w:t>t</w:t>
      </w:r>
      <w:r w:rsidRPr="005A1F62">
        <w:t xml:space="preserve"> – степень функции.</w:t>
      </w:r>
    </w:p>
    <w:p w14:paraId="657F194B" w14:textId="18A58A63" w:rsidR="00183261" w:rsidRPr="005A1F62" w:rsidRDefault="00183261" w:rsidP="00DC2FED">
      <w:pPr>
        <w:tabs>
          <w:tab w:val="left" w:pos="709"/>
        </w:tabs>
        <w:ind w:firstLine="567"/>
        <w:jc w:val="both"/>
      </w:pPr>
    </w:p>
    <w:p w14:paraId="57FA2DA8" w14:textId="13CC3898" w:rsidR="00183261" w:rsidRPr="005A1F62" w:rsidRDefault="00183261" w:rsidP="00DC2FED">
      <w:pPr>
        <w:tabs>
          <w:tab w:val="left" w:pos="709"/>
        </w:tabs>
        <w:ind w:firstLine="567"/>
        <w:jc w:val="both"/>
      </w:pPr>
      <w:r w:rsidRPr="005A1F62">
        <w:t>Во всех приведенных ниже параметрах используется линейная зависимость балла от параметра, кроме достаточности капитала, величины максимального кредитного риска на одного заемщика к капиталу за вычетом резервов</w:t>
      </w:r>
      <w:r w:rsidR="00855062" w:rsidRPr="005A1F62">
        <w:t>,</w:t>
      </w:r>
      <w:r w:rsidRPr="005A1F62">
        <w:t xml:space="preserve"> всех показателей ликвидности и валютных рисков.</w:t>
      </w:r>
    </w:p>
    <w:p w14:paraId="33B676F3" w14:textId="77777777" w:rsidR="003E38FC" w:rsidRPr="005A1F62" w:rsidRDefault="003E38FC" w:rsidP="00DC2FED">
      <w:pPr>
        <w:tabs>
          <w:tab w:val="left" w:pos="709"/>
        </w:tabs>
        <w:ind w:firstLine="567"/>
        <w:jc w:val="center"/>
        <w:rPr>
          <w:sz w:val="20"/>
          <w:szCs w:val="20"/>
        </w:rPr>
      </w:pPr>
    </w:p>
    <w:p w14:paraId="6C2CC67F" w14:textId="2C6C5592" w:rsidR="00C05E40" w:rsidRPr="005A1F62" w:rsidRDefault="00BF7C1B" w:rsidP="003C5D28">
      <w:pPr>
        <w:pStyle w:val="afb"/>
        <w:numPr>
          <w:ilvl w:val="0"/>
          <w:numId w:val="21"/>
        </w:numPr>
        <w:tabs>
          <w:tab w:val="left" w:pos="709"/>
        </w:tabs>
        <w:ind w:left="0" w:firstLine="567"/>
        <w:rPr>
          <w:bCs/>
        </w:rPr>
      </w:pPr>
      <w:r w:rsidRPr="005A1F62">
        <w:rPr>
          <w:bCs/>
        </w:rPr>
        <w:t>СПЕЦИАЛИЗАЦИЯ И КЭПТИВНОСТЬ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98"/>
        <w:gridCol w:w="1701"/>
        <w:gridCol w:w="1277"/>
        <w:gridCol w:w="1269"/>
      </w:tblGrid>
      <w:tr w:rsidR="00023580" w:rsidRPr="005A1F62" w14:paraId="713C1203" w14:textId="77777777" w:rsidTr="00023580">
        <w:trPr>
          <w:trHeight w:val="20"/>
        </w:trPr>
        <w:tc>
          <w:tcPr>
            <w:tcW w:w="2728" w:type="pct"/>
            <w:vMerge w:val="restart"/>
            <w:shd w:val="clear" w:color="auto" w:fill="D9D9D9" w:themeFill="background1" w:themeFillShade="D9"/>
            <w:vAlign w:val="center"/>
          </w:tcPr>
          <w:p w14:paraId="60E573FF" w14:textId="35E54696" w:rsidR="00023580" w:rsidRPr="005A1F62" w:rsidRDefault="00023580" w:rsidP="00646694">
            <w:pPr>
              <w:tabs>
                <w:tab w:val="left" w:pos="709"/>
              </w:tabs>
              <w:rPr>
                <w:bCs/>
              </w:rPr>
            </w:pPr>
            <w:r w:rsidRPr="005A1F62">
              <w:rPr>
                <w:bCs/>
              </w:rPr>
              <w:t>Показатель</w:t>
            </w:r>
          </w:p>
        </w:tc>
        <w:tc>
          <w:tcPr>
            <w:tcW w:w="910" w:type="pct"/>
            <w:vMerge w:val="restart"/>
            <w:shd w:val="clear" w:color="auto" w:fill="D9D9D9" w:themeFill="background1" w:themeFillShade="D9"/>
            <w:noWrap/>
            <w:vAlign w:val="center"/>
          </w:tcPr>
          <w:p w14:paraId="5D9FDDC5" w14:textId="798D0820" w:rsidR="00023580" w:rsidRPr="005A1F62" w:rsidRDefault="00023580" w:rsidP="00646694">
            <w:pPr>
              <w:tabs>
                <w:tab w:val="left" w:pos="709"/>
              </w:tabs>
              <w:jc w:val="center"/>
            </w:pPr>
            <w:r w:rsidRPr="005A1F62">
              <w:t>Определение оценки</w:t>
            </w:r>
          </w:p>
        </w:tc>
        <w:tc>
          <w:tcPr>
            <w:tcW w:w="683" w:type="pct"/>
            <w:shd w:val="clear" w:color="auto" w:fill="D9D9D9" w:themeFill="background1" w:themeFillShade="D9"/>
            <w:noWrap/>
            <w:vAlign w:val="center"/>
          </w:tcPr>
          <w:p w14:paraId="590BAA21" w14:textId="014D7444" w:rsidR="00023580" w:rsidRPr="005A1F62" w:rsidRDefault="00023580" w:rsidP="00023580">
            <w:pPr>
              <w:tabs>
                <w:tab w:val="left" w:pos="709"/>
              </w:tabs>
              <w:jc w:val="center"/>
            </w:pPr>
            <w:r w:rsidRPr="005A1F62">
              <w:t xml:space="preserve">-1 </w:t>
            </w:r>
          </w:p>
        </w:tc>
        <w:tc>
          <w:tcPr>
            <w:tcW w:w="679" w:type="pct"/>
            <w:shd w:val="clear" w:color="auto" w:fill="D9D9D9" w:themeFill="background1" w:themeFillShade="D9"/>
            <w:noWrap/>
            <w:vAlign w:val="center"/>
          </w:tcPr>
          <w:p w14:paraId="2F8A8C7B" w14:textId="13721392" w:rsidR="00023580" w:rsidRPr="005A1F62" w:rsidRDefault="00023580" w:rsidP="00023580">
            <w:pPr>
              <w:tabs>
                <w:tab w:val="left" w:pos="709"/>
              </w:tabs>
              <w:jc w:val="center"/>
            </w:pPr>
            <w:r w:rsidRPr="005A1F62">
              <w:t xml:space="preserve">+1 </w:t>
            </w:r>
          </w:p>
        </w:tc>
      </w:tr>
      <w:tr w:rsidR="00023580" w:rsidRPr="005A1F62" w14:paraId="3193F95E" w14:textId="77777777" w:rsidTr="00023580">
        <w:trPr>
          <w:trHeight w:val="20"/>
        </w:trPr>
        <w:tc>
          <w:tcPr>
            <w:tcW w:w="2728" w:type="pct"/>
            <w:vMerge/>
            <w:shd w:val="clear" w:color="auto" w:fill="D9D9D9" w:themeFill="background1" w:themeFillShade="D9"/>
            <w:vAlign w:val="center"/>
            <w:hideMark/>
          </w:tcPr>
          <w:p w14:paraId="0387E302" w14:textId="135B7006" w:rsidR="00023580" w:rsidRPr="005A1F62" w:rsidRDefault="00023580" w:rsidP="00646694">
            <w:pPr>
              <w:tabs>
                <w:tab w:val="left" w:pos="709"/>
              </w:tabs>
              <w:rPr>
                <w:bCs/>
              </w:rPr>
            </w:pPr>
          </w:p>
        </w:tc>
        <w:tc>
          <w:tcPr>
            <w:tcW w:w="910" w:type="pct"/>
            <w:vMerge/>
            <w:shd w:val="clear" w:color="auto" w:fill="D9D9D9" w:themeFill="background1" w:themeFillShade="D9"/>
            <w:noWrap/>
            <w:vAlign w:val="center"/>
            <w:hideMark/>
          </w:tcPr>
          <w:p w14:paraId="0F1C80B9" w14:textId="2B1902CC" w:rsidR="00023580" w:rsidRPr="005A1F62" w:rsidRDefault="00023580" w:rsidP="00646694">
            <w:pPr>
              <w:tabs>
                <w:tab w:val="left" w:pos="709"/>
              </w:tabs>
              <w:jc w:val="center"/>
            </w:pPr>
          </w:p>
        </w:tc>
        <w:tc>
          <w:tcPr>
            <w:tcW w:w="683" w:type="pct"/>
            <w:shd w:val="clear" w:color="auto" w:fill="D9D9D9" w:themeFill="background1" w:themeFillShade="D9"/>
            <w:noWrap/>
            <w:vAlign w:val="center"/>
            <w:hideMark/>
          </w:tcPr>
          <w:p w14:paraId="5382E723" w14:textId="245B7D15" w:rsidR="00023580" w:rsidRPr="005A1F62" w:rsidRDefault="00023580" w:rsidP="00646694">
            <w:pPr>
              <w:tabs>
                <w:tab w:val="left" w:pos="709"/>
              </w:tabs>
              <w:jc w:val="center"/>
            </w:pPr>
            <w:r w:rsidRPr="005A1F62">
              <w:t>не менее</w:t>
            </w:r>
          </w:p>
        </w:tc>
        <w:tc>
          <w:tcPr>
            <w:tcW w:w="679" w:type="pct"/>
            <w:shd w:val="clear" w:color="auto" w:fill="D9D9D9" w:themeFill="background1" w:themeFillShade="D9"/>
            <w:noWrap/>
            <w:vAlign w:val="center"/>
            <w:hideMark/>
          </w:tcPr>
          <w:p w14:paraId="5FEA10D1" w14:textId="5E31D2CA" w:rsidR="00023580" w:rsidRPr="005A1F62" w:rsidRDefault="00023580" w:rsidP="00646694">
            <w:pPr>
              <w:tabs>
                <w:tab w:val="left" w:pos="709"/>
              </w:tabs>
              <w:jc w:val="center"/>
            </w:pPr>
            <w:r w:rsidRPr="005A1F62">
              <w:t>не более</w:t>
            </w:r>
          </w:p>
        </w:tc>
      </w:tr>
      <w:tr w:rsidR="00646694" w:rsidRPr="005A1F62" w14:paraId="70266E28" w14:textId="77777777" w:rsidTr="00891DE1">
        <w:trPr>
          <w:trHeight w:val="20"/>
        </w:trPr>
        <w:tc>
          <w:tcPr>
            <w:tcW w:w="2728" w:type="pct"/>
            <w:shd w:val="clear" w:color="auto" w:fill="FFFFFF" w:themeFill="background1"/>
            <w:vAlign w:val="bottom"/>
          </w:tcPr>
          <w:p w14:paraId="5EADC26A" w14:textId="37CBF452" w:rsidR="00C05E40" w:rsidRPr="005A1F62" w:rsidRDefault="00C05E40" w:rsidP="00023580">
            <w:pPr>
              <w:tabs>
                <w:tab w:val="left" w:pos="709"/>
              </w:tabs>
              <w:jc w:val="both"/>
            </w:pPr>
            <w:r w:rsidRPr="005A1F62">
              <w:t>Индекс Херфиндаля – Х</w:t>
            </w:r>
            <w:r w:rsidR="00BF5DBD" w:rsidRPr="005A1F62">
              <w:t>иршмана, рассчитанный по активам или по доходам (выбор на основе экспертного суждения)</w:t>
            </w:r>
          </w:p>
        </w:tc>
        <w:tc>
          <w:tcPr>
            <w:tcW w:w="910" w:type="pct"/>
            <w:vMerge w:val="restart"/>
            <w:shd w:val="clear" w:color="auto" w:fill="FFFFFF" w:themeFill="background1"/>
            <w:noWrap/>
            <w:vAlign w:val="center"/>
          </w:tcPr>
          <w:p w14:paraId="4B0851FF" w14:textId="43245239" w:rsidR="00C82AA9" w:rsidRPr="005A1F62" w:rsidRDefault="00C05E40" w:rsidP="00646694">
            <w:pPr>
              <w:tabs>
                <w:tab w:val="left" w:pos="709"/>
              </w:tabs>
              <w:jc w:val="center"/>
            </w:pPr>
            <w:r w:rsidRPr="005A1F62">
              <w:t>Мин</w:t>
            </w:r>
          </w:p>
        </w:tc>
        <w:tc>
          <w:tcPr>
            <w:tcW w:w="683" w:type="pct"/>
            <w:shd w:val="clear" w:color="auto" w:fill="FFFFFF" w:themeFill="background1"/>
            <w:noWrap/>
            <w:vAlign w:val="center"/>
          </w:tcPr>
          <w:p w14:paraId="193E7649" w14:textId="77777777" w:rsidR="00C05E40" w:rsidRPr="005A1F62" w:rsidRDefault="00C05E40" w:rsidP="00646694">
            <w:pPr>
              <w:tabs>
                <w:tab w:val="left" w:pos="709"/>
              </w:tabs>
              <w:jc w:val="center"/>
            </w:pPr>
            <w:r w:rsidRPr="005A1F62">
              <w:t>0,5</w:t>
            </w:r>
          </w:p>
        </w:tc>
        <w:tc>
          <w:tcPr>
            <w:tcW w:w="679" w:type="pct"/>
            <w:shd w:val="clear" w:color="auto" w:fill="FFFFFF" w:themeFill="background1"/>
            <w:noWrap/>
            <w:vAlign w:val="center"/>
          </w:tcPr>
          <w:p w14:paraId="0C4C8F69" w14:textId="77777777" w:rsidR="00C05E40" w:rsidRPr="005A1F62" w:rsidRDefault="00C05E40" w:rsidP="00646694">
            <w:pPr>
              <w:tabs>
                <w:tab w:val="left" w:pos="709"/>
              </w:tabs>
              <w:jc w:val="center"/>
            </w:pPr>
            <w:r w:rsidRPr="005A1F62">
              <w:t>0,3</w:t>
            </w:r>
          </w:p>
        </w:tc>
      </w:tr>
      <w:tr w:rsidR="00646694" w:rsidRPr="005A1F62" w14:paraId="2F3E324F" w14:textId="77777777" w:rsidTr="00891DE1">
        <w:trPr>
          <w:trHeight w:val="20"/>
        </w:trPr>
        <w:tc>
          <w:tcPr>
            <w:tcW w:w="2728" w:type="pct"/>
            <w:shd w:val="clear" w:color="auto" w:fill="FFFFFF" w:themeFill="background1"/>
            <w:vAlign w:val="bottom"/>
          </w:tcPr>
          <w:p w14:paraId="4EA914AA" w14:textId="77777777" w:rsidR="00C05E40" w:rsidRPr="005A1F62" w:rsidRDefault="00C05E40" w:rsidP="00023580">
            <w:pPr>
              <w:tabs>
                <w:tab w:val="left" w:pos="709"/>
              </w:tabs>
              <w:jc w:val="both"/>
            </w:pPr>
            <w:r w:rsidRPr="005A1F62">
              <w:t>Отношение кредитных рисков, приходящихся на связанных с банком лиц, к регулятивному капиталу, %</w:t>
            </w:r>
          </w:p>
        </w:tc>
        <w:tc>
          <w:tcPr>
            <w:tcW w:w="910" w:type="pct"/>
            <w:vMerge/>
            <w:shd w:val="clear" w:color="auto" w:fill="FFFFFF" w:themeFill="background1"/>
            <w:vAlign w:val="center"/>
          </w:tcPr>
          <w:p w14:paraId="478A9AD2" w14:textId="77777777" w:rsidR="00C05E40" w:rsidRPr="005A1F62" w:rsidRDefault="00C05E40" w:rsidP="00646694">
            <w:pPr>
              <w:tabs>
                <w:tab w:val="left" w:pos="709"/>
              </w:tabs>
              <w:jc w:val="center"/>
            </w:pPr>
          </w:p>
        </w:tc>
        <w:tc>
          <w:tcPr>
            <w:tcW w:w="683" w:type="pct"/>
            <w:shd w:val="clear" w:color="auto" w:fill="FFFFFF" w:themeFill="background1"/>
            <w:noWrap/>
            <w:vAlign w:val="center"/>
          </w:tcPr>
          <w:p w14:paraId="2B6234B2" w14:textId="77777777" w:rsidR="00C05E40" w:rsidRPr="005A1F62" w:rsidRDefault="00C05E40" w:rsidP="00646694">
            <w:pPr>
              <w:tabs>
                <w:tab w:val="left" w:pos="709"/>
              </w:tabs>
              <w:jc w:val="center"/>
            </w:pPr>
            <w:r w:rsidRPr="005A1F62">
              <w:t>100</w:t>
            </w:r>
          </w:p>
        </w:tc>
        <w:tc>
          <w:tcPr>
            <w:tcW w:w="679" w:type="pct"/>
            <w:shd w:val="clear" w:color="auto" w:fill="FFFFFF" w:themeFill="background1"/>
            <w:vAlign w:val="center"/>
          </w:tcPr>
          <w:p w14:paraId="718C524C" w14:textId="77777777" w:rsidR="00C05E40" w:rsidRPr="005A1F62" w:rsidRDefault="00C05E40" w:rsidP="00646694">
            <w:pPr>
              <w:tabs>
                <w:tab w:val="left" w:pos="709"/>
              </w:tabs>
              <w:jc w:val="center"/>
            </w:pPr>
            <w:r w:rsidRPr="005A1F62">
              <w:t>15</w:t>
            </w:r>
          </w:p>
        </w:tc>
      </w:tr>
    </w:tbl>
    <w:p w14:paraId="3BD9A323" w14:textId="77777777" w:rsidR="00482CEA" w:rsidRPr="005A1F62" w:rsidRDefault="00482CEA" w:rsidP="00C24C02">
      <w:pPr>
        <w:tabs>
          <w:tab w:val="left" w:pos="709"/>
        </w:tabs>
        <w:rPr>
          <w:b/>
          <w:bCs/>
          <w:sz w:val="20"/>
          <w:szCs w:val="20"/>
        </w:rPr>
      </w:pPr>
    </w:p>
    <w:p w14:paraId="36CE22D9" w14:textId="48DB04FC" w:rsidR="003E38FC" w:rsidRPr="005A1F62" w:rsidRDefault="003E38FC" w:rsidP="003C5D28">
      <w:pPr>
        <w:pStyle w:val="afb"/>
        <w:numPr>
          <w:ilvl w:val="0"/>
          <w:numId w:val="21"/>
        </w:numPr>
        <w:tabs>
          <w:tab w:val="left" w:pos="709"/>
        </w:tabs>
        <w:ind w:left="0" w:firstLine="567"/>
        <w:rPr>
          <w:bCs/>
        </w:rPr>
      </w:pPr>
      <w:r w:rsidRPr="005A1F62">
        <w:rPr>
          <w:bCs/>
        </w:rPr>
        <w:t>ДОСТАТОЧНОСТЬ КАПИТАЛА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8"/>
        <w:gridCol w:w="1701"/>
        <w:gridCol w:w="1277"/>
        <w:gridCol w:w="1269"/>
      </w:tblGrid>
      <w:tr w:rsidR="00023580" w:rsidRPr="005A1F62" w14:paraId="78FBC20B" w14:textId="77777777" w:rsidTr="00023580">
        <w:trPr>
          <w:trHeight w:val="20"/>
        </w:trPr>
        <w:tc>
          <w:tcPr>
            <w:tcW w:w="5000" w:type="pct"/>
            <w:gridSpan w:val="4"/>
            <w:shd w:val="clear" w:color="auto" w:fill="D9D9D9" w:themeFill="background1" w:themeFillShade="D9"/>
            <w:vAlign w:val="bottom"/>
            <w:hideMark/>
          </w:tcPr>
          <w:p w14:paraId="4A96099E" w14:textId="44FDC564" w:rsidR="00023580" w:rsidRPr="005A1F62" w:rsidRDefault="00023580" w:rsidP="00023580">
            <w:pPr>
              <w:tabs>
                <w:tab w:val="left" w:pos="709"/>
              </w:tabs>
              <w:jc w:val="center"/>
            </w:pPr>
            <w:r w:rsidRPr="005A1F62">
              <w:rPr>
                <w:bCs/>
              </w:rPr>
              <w:t>СИСТЕМНО ЗНАЧИМЫЙ БАНК</w:t>
            </w:r>
          </w:p>
        </w:tc>
      </w:tr>
      <w:tr w:rsidR="00023580" w:rsidRPr="005A1F62" w14:paraId="15765480" w14:textId="77777777" w:rsidTr="00023580">
        <w:trPr>
          <w:trHeight w:val="20"/>
        </w:trPr>
        <w:tc>
          <w:tcPr>
            <w:tcW w:w="2728" w:type="pct"/>
            <w:vMerge w:val="restart"/>
            <w:shd w:val="clear" w:color="auto" w:fill="D9D9D9" w:themeFill="background1" w:themeFillShade="D9"/>
            <w:vAlign w:val="center"/>
            <w:hideMark/>
          </w:tcPr>
          <w:p w14:paraId="6D50236B" w14:textId="4487D9E0" w:rsidR="00023580" w:rsidRPr="005A1F62" w:rsidRDefault="00023580" w:rsidP="00023580">
            <w:pPr>
              <w:tabs>
                <w:tab w:val="left" w:pos="709"/>
              </w:tabs>
            </w:pPr>
            <w:r w:rsidRPr="005A1F62">
              <w:t> </w:t>
            </w:r>
            <w:r w:rsidRPr="005A1F62">
              <w:rPr>
                <w:bCs/>
              </w:rPr>
              <w:t>Показатель</w:t>
            </w:r>
          </w:p>
        </w:tc>
        <w:tc>
          <w:tcPr>
            <w:tcW w:w="910" w:type="pct"/>
            <w:vMerge w:val="restart"/>
            <w:shd w:val="clear" w:color="auto" w:fill="D9D9D9" w:themeFill="background1" w:themeFillShade="D9"/>
            <w:noWrap/>
            <w:vAlign w:val="center"/>
            <w:hideMark/>
          </w:tcPr>
          <w:p w14:paraId="366BB0CA" w14:textId="1492CA63" w:rsidR="00023580" w:rsidRPr="005A1F62" w:rsidRDefault="00023580" w:rsidP="00023580">
            <w:pPr>
              <w:tabs>
                <w:tab w:val="left" w:pos="709"/>
              </w:tabs>
              <w:jc w:val="center"/>
            </w:pPr>
            <w:r w:rsidRPr="005A1F62">
              <w:rPr>
                <w:bCs/>
              </w:rPr>
              <w:t>Вес, %</w:t>
            </w:r>
          </w:p>
        </w:tc>
        <w:tc>
          <w:tcPr>
            <w:tcW w:w="683" w:type="pct"/>
            <w:shd w:val="clear" w:color="auto" w:fill="D9D9D9" w:themeFill="background1" w:themeFillShade="D9"/>
            <w:noWrap/>
            <w:vAlign w:val="bottom"/>
            <w:hideMark/>
          </w:tcPr>
          <w:p w14:paraId="5C6A0508" w14:textId="36EEF032" w:rsidR="00023580" w:rsidRPr="005A1F62" w:rsidRDefault="00023580" w:rsidP="00DC2FED">
            <w:pPr>
              <w:tabs>
                <w:tab w:val="left" w:pos="709"/>
              </w:tabs>
              <w:jc w:val="center"/>
              <w:rPr>
                <w:bCs/>
              </w:rPr>
            </w:pPr>
            <w:r w:rsidRPr="005A1F62">
              <w:rPr>
                <w:bCs/>
              </w:rPr>
              <w:t xml:space="preserve">-1 </w:t>
            </w:r>
          </w:p>
        </w:tc>
        <w:tc>
          <w:tcPr>
            <w:tcW w:w="679" w:type="pct"/>
            <w:shd w:val="clear" w:color="auto" w:fill="D9D9D9" w:themeFill="background1" w:themeFillShade="D9"/>
            <w:noWrap/>
            <w:vAlign w:val="bottom"/>
            <w:hideMark/>
          </w:tcPr>
          <w:p w14:paraId="6A4FE0F7" w14:textId="77777777" w:rsidR="00023580" w:rsidRPr="005A1F62" w:rsidRDefault="00023580" w:rsidP="00DC2FED">
            <w:pPr>
              <w:tabs>
                <w:tab w:val="left" w:pos="709"/>
              </w:tabs>
              <w:jc w:val="center"/>
              <w:rPr>
                <w:bCs/>
              </w:rPr>
            </w:pPr>
            <w:r w:rsidRPr="005A1F62">
              <w:rPr>
                <w:bCs/>
              </w:rPr>
              <w:t>1</w:t>
            </w:r>
          </w:p>
        </w:tc>
      </w:tr>
      <w:tr w:rsidR="00023580" w:rsidRPr="005A1F62" w14:paraId="0C03758C" w14:textId="77777777" w:rsidTr="00023580">
        <w:trPr>
          <w:trHeight w:val="20"/>
        </w:trPr>
        <w:tc>
          <w:tcPr>
            <w:tcW w:w="2728" w:type="pct"/>
            <w:vMerge/>
            <w:shd w:val="clear" w:color="auto" w:fill="D9D9D9" w:themeFill="background1" w:themeFillShade="D9"/>
            <w:vAlign w:val="bottom"/>
          </w:tcPr>
          <w:p w14:paraId="6468FC6A" w14:textId="77777777" w:rsidR="00023580" w:rsidRPr="005A1F62" w:rsidRDefault="00023580" w:rsidP="00023580">
            <w:pPr>
              <w:tabs>
                <w:tab w:val="left" w:pos="709"/>
              </w:tabs>
            </w:pPr>
          </w:p>
        </w:tc>
        <w:tc>
          <w:tcPr>
            <w:tcW w:w="910" w:type="pct"/>
            <w:vMerge/>
            <w:shd w:val="clear" w:color="auto" w:fill="D9D9D9" w:themeFill="background1" w:themeFillShade="D9"/>
            <w:noWrap/>
            <w:vAlign w:val="bottom"/>
          </w:tcPr>
          <w:p w14:paraId="2AA868F1" w14:textId="77777777" w:rsidR="00023580" w:rsidRPr="005A1F62" w:rsidRDefault="00023580" w:rsidP="00023580">
            <w:pPr>
              <w:tabs>
                <w:tab w:val="left" w:pos="709"/>
              </w:tabs>
              <w:jc w:val="center"/>
              <w:rPr>
                <w:bCs/>
              </w:rPr>
            </w:pPr>
          </w:p>
        </w:tc>
        <w:tc>
          <w:tcPr>
            <w:tcW w:w="683" w:type="pct"/>
            <w:shd w:val="clear" w:color="auto" w:fill="D9D9D9" w:themeFill="background1" w:themeFillShade="D9"/>
            <w:noWrap/>
            <w:vAlign w:val="center"/>
          </w:tcPr>
          <w:p w14:paraId="19CEB7C0" w14:textId="0EA8BEB6" w:rsidR="00023580" w:rsidRPr="005A1F62" w:rsidRDefault="00023580" w:rsidP="00023580">
            <w:pPr>
              <w:tabs>
                <w:tab w:val="left" w:pos="709"/>
              </w:tabs>
              <w:jc w:val="center"/>
              <w:rPr>
                <w:bCs/>
              </w:rPr>
            </w:pPr>
            <w:r w:rsidRPr="005A1F62">
              <w:t>не более</w:t>
            </w:r>
          </w:p>
        </w:tc>
        <w:tc>
          <w:tcPr>
            <w:tcW w:w="679" w:type="pct"/>
            <w:shd w:val="clear" w:color="auto" w:fill="D9D9D9" w:themeFill="background1" w:themeFillShade="D9"/>
            <w:noWrap/>
            <w:vAlign w:val="center"/>
          </w:tcPr>
          <w:p w14:paraId="2A6BFE31" w14:textId="4893EDC4" w:rsidR="00023580" w:rsidRPr="005A1F62" w:rsidRDefault="00023580" w:rsidP="00023580">
            <w:pPr>
              <w:tabs>
                <w:tab w:val="left" w:pos="709"/>
              </w:tabs>
              <w:jc w:val="center"/>
              <w:rPr>
                <w:bCs/>
              </w:rPr>
            </w:pPr>
            <w:r w:rsidRPr="005A1F62">
              <w:t>не менее</w:t>
            </w:r>
          </w:p>
        </w:tc>
      </w:tr>
      <w:tr w:rsidR="00023580" w:rsidRPr="005A1F62" w14:paraId="79B43285" w14:textId="77777777" w:rsidTr="00023580">
        <w:trPr>
          <w:trHeight w:val="20"/>
        </w:trPr>
        <w:tc>
          <w:tcPr>
            <w:tcW w:w="2728" w:type="pct"/>
            <w:shd w:val="clear" w:color="auto" w:fill="FFFFFF" w:themeFill="background1"/>
            <w:vAlign w:val="bottom"/>
            <w:hideMark/>
          </w:tcPr>
          <w:p w14:paraId="4D59AAF8" w14:textId="77777777" w:rsidR="00023580" w:rsidRPr="005A1F62" w:rsidRDefault="00023580" w:rsidP="00023580">
            <w:pPr>
              <w:tabs>
                <w:tab w:val="left" w:pos="709"/>
              </w:tabs>
            </w:pPr>
            <w:r w:rsidRPr="005A1F62">
              <w:t>Достаточность капитала (Н1.0), %</w:t>
            </w:r>
          </w:p>
        </w:tc>
        <w:tc>
          <w:tcPr>
            <w:tcW w:w="910" w:type="pct"/>
            <w:shd w:val="clear" w:color="auto" w:fill="FFFFFF" w:themeFill="background1"/>
            <w:noWrap/>
            <w:vAlign w:val="bottom"/>
          </w:tcPr>
          <w:p w14:paraId="0400D23A" w14:textId="447A1CD6" w:rsidR="00023580" w:rsidRPr="005A1F62" w:rsidRDefault="00023580" w:rsidP="00023580">
            <w:pPr>
              <w:tabs>
                <w:tab w:val="left" w:pos="709"/>
              </w:tabs>
              <w:jc w:val="center"/>
            </w:pPr>
            <w:r w:rsidRPr="005A1F62">
              <w:t>30</w:t>
            </w:r>
          </w:p>
        </w:tc>
        <w:tc>
          <w:tcPr>
            <w:tcW w:w="683" w:type="pct"/>
            <w:shd w:val="clear" w:color="auto" w:fill="FFFFFF" w:themeFill="background1"/>
            <w:noWrap/>
            <w:vAlign w:val="bottom"/>
          </w:tcPr>
          <w:p w14:paraId="2E8D9E4A" w14:textId="77777777" w:rsidR="00023580" w:rsidRPr="005A1F62" w:rsidRDefault="00023580" w:rsidP="00023580">
            <w:pPr>
              <w:tabs>
                <w:tab w:val="left" w:pos="709"/>
              </w:tabs>
              <w:jc w:val="center"/>
              <w:rPr>
                <w:lang w:val="en-US"/>
              </w:rPr>
            </w:pPr>
            <w:r w:rsidRPr="005A1F62">
              <w:rPr>
                <w:lang w:val="en-US"/>
              </w:rPr>
              <w:t>9,5</w:t>
            </w:r>
          </w:p>
        </w:tc>
        <w:tc>
          <w:tcPr>
            <w:tcW w:w="679" w:type="pct"/>
            <w:shd w:val="clear" w:color="auto" w:fill="FFFFFF" w:themeFill="background1"/>
            <w:noWrap/>
            <w:vAlign w:val="bottom"/>
          </w:tcPr>
          <w:p w14:paraId="09FE3E99" w14:textId="77777777" w:rsidR="00023580" w:rsidRPr="005A1F62" w:rsidRDefault="00023580" w:rsidP="00023580">
            <w:pPr>
              <w:tabs>
                <w:tab w:val="left" w:pos="709"/>
              </w:tabs>
              <w:jc w:val="center"/>
              <w:rPr>
                <w:lang w:val="en-US"/>
              </w:rPr>
            </w:pPr>
            <w:r w:rsidRPr="005A1F62">
              <w:rPr>
                <w:lang w:val="en-US"/>
              </w:rPr>
              <w:t>14,5</w:t>
            </w:r>
          </w:p>
        </w:tc>
      </w:tr>
      <w:tr w:rsidR="00023580" w:rsidRPr="005A1F62" w14:paraId="796F6EC7" w14:textId="77777777" w:rsidTr="00023580">
        <w:trPr>
          <w:trHeight w:val="20"/>
        </w:trPr>
        <w:tc>
          <w:tcPr>
            <w:tcW w:w="2728" w:type="pct"/>
            <w:shd w:val="clear" w:color="auto" w:fill="FFFFFF" w:themeFill="background1"/>
            <w:vAlign w:val="bottom"/>
            <w:hideMark/>
          </w:tcPr>
          <w:p w14:paraId="11030856" w14:textId="77777777" w:rsidR="00023580" w:rsidRPr="005A1F62" w:rsidRDefault="00023580" w:rsidP="00023580">
            <w:pPr>
              <w:tabs>
                <w:tab w:val="left" w:pos="709"/>
              </w:tabs>
            </w:pPr>
            <w:r w:rsidRPr="005A1F62">
              <w:t>Достаточность основного капитала (Н1.2), %</w:t>
            </w:r>
          </w:p>
        </w:tc>
        <w:tc>
          <w:tcPr>
            <w:tcW w:w="910" w:type="pct"/>
            <w:shd w:val="clear" w:color="auto" w:fill="FFFFFF" w:themeFill="background1"/>
            <w:noWrap/>
            <w:vAlign w:val="bottom"/>
          </w:tcPr>
          <w:p w14:paraId="3C639400" w14:textId="38758DF9" w:rsidR="00023580" w:rsidRPr="005A1F62" w:rsidRDefault="00023580" w:rsidP="00023580">
            <w:pPr>
              <w:tabs>
                <w:tab w:val="left" w:pos="709"/>
              </w:tabs>
              <w:jc w:val="center"/>
            </w:pPr>
            <w:r w:rsidRPr="005A1F62">
              <w:t>40</w:t>
            </w:r>
          </w:p>
        </w:tc>
        <w:tc>
          <w:tcPr>
            <w:tcW w:w="683" w:type="pct"/>
            <w:shd w:val="clear" w:color="auto" w:fill="FFFFFF" w:themeFill="background1"/>
            <w:noWrap/>
            <w:vAlign w:val="bottom"/>
          </w:tcPr>
          <w:p w14:paraId="533185C9" w14:textId="77777777" w:rsidR="00023580" w:rsidRPr="005A1F62" w:rsidRDefault="00023580" w:rsidP="00023580">
            <w:pPr>
              <w:tabs>
                <w:tab w:val="left" w:pos="709"/>
              </w:tabs>
              <w:jc w:val="center"/>
              <w:rPr>
                <w:lang w:val="en-US"/>
              </w:rPr>
            </w:pPr>
            <w:r w:rsidRPr="005A1F62">
              <w:rPr>
                <w:lang w:val="en-US"/>
              </w:rPr>
              <w:t>6,75</w:t>
            </w:r>
          </w:p>
        </w:tc>
        <w:tc>
          <w:tcPr>
            <w:tcW w:w="679" w:type="pct"/>
            <w:shd w:val="clear" w:color="auto" w:fill="FFFFFF" w:themeFill="background1"/>
            <w:noWrap/>
            <w:vAlign w:val="bottom"/>
          </w:tcPr>
          <w:p w14:paraId="2DE65C4B" w14:textId="77777777" w:rsidR="00023580" w:rsidRPr="005A1F62" w:rsidRDefault="00023580" w:rsidP="00023580">
            <w:pPr>
              <w:tabs>
                <w:tab w:val="left" w:pos="709"/>
              </w:tabs>
              <w:jc w:val="center"/>
              <w:rPr>
                <w:lang w:val="en-US"/>
              </w:rPr>
            </w:pPr>
            <w:r w:rsidRPr="005A1F62">
              <w:rPr>
                <w:lang w:val="en-US"/>
              </w:rPr>
              <w:t>10,0</w:t>
            </w:r>
          </w:p>
        </w:tc>
      </w:tr>
      <w:tr w:rsidR="00023580" w:rsidRPr="005A1F62" w14:paraId="3BDC0065" w14:textId="77777777" w:rsidTr="00023580">
        <w:trPr>
          <w:trHeight w:val="20"/>
        </w:trPr>
        <w:tc>
          <w:tcPr>
            <w:tcW w:w="2728" w:type="pct"/>
            <w:shd w:val="clear" w:color="auto" w:fill="FFFFFF" w:themeFill="background1"/>
            <w:vAlign w:val="bottom"/>
          </w:tcPr>
          <w:p w14:paraId="42F9B7B6" w14:textId="77777777" w:rsidR="00023580" w:rsidRPr="005A1F62" w:rsidRDefault="00023580" w:rsidP="00023580">
            <w:pPr>
              <w:tabs>
                <w:tab w:val="left" w:pos="709"/>
              </w:tabs>
            </w:pPr>
            <w:r w:rsidRPr="005A1F62">
              <w:lastRenderedPageBreak/>
              <w:t>Норматив финансового рычага (Н1.4), %</w:t>
            </w:r>
          </w:p>
        </w:tc>
        <w:tc>
          <w:tcPr>
            <w:tcW w:w="910" w:type="pct"/>
            <w:shd w:val="clear" w:color="auto" w:fill="FFFFFF" w:themeFill="background1"/>
            <w:vAlign w:val="bottom"/>
          </w:tcPr>
          <w:p w14:paraId="01099EDB" w14:textId="2D68C938" w:rsidR="00023580" w:rsidRPr="005A1F62" w:rsidRDefault="00023580" w:rsidP="00023580">
            <w:pPr>
              <w:tabs>
                <w:tab w:val="left" w:pos="709"/>
              </w:tabs>
              <w:jc w:val="center"/>
            </w:pPr>
            <w:r w:rsidRPr="005A1F62">
              <w:t>10</w:t>
            </w:r>
          </w:p>
        </w:tc>
        <w:tc>
          <w:tcPr>
            <w:tcW w:w="683" w:type="pct"/>
            <w:shd w:val="clear" w:color="auto" w:fill="FFFFFF" w:themeFill="background1"/>
            <w:noWrap/>
            <w:vAlign w:val="bottom"/>
          </w:tcPr>
          <w:p w14:paraId="691FF3F3" w14:textId="77777777" w:rsidR="00023580" w:rsidRPr="005A1F62" w:rsidRDefault="00023580" w:rsidP="00023580">
            <w:pPr>
              <w:tabs>
                <w:tab w:val="left" w:pos="709"/>
              </w:tabs>
              <w:jc w:val="center"/>
              <w:rPr>
                <w:lang w:val="en-US"/>
              </w:rPr>
            </w:pPr>
            <w:r w:rsidRPr="005A1F62">
              <w:rPr>
                <w:lang w:val="en-US"/>
              </w:rPr>
              <w:t>3,5</w:t>
            </w:r>
          </w:p>
        </w:tc>
        <w:tc>
          <w:tcPr>
            <w:tcW w:w="679" w:type="pct"/>
            <w:shd w:val="clear" w:color="auto" w:fill="FFFFFF" w:themeFill="background1"/>
            <w:vAlign w:val="bottom"/>
          </w:tcPr>
          <w:p w14:paraId="09DE9A8E" w14:textId="77777777" w:rsidR="00023580" w:rsidRPr="005A1F62" w:rsidRDefault="00023580" w:rsidP="00023580">
            <w:pPr>
              <w:tabs>
                <w:tab w:val="left" w:pos="709"/>
              </w:tabs>
              <w:jc w:val="center"/>
              <w:rPr>
                <w:lang w:val="en-US"/>
              </w:rPr>
            </w:pPr>
            <w:r w:rsidRPr="005A1F62">
              <w:rPr>
                <w:lang w:val="en-US"/>
              </w:rPr>
              <w:t>4,5</w:t>
            </w:r>
          </w:p>
        </w:tc>
      </w:tr>
      <w:tr w:rsidR="00023580" w:rsidRPr="005A1F62" w14:paraId="756FB6F6" w14:textId="77777777" w:rsidTr="00023580">
        <w:trPr>
          <w:trHeight w:val="20"/>
        </w:trPr>
        <w:tc>
          <w:tcPr>
            <w:tcW w:w="2728" w:type="pct"/>
            <w:shd w:val="clear" w:color="auto" w:fill="FFFFFF" w:themeFill="background1"/>
            <w:vAlign w:val="bottom"/>
            <w:hideMark/>
          </w:tcPr>
          <w:p w14:paraId="0207EF1F" w14:textId="77777777" w:rsidR="00023580" w:rsidRPr="005A1F62" w:rsidRDefault="00023580" w:rsidP="00023580">
            <w:pPr>
              <w:tabs>
                <w:tab w:val="left" w:pos="709"/>
              </w:tabs>
            </w:pPr>
            <w:r w:rsidRPr="005A1F62">
              <w:t>Достаточность базового капитала (Н1.1), %</w:t>
            </w:r>
          </w:p>
        </w:tc>
        <w:tc>
          <w:tcPr>
            <w:tcW w:w="910" w:type="pct"/>
            <w:shd w:val="clear" w:color="auto" w:fill="FFFFFF" w:themeFill="background1"/>
            <w:vAlign w:val="bottom"/>
          </w:tcPr>
          <w:p w14:paraId="056D363B" w14:textId="77777777" w:rsidR="00023580" w:rsidRPr="005A1F62" w:rsidRDefault="00023580" w:rsidP="00023580">
            <w:pPr>
              <w:tabs>
                <w:tab w:val="left" w:pos="709"/>
              </w:tabs>
              <w:jc w:val="center"/>
            </w:pPr>
            <w:r w:rsidRPr="005A1F62">
              <w:t>20</w:t>
            </w:r>
          </w:p>
        </w:tc>
        <w:tc>
          <w:tcPr>
            <w:tcW w:w="683" w:type="pct"/>
            <w:shd w:val="clear" w:color="auto" w:fill="FFFFFF" w:themeFill="background1"/>
            <w:noWrap/>
            <w:vAlign w:val="bottom"/>
          </w:tcPr>
          <w:p w14:paraId="49C6313A" w14:textId="77777777" w:rsidR="00023580" w:rsidRPr="005A1F62" w:rsidRDefault="00023580" w:rsidP="00023580">
            <w:pPr>
              <w:tabs>
                <w:tab w:val="left" w:pos="709"/>
              </w:tabs>
              <w:jc w:val="center"/>
              <w:rPr>
                <w:lang w:val="en-US"/>
              </w:rPr>
            </w:pPr>
            <w:r w:rsidRPr="005A1F62">
              <w:rPr>
                <w:lang w:val="en-US"/>
              </w:rPr>
              <w:t>5,75</w:t>
            </w:r>
          </w:p>
        </w:tc>
        <w:tc>
          <w:tcPr>
            <w:tcW w:w="679" w:type="pct"/>
            <w:shd w:val="clear" w:color="auto" w:fill="FFFFFF" w:themeFill="background1"/>
            <w:vAlign w:val="bottom"/>
          </w:tcPr>
          <w:p w14:paraId="535B6CF4" w14:textId="77777777" w:rsidR="00023580" w:rsidRPr="005A1F62" w:rsidRDefault="00023580" w:rsidP="00023580">
            <w:pPr>
              <w:tabs>
                <w:tab w:val="left" w:pos="709"/>
              </w:tabs>
              <w:jc w:val="center"/>
              <w:rPr>
                <w:lang w:val="en-US"/>
              </w:rPr>
            </w:pPr>
            <w:r w:rsidRPr="005A1F62">
              <w:rPr>
                <w:lang w:val="en-US"/>
              </w:rPr>
              <w:t>9,0</w:t>
            </w:r>
          </w:p>
        </w:tc>
      </w:tr>
    </w:tbl>
    <w:p w14:paraId="4B331744" w14:textId="77777777" w:rsidR="0058246A" w:rsidRPr="005A1F62" w:rsidRDefault="0058246A" w:rsidP="00DC2FED">
      <w:pPr>
        <w:tabs>
          <w:tab w:val="left" w:pos="709"/>
        </w:tabs>
        <w:ind w:firstLine="567"/>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8"/>
        <w:gridCol w:w="1701"/>
        <w:gridCol w:w="1277"/>
        <w:gridCol w:w="1269"/>
      </w:tblGrid>
      <w:tr w:rsidR="00023580" w:rsidRPr="005A1F62" w14:paraId="7BA1586F" w14:textId="77777777" w:rsidTr="00023580">
        <w:trPr>
          <w:trHeight w:val="20"/>
        </w:trPr>
        <w:tc>
          <w:tcPr>
            <w:tcW w:w="5000" w:type="pct"/>
            <w:gridSpan w:val="4"/>
            <w:shd w:val="clear" w:color="auto" w:fill="D9D9D9" w:themeFill="background1" w:themeFillShade="D9"/>
            <w:vAlign w:val="center"/>
            <w:hideMark/>
          </w:tcPr>
          <w:p w14:paraId="5B879664" w14:textId="138224CD" w:rsidR="00023580" w:rsidRPr="005A1F62" w:rsidRDefault="00023580" w:rsidP="00023580">
            <w:pPr>
              <w:tabs>
                <w:tab w:val="left" w:pos="709"/>
              </w:tabs>
              <w:jc w:val="center"/>
            </w:pPr>
            <w:r w:rsidRPr="005A1F62">
              <w:rPr>
                <w:bCs/>
              </w:rPr>
              <w:t>БАНК, НЕ ЯВЛЯЮЩИЙСЯ СИСТЕМНО ЗНАЧИМЫМ, С УНИВЕРСАЛЬНОЙ ЛИЦЕНЗИЕЙ</w:t>
            </w:r>
          </w:p>
        </w:tc>
      </w:tr>
      <w:tr w:rsidR="00023580" w:rsidRPr="005A1F62" w14:paraId="7C181492" w14:textId="77777777" w:rsidTr="00023580">
        <w:trPr>
          <w:trHeight w:val="20"/>
        </w:trPr>
        <w:tc>
          <w:tcPr>
            <w:tcW w:w="2728" w:type="pct"/>
            <w:vMerge w:val="restart"/>
            <w:shd w:val="clear" w:color="auto" w:fill="D9D9D9" w:themeFill="background1" w:themeFillShade="D9"/>
            <w:vAlign w:val="center"/>
            <w:hideMark/>
          </w:tcPr>
          <w:p w14:paraId="77CA9FEB" w14:textId="0C883CAD" w:rsidR="00023580" w:rsidRPr="005A1F62" w:rsidRDefault="00023580" w:rsidP="00023580">
            <w:pPr>
              <w:tabs>
                <w:tab w:val="left" w:pos="709"/>
              </w:tabs>
            </w:pPr>
            <w:r w:rsidRPr="005A1F62">
              <w:t> </w:t>
            </w:r>
            <w:r w:rsidRPr="005A1F62">
              <w:rPr>
                <w:bCs/>
              </w:rPr>
              <w:t>Показатель </w:t>
            </w:r>
          </w:p>
        </w:tc>
        <w:tc>
          <w:tcPr>
            <w:tcW w:w="910" w:type="pct"/>
            <w:vMerge w:val="restart"/>
            <w:shd w:val="clear" w:color="auto" w:fill="D9D9D9" w:themeFill="background1" w:themeFillShade="D9"/>
            <w:noWrap/>
            <w:vAlign w:val="center"/>
            <w:hideMark/>
          </w:tcPr>
          <w:p w14:paraId="3365F57B" w14:textId="76AC4987" w:rsidR="00023580" w:rsidRPr="005A1F62" w:rsidRDefault="00023580" w:rsidP="00023580">
            <w:pPr>
              <w:tabs>
                <w:tab w:val="left" w:pos="709"/>
              </w:tabs>
              <w:jc w:val="center"/>
            </w:pPr>
            <w:r w:rsidRPr="005A1F62">
              <w:rPr>
                <w:bCs/>
              </w:rPr>
              <w:t>Вес, %</w:t>
            </w:r>
          </w:p>
        </w:tc>
        <w:tc>
          <w:tcPr>
            <w:tcW w:w="683" w:type="pct"/>
            <w:shd w:val="clear" w:color="auto" w:fill="D9D9D9" w:themeFill="background1" w:themeFillShade="D9"/>
            <w:noWrap/>
            <w:vAlign w:val="center"/>
            <w:hideMark/>
          </w:tcPr>
          <w:p w14:paraId="698733F1" w14:textId="77777777" w:rsidR="00023580" w:rsidRPr="005A1F62" w:rsidRDefault="00023580" w:rsidP="00023580">
            <w:pPr>
              <w:tabs>
                <w:tab w:val="left" w:pos="709"/>
              </w:tabs>
              <w:jc w:val="center"/>
              <w:rPr>
                <w:bCs/>
              </w:rPr>
            </w:pPr>
            <w:r w:rsidRPr="005A1F62">
              <w:rPr>
                <w:bCs/>
              </w:rPr>
              <w:t>-1</w:t>
            </w:r>
          </w:p>
        </w:tc>
        <w:tc>
          <w:tcPr>
            <w:tcW w:w="680" w:type="pct"/>
            <w:shd w:val="clear" w:color="auto" w:fill="D9D9D9" w:themeFill="background1" w:themeFillShade="D9"/>
            <w:noWrap/>
            <w:vAlign w:val="center"/>
            <w:hideMark/>
          </w:tcPr>
          <w:p w14:paraId="02E0909A" w14:textId="77777777" w:rsidR="00023580" w:rsidRPr="005A1F62" w:rsidRDefault="00023580" w:rsidP="00023580">
            <w:pPr>
              <w:tabs>
                <w:tab w:val="left" w:pos="709"/>
              </w:tabs>
              <w:jc w:val="center"/>
              <w:rPr>
                <w:bCs/>
              </w:rPr>
            </w:pPr>
            <w:r w:rsidRPr="005A1F62">
              <w:rPr>
                <w:bCs/>
              </w:rPr>
              <w:t>1</w:t>
            </w:r>
          </w:p>
        </w:tc>
      </w:tr>
      <w:tr w:rsidR="00023580" w:rsidRPr="005A1F62" w14:paraId="00E78413" w14:textId="77777777" w:rsidTr="00023580">
        <w:trPr>
          <w:trHeight w:val="20"/>
        </w:trPr>
        <w:tc>
          <w:tcPr>
            <w:tcW w:w="2728" w:type="pct"/>
            <w:vMerge/>
            <w:shd w:val="clear" w:color="auto" w:fill="D9D9D9" w:themeFill="background1" w:themeFillShade="D9"/>
            <w:vAlign w:val="center"/>
            <w:hideMark/>
          </w:tcPr>
          <w:p w14:paraId="42DA20D3" w14:textId="23CFABFE" w:rsidR="00023580" w:rsidRPr="005A1F62" w:rsidRDefault="00023580" w:rsidP="00023580">
            <w:pPr>
              <w:tabs>
                <w:tab w:val="left" w:pos="709"/>
              </w:tabs>
              <w:rPr>
                <w:bCs/>
              </w:rPr>
            </w:pPr>
          </w:p>
        </w:tc>
        <w:tc>
          <w:tcPr>
            <w:tcW w:w="910" w:type="pct"/>
            <w:vMerge/>
            <w:shd w:val="clear" w:color="auto" w:fill="D9D9D9" w:themeFill="background1" w:themeFillShade="D9"/>
            <w:noWrap/>
            <w:vAlign w:val="center"/>
          </w:tcPr>
          <w:p w14:paraId="452A0BE7" w14:textId="4A8DB5E8" w:rsidR="00023580" w:rsidRPr="005A1F62" w:rsidRDefault="00023580" w:rsidP="00023580">
            <w:pPr>
              <w:tabs>
                <w:tab w:val="left" w:pos="709"/>
              </w:tabs>
              <w:jc w:val="center"/>
              <w:rPr>
                <w:bCs/>
              </w:rPr>
            </w:pPr>
          </w:p>
        </w:tc>
        <w:tc>
          <w:tcPr>
            <w:tcW w:w="683" w:type="pct"/>
            <w:shd w:val="clear" w:color="auto" w:fill="D9D9D9" w:themeFill="background1" w:themeFillShade="D9"/>
            <w:noWrap/>
            <w:vAlign w:val="center"/>
            <w:hideMark/>
          </w:tcPr>
          <w:p w14:paraId="7917812B" w14:textId="7FB228EF" w:rsidR="00023580" w:rsidRPr="005A1F62" w:rsidRDefault="00023580" w:rsidP="00023580">
            <w:pPr>
              <w:tabs>
                <w:tab w:val="left" w:pos="709"/>
              </w:tabs>
              <w:jc w:val="center"/>
              <w:rPr>
                <w:bCs/>
              </w:rPr>
            </w:pPr>
            <w:r w:rsidRPr="005A1F62">
              <w:rPr>
                <w:bCs/>
              </w:rPr>
              <w:t>не более</w:t>
            </w:r>
          </w:p>
        </w:tc>
        <w:tc>
          <w:tcPr>
            <w:tcW w:w="680" w:type="pct"/>
            <w:shd w:val="clear" w:color="auto" w:fill="D9D9D9" w:themeFill="background1" w:themeFillShade="D9"/>
            <w:noWrap/>
            <w:vAlign w:val="center"/>
            <w:hideMark/>
          </w:tcPr>
          <w:p w14:paraId="15C3502D" w14:textId="27B15B69" w:rsidR="00023580" w:rsidRPr="005A1F62" w:rsidRDefault="00023580" w:rsidP="00023580">
            <w:pPr>
              <w:tabs>
                <w:tab w:val="left" w:pos="709"/>
              </w:tabs>
              <w:jc w:val="center"/>
              <w:rPr>
                <w:bCs/>
              </w:rPr>
            </w:pPr>
            <w:r w:rsidRPr="005A1F62">
              <w:rPr>
                <w:bCs/>
              </w:rPr>
              <w:t>не менее</w:t>
            </w:r>
          </w:p>
        </w:tc>
      </w:tr>
      <w:tr w:rsidR="00023580" w:rsidRPr="005A1F62" w14:paraId="6B8139F5" w14:textId="77777777" w:rsidTr="00023580">
        <w:trPr>
          <w:trHeight w:val="20"/>
        </w:trPr>
        <w:tc>
          <w:tcPr>
            <w:tcW w:w="2728" w:type="pct"/>
            <w:shd w:val="clear" w:color="auto" w:fill="FFFFFF" w:themeFill="background1"/>
            <w:vAlign w:val="bottom"/>
            <w:hideMark/>
          </w:tcPr>
          <w:p w14:paraId="4CC28972" w14:textId="77777777" w:rsidR="00023580" w:rsidRPr="005A1F62" w:rsidRDefault="00023580" w:rsidP="00023580">
            <w:pPr>
              <w:tabs>
                <w:tab w:val="left" w:pos="709"/>
              </w:tabs>
            </w:pPr>
            <w:r w:rsidRPr="005A1F62">
              <w:t>Достаточность капитала (Н1.0), %</w:t>
            </w:r>
          </w:p>
        </w:tc>
        <w:tc>
          <w:tcPr>
            <w:tcW w:w="910" w:type="pct"/>
            <w:shd w:val="clear" w:color="auto" w:fill="FFFFFF" w:themeFill="background1"/>
            <w:noWrap/>
            <w:vAlign w:val="center"/>
          </w:tcPr>
          <w:p w14:paraId="5E1FAB43" w14:textId="6B71B703" w:rsidR="00023580" w:rsidRPr="005A1F62" w:rsidRDefault="00023580" w:rsidP="00023580">
            <w:pPr>
              <w:tabs>
                <w:tab w:val="left" w:pos="709"/>
              </w:tabs>
              <w:jc w:val="center"/>
            </w:pPr>
            <w:r w:rsidRPr="005A1F62">
              <w:t>30</w:t>
            </w:r>
          </w:p>
        </w:tc>
        <w:tc>
          <w:tcPr>
            <w:tcW w:w="683" w:type="pct"/>
            <w:shd w:val="clear" w:color="auto" w:fill="FFFFFF" w:themeFill="background1"/>
            <w:noWrap/>
            <w:vAlign w:val="center"/>
          </w:tcPr>
          <w:p w14:paraId="7FFA0E44" w14:textId="77777777" w:rsidR="00023580" w:rsidRPr="005A1F62" w:rsidRDefault="00023580" w:rsidP="00023580">
            <w:pPr>
              <w:tabs>
                <w:tab w:val="left" w:pos="709"/>
              </w:tabs>
              <w:jc w:val="center"/>
              <w:rPr>
                <w:lang w:val="en-US"/>
              </w:rPr>
            </w:pPr>
            <w:r w:rsidRPr="005A1F62">
              <w:rPr>
                <w:lang w:val="en-US"/>
              </w:rPr>
              <w:t>10,5</w:t>
            </w:r>
          </w:p>
        </w:tc>
        <w:tc>
          <w:tcPr>
            <w:tcW w:w="680" w:type="pct"/>
            <w:shd w:val="clear" w:color="auto" w:fill="FFFFFF" w:themeFill="background1"/>
            <w:noWrap/>
            <w:vAlign w:val="center"/>
          </w:tcPr>
          <w:p w14:paraId="37023A3E" w14:textId="77777777" w:rsidR="00023580" w:rsidRPr="005A1F62" w:rsidRDefault="00023580" w:rsidP="00023580">
            <w:pPr>
              <w:tabs>
                <w:tab w:val="left" w:pos="709"/>
              </w:tabs>
              <w:jc w:val="center"/>
              <w:rPr>
                <w:lang w:val="en-US"/>
              </w:rPr>
            </w:pPr>
            <w:r w:rsidRPr="005A1F62">
              <w:rPr>
                <w:lang w:val="en-US"/>
              </w:rPr>
              <w:t>16,0</w:t>
            </w:r>
          </w:p>
        </w:tc>
      </w:tr>
      <w:tr w:rsidR="00023580" w:rsidRPr="005A1F62" w14:paraId="71E2C104" w14:textId="77777777" w:rsidTr="00023580">
        <w:trPr>
          <w:trHeight w:val="20"/>
        </w:trPr>
        <w:tc>
          <w:tcPr>
            <w:tcW w:w="2728" w:type="pct"/>
            <w:shd w:val="clear" w:color="auto" w:fill="FFFFFF" w:themeFill="background1"/>
            <w:vAlign w:val="bottom"/>
            <w:hideMark/>
          </w:tcPr>
          <w:p w14:paraId="57995940" w14:textId="77777777" w:rsidR="00023580" w:rsidRPr="005A1F62" w:rsidRDefault="00023580" w:rsidP="00023580">
            <w:pPr>
              <w:tabs>
                <w:tab w:val="left" w:pos="709"/>
              </w:tabs>
            </w:pPr>
            <w:r w:rsidRPr="005A1F62">
              <w:t>Достаточность основного капитала (Н1.2), %</w:t>
            </w:r>
          </w:p>
        </w:tc>
        <w:tc>
          <w:tcPr>
            <w:tcW w:w="910" w:type="pct"/>
            <w:shd w:val="clear" w:color="auto" w:fill="FFFFFF" w:themeFill="background1"/>
            <w:noWrap/>
            <w:vAlign w:val="center"/>
          </w:tcPr>
          <w:p w14:paraId="3101BFCC" w14:textId="6BC630BD" w:rsidR="00023580" w:rsidRPr="005A1F62" w:rsidRDefault="00023580" w:rsidP="00023580">
            <w:pPr>
              <w:tabs>
                <w:tab w:val="left" w:pos="709"/>
              </w:tabs>
              <w:jc w:val="center"/>
            </w:pPr>
            <w:r w:rsidRPr="005A1F62">
              <w:t>40</w:t>
            </w:r>
          </w:p>
        </w:tc>
        <w:tc>
          <w:tcPr>
            <w:tcW w:w="683" w:type="pct"/>
            <w:shd w:val="clear" w:color="auto" w:fill="FFFFFF" w:themeFill="background1"/>
            <w:noWrap/>
            <w:vAlign w:val="center"/>
          </w:tcPr>
          <w:p w14:paraId="2B27BCE4" w14:textId="77777777" w:rsidR="00023580" w:rsidRPr="005A1F62" w:rsidRDefault="00023580" w:rsidP="00023580">
            <w:pPr>
              <w:tabs>
                <w:tab w:val="left" w:pos="709"/>
              </w:tabs>
              <w:jc w:val="center"/>
              <w:rPr>
                <w:lang w:val="en-US"/>
              </w:rPr>
            </w:pPr>
            <w:r w:rsidRPr="005A1F62">
              <w:rPr>
                <w:lang w:val="en-US"/>
              </w:rPr>
              <w:t>7,5</w:t>
            </w:r>
          </w:p>
        </w:tc>
        <w:tc>
          <w:tcPr>
            <w:tcW w:w="680" w:type="pct"/>
            <w:shd w:val="clear" w:color="auto" w:fill="FFFFFF" w:themeFill="background1"/>
            <w:noWrap/>
            <w:vAlign w:val="center"/>
          </w:tcPr>
          <w:p w14:paraId="2E86511E" w14:textId="77777777" w:rsidR="00023580" w:rsidRPr="005A1F62" w:rsidRDefault="00023580" w:rsidP="00023580">
            <w:pPr>
              <w:tabs>
                <w:tab w:val="left" w:pos="709"/>
              </w:tabs>
              <w:jc w:val="center"/>
              <w:rPr>
                <w:lang w:val="en-US"/>
              </w:rPr>
            </w:pPr>
            <w:r w:rsidRPr="005A1F62">
              <w:rPr>
                <w:lang w:val="en-US"/>
              </w:rPr>
              <w:t>11,0</w:t>
            </w:r>
          </w:p>
        </w:tc>
      </w:tr>
      <w:tr w:rsidR="00023580" w:rsidRPr="005A1F62" w14:paraId="6B1BAA12" w14:textId="77777777" w:rsidTr="00023580">
        <w:trPr>
          <w:trHeight w:val="20"/>
        </w:trPr>
        <w:tc>
          <w:tcPr>
            <w:tcW w:w="2728" w:type="pct"/>
            <w:shd w:val="clear" w:color="auto" w:fill="FFFFFF" w:themeFill="background1"/>
            <w:vAlign w:val="bottom"/>
          </w:tcPr>
          <w:p w14:paraId="23139D7B" w14:textId="77777777" w:rsidR="00023580" w:rsidRPr="005A1F62" w:rsidRDefault="00023580" w:rsidP="00023580">
            <w:pPr>
              <w:tabs>
                <w:tab w:val="left" w:pos="709"/>
              </w:tabs>
            </w:pPr>
            <w:r w:rsidRPr="005A1F62">
              <w:t>Норматив финансового рычага (Н1.4), %</w:t>
            </w:r>
          </w:p>
        </w:tc>
        <w:tc>
          <w:tcPr>
            <w:tcW w:w="910" w:type="pct"/>
            <w:shd w:val="clear" w:color="auto" w:fill="FFFFFF" w:themeFill="background1"/>
            <w:vAlign w:val="center"/>
          </w:tcPr>
          <w:p w14:paraId="428D483B" w14:textId="2D190F19" w:rsidR="00023580" w:rsidRPr="005A1F62" w:rsidRDefault="00023580" w:rsidP="00023580">
            <w:pPr>
              <w:tabs>
                <w:tab w:val="left" w:pos="709"/>
              </w:tabs>
              <w:jc w:val="center"/>
            </w:pPr>
            <w:r w:rsidRPr="005A1F62">
              <w:t>10</w:t>
            </w:r>
          </w:p>
        </w:tc>
        <w:tc>
          <w:tcPr>
            <w:tcW w:w="683" w:type="pct"/>
            <w:shd w:val="clear" w:color="auto" w:fill="FFFFFF" w:themeFill="background1"/>
            <w:noWrap/>
            <w:vAlign w:val="center"/>
          </w:tcPr>
          <w:p w14:paraId="4118E363" w14:textId="77777777" w:rsidR="00023580" w:rsidRPr="005A1F62" w:rsidRDefault="00023580" w:rsidP="00023580">
            <w:pPr>
              <w:tabs>
                <w:tab w:val="left" w:pos="709"/>
              </w:tabs>
              <w:jc w:val="center"/>
              <w:rPr>
                <w:lang w:val="en-US"/>
              </w:rPr>
            </w:pPr>
            <w:r w:rsidRPr="005A1F62">
              <w:t>3,</w:t>
            </w:r>
            <w:r w:rsidRPr="005A1F62">
              <w:rPr>
                <w:lang w:val="en-US"/>
              </w:rPr>
              <w:t>5</w:t>
            </w:r>
          </w:p>
        </w:tc>
        <w:tc>
          <w:tcPr>
            <w:tcW w:w="680" w:type="pct"/>
            <w:shd w:val="clear" w:color="auto" w:fill="FFFFFF" w:themeFill="background1"/>
            <w:vAlign w:val="center"/>
          </w:tcPr>
          <w:p w14:paraId="72D832A4" w14:textId="77777777" w:rsidR="00023580" w:rsidRPr="005A1F62" w:rsidRDefault="00023580" w:rsidP="00023580">
            <w:pPr>
              <w:tabs>
                <w:tab w:val="left" w:pos="709"/>
              </w:tabs>
              <w:jc w:val="center"/>
              <w:rPr>
                <w:lang w:val="en-US"/>
              </w:rPr>
            </w:pPr>
            <w:r w:rsidRPr="005A1F62">
              <w:rPr>
                <w:lang w:val="en-US"/>
              </w:rPr>
              <w:t>5,0</w:t>
            </w:r>
          </w:p>
        </w:tc>
      </w:tr>
      <w:tr w:rsidR="00023580" w:rsidRPr="005A1F62" w14:paraId="4D971AF9" w14:textId="77777777" w:rsidTr="00023580">
        <w:trPr>
          <w:trHeight w:val="20"/>
        </w:trPr>
        <w:tc>
          <w:tcPr>
            <w:tcW w:w="2728" w:type="pct"/>
            <w:shd w:val="clear" w:color="auto" w:fill="FFFFFF" w:themeFill="background1"/>
            <w:vAlign w:val="bottom"/>
            <w:hideMark/>
          </w:tcPr>
          <w:p w14:paraId="1F587558" w14:textId="77777777" w:rsidR="00023580" w:rsidRPr="005A1F62" w:rsidRDefault="00023580" w:rsidP="00023580">
            <w:pPr>
              <w:tabs>
                <w:tab w:val="left" w:pos="709"/>
              </w:tabs>
            </w:pPr>
            <w:r w:rsidRPr="005A1F62">
              <w:t>Достаточность базового капитала (Н1.1), %</w:t>
            </w:r>
          </w:p>
        </w:tc>
        <w:tc>
          <w:tcPr>
            <w:tcW w:w="910" w:type="pct"/>
            <w:shd w:val="clear" w:color="auto" w:fill="FFFFFF" w:themeFill="background1"/>
            <w:vAlign w:val="center"/>
          </w:tcPr>
          <w:p w14:paraId="1F9A6DBD" w14:textId="77777777" w:rsidR="00023580" w:rsidRPr="005A1F62" w:rsidRDefault="00023580" w:rsidP="00023580">
            <w:pPr>
              <w:tabs>
                <w:tab w:val="left" w:pos="709"/>
              </w:tabs>
              <w:jc w:val="center"/>
            </w:pPr>
            <w:r w:rsidRPr="005A1F62">
              <w:t>20</w:t>
            </w:r>
          </w:p>
        </w:tc>
        <w:tc>
          <w:tcPr>
            <w:tcW w:w="683" w:type="pct"/>
            <w:shd w:val="clear" w:color="auto" w:fill="FFFFFF" w:themeFill="background1"/>
            <w:noWrap/>
            <w:vAlign w:val="center"/>
          </w:tcPr>
          <w:p w14:paraId="0270AB0E" w14:textId="77777777" w:rsidR="00023580" w:rsidRPr="005A1F62" w:rsidRDefault="00023580" w:rsidP="00023580">
            <w:pPr>
              <w:tabs>
                <w:tab w:val="left" w:pos="709"/>
              </w:tabs>
              <w:jc w:val="center"/>
              <w:rPr>
                <w:lang w:val="en-US"/>
              </w:rPr>
            </w:pPr>
            <w:r w:rsidRPr="005A1F62">
              <w:rPr>
                <w:lang w:val="en-US"/>
              </w:rPr>
              <w:t>6,0</w:t>
            </w:r>
          </w:p>
        </w:tc>
        <w:tc>
          <w:tcPr>
            <w:tcW w:w="680" w:type="pct"/>
            <w:shd w:val="clear" w:color="auto" w:fill="FFFFFF" w:themeFill="background1"/>
            <w:vAlign w:val="center"/>
          </w:tcPr>
          <w:p w14:paraId="375EDED3" w14:textId="77777777" w:rsidR="00023580" w:rsidRPr="005A1F62" w:rsidRDefault="00023580" w:rsidP="00023580">
            <w:pPr>
              <w:tabs>
                <w:tab w:val="left" w:pos="709"/>
              </w:tabs>
              <w:jc w:val="center"/>
              <w:rPr>
                <w:lang w:val="en-US"/>
              </w:rPr>
            </w:pPr>
            <w:r w:rsidRPr="005A1F62">
              <w:rPr>
                <w:lang w:val="en-US"/>
              </w:rPr>
              <w:t>10,0</w:t>
            </w:r>
          </w:p>
        </w:tc>
      </w:tr>
    </w:tbl>
    <w:p w14:paraId="59CAF1E7" w14:textId="77777777" w:rsidR="006713BA" w:rsidRPr="005A1F62" w:rsidRDefault="006713BA" w:rsidP="00023580">
      <w:pPr>
        <w:shd w:val="clear" w:color="auto" w:fill="FFFFFF" w:themeFill="background1"/>
        <w:tabs>
          <w:tab w:val="left" w:pos="709"/>
        </w:tabs>
        <w:ind w:firstLine="567"/>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8"/>
        <w:gridCol w:w="1701"/>
        <w:gridCol w:w="1277"/>
        <w:gridCol w:w="1269"/>
      </w:tblGrid>
      <w:tr w:rsidR="00023580" w:rsidRPr="005A1F62" w14:paraId="337FBAB1" w14:textId="77777777" w:rsidTr="00023580">
        <w:trPr>
          <w:trHeight w:val="20"/>
        </w:trPr>
        <w:tc>
          <w:tcPr>
            <w:tcW w:w="5000" w:type="pct"/>
            <w:gridSpan w:val="4"/>
            <w:shd w:val="clear" w:color="auto" w:fill="D9D9D9" w:themeFill="background1" w:themeFillShade="D9"/>
            <w:vAlign w:val="center"/>
            <w:hideMark/>
          </w:tcPr>
          <w:p w14:paraId="6542172B" w14:textId="2AECE085" w:rsidR="00023580" w:rsidRPr="005A1F62" w:rsidRDefault="00023580" w:rsidP="00023580">
            <w:pPr>
              <w:tabs>
                <w:tab w:val="left" w:pos="709"/>
              </w:tabs>
              <w:jc w:val="center"/>
            </w:pPr>
            <w:r w:rsidRPr="005A1F62">
              <w:rPr>
                <w:bCs/>
              </w:rPr>
              <w:t>БАНК С БАЗОВОЙ ЛИЦЕНЗИЕЙ</w:t>
            </w:r>
          </w:p>
        </w:tc>
      </w:tr>
      <w:tr w:rsidR="00023580" w:rsidRPr="005A1F62" w14:paraId="3ED648FC" w14:textId="77777777" w:rsidTr="00023580">
        <w:trPr>
          <w:trHeight w:val="20"/>
        </w:trPr>
        <w:tc>
          <w:tcPr>
            <w:tcW w:w="2728" w:type="pct"/>
            <w:vMerge w:val="restart"/>
            <w:shd w:val="clear" w:color="auto" w:fill="D9D9D9" w:themeFill="background1" w:themeFillShade="D9"/>
            <w:vAlign w:val="center"/>
            <w:hideMark/>
          </w:tcPr>
          <w:p w14:paraId="4629EB9F" w14:textId="1869B90D" w:rsidR="00023580" w:rsidRPr="005A1F62" w:rsidRDefault="00023580" w:rsidP="00023580">
            <w:pPr>
              <w:tabs>
                <w:tab w:val="left" w:pos="709"/>
              </w:tabs>
            </w:pPr>
            <w:r w:rsidRPr="005A1F62">
              <w:t> </w:t>
            </w:r>
            <w:r w:rsidRPr="005A1F62">
              <w:rPr>
                <w:bCs/>
              </w:rPr>
              <w:t>Показатель </w:t>
            </w:r>
            <w:r w:rsidRPr="005A1F62">
              <w:rPr>
                <w:b/>
                <w:bCs/>
                <w:color w:val="FFFFFF"/>
              </w:rPr>
              <w:t> </w:t>
            </w:r>
          </w:p>
        </w:tc>
        <w:tc>
          <w:tcPr>
            <w:tcW w:w="910" w:type="pct"/>
            <w:vMerge w:val="restart"/>
            <w:shd w:val="clear" w:color="auto" w:fill="D9D9D9" w:themeFill="background1" w:themeFillShade="D9"/>
            <w:noWrap/>
            <w:vAlign w:val="center"/>
            <w:hideMark/>
          </w:tcPr>
          <w:p w14:paraId="51410C00" w14:textId="5D063CEB" w:rsidR="00023580" w:rsidRPr="005A1F62" w:rsidRDefault="00023580" w:rsidP="00023580">
            <w:pPr>
              <w:tabs>
                <w:tab w:val="left" w:pos="709"/>
              </w:tabs>
              <w:jc w:val="center"/>
            </w:pPr>
            <w:r w:rsidRPr="005A1F62">
              <w:rPr>
                <w:bCs/>
              </w:rPr>
              <w:t>Вес, %</w:t>
            </w:r>
          </w:p>
        </w:tc>
        <w:tc>
          <w:tcPr>
            <w:tcW w:w="683" w:type="pct"/>
            <w:shd w:val="clear" w:color="auto" w:fill="D9D9D9" w:themeFill="background1" w:themeFillShade="D9"/>
            <w:noWrap/>
            <w:vAlign w:val="center"/>
            <w:hideMark/>
          </w:tcPr>
          <w:p w14:paraId="477642A7" w14:textId="6391E66B" w:rsidR="00023580" w:rsidRPr="005A1F62" w:rsidRDefault="00023580" w:rsidP="00023580">
            <w:pPr>
              <w:tabs>
                <w:tab w:val="left" w:pos="709"/>
              </w:tabs>
              <w:jc w:val="center"/>
              <w:rPr>
                <w:b/>
                <w:bCs/>
                <w:color w:val="FFFFFF"/>
              </w:rPr>
            </w:pPr>
            <w:r w:rsidRPr="005A1F62">
              <w:rPr>
                <w:bCs/>
              </w:rPr>
              <w:t>-1</w:t>
            </w:r>
          </w:p>
        </w:tc>
        <w:tc>
          <w:tcPr>
            <w:tcW w:w="679" w:type="pct"/>
            <w:shd w:val="clear" w:color="auto" w:fill="D9D9D9" w:themeFill="background1" w:themeFillShade="D9"/>
            <w:noWrap/>
            <w:vAlign w:val="center"/>
            <w:hideMark/>
          </w:tcPr>
          <w:p w14:paraId="1EE7D4AA" w14:textId="3CA4C6C1" w:rsidR="00023580" w:rsidRPr="005A1F62" w:rsidRDefault="00023580" w:rsidP="00023580">
            <w:pPr>
              <w:tabs>
                <w:tab w:val="left" w:pos="709"/>
              </w:tabs>
              <w:jc w:val="center"/>
              <w:rPr>
                <w:b/>
                <w:bCs/>
                <w:color w:val="FFFFFF"/>
              </w:rPr>
            </w:pPr>
            <w:r w:rsidRPr="005A1F62">
              <w:rPr>
                <w:bCs/>
              </w:rPr>
              <w:t>1</w:t>
            </w:r>
          </w:p>
        </w:tc>
      </w:tr>
      <w:tr w:rsidR="00023580" w:rsidRPr="005A1F62" w14:paraId="2F3872E5" w14:textId="77777777" w:rsidTr="00023580">
        <w:trPr>
          <w:trHeight w:val="20"/>
        </w:trPr>
        <w:tc>
          <w:tcPr>
            <w:tcW w:w="2728" w:type="pct"/>
            <w:vMerge/>
            <w:shd w:val="clear" w:color="auto" w:fill="D9D9D9" w:themeFill="background1" w:themeFillShade="D9"/>
            <w:vAlign w:val="center"/>
            <w:hideMark/>
          </w:tcPr>
          <w:p w14:paraId="3DBAD379" w14:textId="7D8CB23D" w:rsidR="00023580" w:rsidRPr="005A1F62" w:rsidRDefault="00023580" w:rsidP="00023580">
            <w:pPr>
              <w:tabs>
                <w:tab w:val="left" w:pos="709"/>
              </w:tabs>
              <w:rPr>
                <w:b/>
                <w:bCs/>
                <w:color w:val="FFFFFF"/>
              </w:rPr>
            </w:pPr>
          </w:p>
        </w:tc>
        <w:tc>
          <w:tcPr>
            <w:tcW w:w="910" w:type="pct"/>
            <w:vMerge/>
            <w:shd w:val="clear" w:color="auto" w:fill="D9D9D9" w:themeFill="background1" w:themeFillShade="D9"/>
            <w:noWrap/>
            <w:vAlign w:val="center"/>
          </w:tcPr>
          <w:p w14:paraId="434FA053" w14:textId="535BF44A" w:rsidR="00023580" w:rsidRPr="005A1F62" w:rsidRDefault="00023580" w:rsidP="00023580">
            <w:pPr>
              <w:tabs>
                <w:tab w:val="left" w:pos="709"/>
              </w:tabs>
              <w:jc w:val="center"/>
              <w:rPr>
                <w:b/>
                <w:bCs/>
                <w:color w:val="FFFFFF"/>
              </w:rPr>
            </w:pPr>
          </w:p>
        </w:tc>
        <w:tc>
          <w:tcPr>
            <w:tcW w:w="683" w:type="pct"/>
            <w:shd w:val="clear" w:color="auto" w:fill="D9D9D9" w:themeFill="background1" w:themeFillShade="D9"/>
            <w:noWrap/>
            <w:vAlign w:val="center"/>
            <w:hideMark/>
          </w:tcPr>
          <w:p w14:paraId="60C6620C" w14:textId="05634F6B" w:rsidR="00023580" w:rsidRPr="005A1F62" w:rsidRDefault="00023580" w:rsidP="00023580">
            <w:pPr>
              <w:tabs>
                <w:tab w:val="left" w:pos="709"/>
              </w:tabs>
              <w:jc w:val="center"/>
              <w:rPr>
                <w:b/>
                <w:bCs/>
              </w:rPr>
            </w:pPr>
            <w:r w:rsidRPr="005A1F62">
              <w:rPr>
                <w:bCs/>
              </w:rPr>
              <w:t>не более</w:t>
            </w:r>
          </w:p>
        </w:tc>
        <w:tc>
          <w:tcPr>
            <w:tcW w:w="679" w:type="pct"/>
            <w:shd w:val="clear" w:color="auto" w:fill="D9D9D9" w:themeFill="background1" w:themeFillShade="D9"/>
            <w:noWrap/>
            <w:vAlign w:val="center"/>
            <w:hideMark/>
          </w:tcPr>
          <w:p w14:paraId="35AC54A8" w14:textId="338DF439" w:rsidR="00023580" w:rsidRPr="005A1F62" w:rsidRDefault="00023580" w:rsidP="00023580">
            <w:pPr>
              <w:tabs>
                <w:tab w:val="left" w:pos="709"/>
              </w:tabs>
              <w:jc w:val="center"/>
              <w:rPr>
                <w:b/>
                <w:bCs/>
              </w:rPr>
            </w:pPr>
            <w:r w:rsidRPr="005A1F62">
              <w:rPr>
                <w:bCs/>
              </w:rPr>
              <w:t>не менее</w:t>
            </w:r>
          </w:p>
        </w:tc>
      </w:tr>
      <w:tr w:rsidR="006713BA" w:rsidRPr="005A1F62" w14:paraId="1D6EA765" w14:textId="77777777" w:rsidTr="00023580">
        <w:trPr>
          <w:trHeight w:val="20"/>
        </w:trPr>
        <w:tc>
          <w:tcPr>
            <w:tcW w:w="2728" w:type="pct"/>
            <w:shd w:val="clear" w:color="auto" w:fill="FFFFFF" w:themeFill="background1"/>
            <w:vAlign w:val="center"/>
            <w:hideMark/>
          </w:tcPr>
          <w:p w14:paraId="239C8812" w14:textId="77777777" w:rsidR="006713BA" w:rsidRPr="005A1F62" w:rsidRDefault="006713BA" w:rsidP="00023580">
            <w:pPr>
              <w:tabs>
                <w:tab w:val="left" w:pos="709"/>
              </w:tabs>
            </w:pPr>
            <w:r w:rsidRPr="005A1F62">
              <w:t>Достаточность капитала (Н1.0), %</w:t>
            </w:r>
          </w:p>
        </w:tc>
        <w:tc>
          <w:tcPr>
            <w:tcW w:w="910" w:type="pct"/>
            <w:shd w:val="clear" w:color="auto" w:fill="FFFFFF" w:themeFill="background1"/>
            <w:noWrap/>
            <w:vAlign w:val="center"/>
          </w:tcPr>
          <w:p w14:paraId="471CDBF4" w14:textId="77777777" w:rsidR="006713BA" w:rsidRPr="005A1F62" w:rsidRDefault="006713BA" w:rsidP="00023580">
            <w:pPr>
              <w:tabs>
                <w:tab w:val="left" w:pos="709"/>
              </w:tabs>
              <w:jc w:val="center"/>
            </w:pPr>
            <w:r w:rsidRPr="005A1F62">
              <w:t>50</w:t>
            </w:r>
          </w:p>
        </w:tc>
        <w:tc>
          <w:tcPr>
            <w:tcW w:w="683" w:type="pct"/>
            <w:shd w:val="clear" w:color="auto" w:fill="FFFFFF" w:themeFill="background1"/>
            <w:noWrap/>
            <w:vAlign w:val="center"/>
          </w:tcPr>
          <w:p w14:paraId="392EE912" w14:textId="77777777" w:rsidR="006713BA" w:rsidRPr="005A1F62" w:rsidRDefault="006713BA" w:rsidP="00023580">
            <w:pPr>
              <w:tabs>
                <w:tab w:val="left" w:pos="709"/>
              </w:tabs>
              <w:jc w:val="center"/>
              <w:rPr>
                <w:lang w:val="en-US"/>
              </w:rPr>
            </w:pPr>
            <w:r w:rsidRPr="005A1F62">
              <w:rPr>
                <w:lang w:val="en-US"/>
              </w:rPr>
              <w:t>10,5</w:t>
            </w:r>
          </w:p>
        </w:tc>
        <w:tc>
          <w:tcPr>
            <w:tcW w:w="679" w:type="pct"/>
            <w:shd w:val="clear" w:color="auto" w:fill="FFFFFF" w:themeFill="background1"/>
            <w:noWrap/>
            <w:vAlign w:val="center"/>
          </w:tcPr>
          <w:p w14:paraId="57B031AD" w14:textId="77777777" w:rsidR="006713BA" w:rsidRPr="005A1F62" w:rsidRDefault="006713BA" w:rsidP="00023580">
            <w:pPr>
              <w:tabs>
                <w:tab w:val="left" w:pos="709"/>
              </w:tabs>
              <w:jc w:val="center"/>
              <w:rPr>
                <w:lang w:val="en-US"/>
              </w:rPr>
            </w:pPr>
            <w:r w:rsidRPr="005A1F62">
              <w:rPr>
                <w:lang w:val="en-US"/>
              </w:rPr>
              <w:t>16,0</w:t>
            </w:r>
          </w:p>
        </w:tc>
      </w:tr>
      <w:tr w:rsidR="006713BA" w:rsidRPr="005A1F62" w14:paraId="43E18B35" w14:textId="77777777" w:rsidTr="00023580">
        <w:trPr>
          <w:trHeight w:val="20"/>
        </w:trPr>
        <w:tc>
          <w:tcPr>
            <w:tcW w:w="2728" w:type="pct"/>
            <w:shd w:val="clear" w:color="auto" w:fill="FFFFFF" w:themeFill="background1"/>
            <w:vAlign w:val="center"/>
            <w:hideMark/>
          </w:tcPr>
          <w:p w14:paraId="39189699" w14:textId="77777777" w:rsidR="006713BA" w:rsidRPr="005A1F62" w:rsidRDefault="006713BA" w:rsidP="00023580">
            <w:pPr>
              <w:tabs>
                <w:tab w:val="left" w:pos="709"/>
              </w:tabs>
            </w:pPr>
            <w:r w:rsidRPr="005A1F62">
              <w:t>Достаточность основного капитала (Н1.2), %</w:t>
            </w:r>
          </w:p>
        </w:tc>
        <w:tc>
          <w:tcPr>
            <w:tcW w:w="910" w:type="pct"/>
            <w:shd w:val="clear" w:color="auto" w:fill="FFFFFF" w:themeFill="background1"/>
            <w:noWrap/>
            <w:vAlign w:val="center"/>
          </w:tcPr>
          <w:p w14:paraId="7F563B4D" w14:textId="77777777" w:rsidR="006713BA" w:rsidRPr="005A1F62" w:rsidRDefault="006713BA" w:rsidP="00023580">
            <w:pPr>
              <w:tabs>
                <w:tab w:val="left" w:pos="709"/>
              </w:tabs>
              <w:jc w:val="center"/>
            </w:pPr>
            <w:r w:rsidRPr="005A1F62">
              <w:t>50</w:t>
            </w:r>
          </w:p>
        </w:tc>
        <w:tc>
          <w:tcPr>
            <w:tcW w:w="683" w:type="pct"/>
            <w:shd w:val="clear" w:color="auto" w:fill="FFFFFF" w:themeFill="background1"/>
            <w:noWrap/>
            <w:vAlign w:val="center"/>
          </w:tcPr>
          <w:p w14:paraId="2A2E035E" w14:textId="77777777" w:rsidR="006713BA" w:rsidRPr="005A1F62" w:rsidRDefault="006713BA" w:rsidP="00023580">
            <w:pPr>
              <w:tabs>
                <w:tab w:val="left" w:pos="709"/>
              </w:tabs>
              <w:jc w:val="center"/>
              <w:rPr>
                <w:lang w:val="en-US"/>
              </w:rPr>
            </w:pPr>
            <w:r w:rsidRPr="005A1F62">
              <w:rPr>
                <w:lang w:val="en-US"/>
              </w:rPr>
              <w:t>7,5</w:t>
            </w:r>
          </w:p>
        </w:tc>
        <w:tc>
          <w:tcPr>
            <w:tcW w:w="679" w:type="pct"/>
            <w:shd w:val="clear" w:color="auto" w:fill="FFFFFF" w:themeFill="background1"/>
            <w:noWrap/>
            <w:vAlign w:val="center"/>
          </w:tcPr>
          <w:p w14:paraId="4243F382" w14:textId="77777777" w:rsidR="006713BA" w:rsidRPr="005A1F62" w:rsidRDefault="006713BA" w:rsidP="00023580">
            <w:pPr>
              <w:tabs>
                <w:tab w:val="left" w:pos="709"/>
              </w:tabs>
              <w:jc w:val="center"/>
              <w:rPr>
                <w:lang w:val="en-US"/>
              </w:rPr>
            </w:pPr>
            <w:r w:rsidRPr="005A1F62">
              <w:rPr>
                <w:lang w:val="en-US"/>
              </w:rPr>
              <w:t>11,0</w:t>
            </w:r>
          </w:p>
        </w:tc>
      </w:tr>
    </w:tbl>
    <w:p w14:paraId="0657092A" w14:textId="036C3146" w:rsidR="003E38FC" w:rsidRPr="005A1F62" w:rsidRDefault="00AF5148" w:rsidP="00DC2FED">
      <w:pPr>
        <w:tabs>
          <w:tab w:val="left" w:pos="709"/>
        </w:tabs>
        <w:ind w:firstLine="567"/>
        <w:jc w:val="both"/>
        <w:rPr>
          <w:bCs/>
          <w:i/>
        </w:rPr>
      </w:pPr>
      <w:r w:rsidRPr="005A1F62">
        <w:rPr>
          <w:bCs/>
          <w:i/>
        </w:rPr>
        <w:t>Для всех трех параметров зависимость балла от значения определяется степенной функцией с показателем степени</w:t>
      </w:r>
      <w:r w:rsidR="005106DB" w:rsidRPr="005A1F62">
        <w:rPr>
          <w:bCs/>
          <w:i/>
        </w:rPr>
        <w:t>,</w:t>
      </w:r>
      <w:r w:rsidRPr="005A1F62">
        <w:rPr>
          <w:bCs/>
          <w:i/>
        </w:rPr>
        <w:t xml:space="preserve"> равным 0,61</w:t>
      </w:r>
      <w:r w:rsidR="00EB438E" w:rsidRPr="005A1F62">
        <w:rPr>
          <w:bCs/>
          <w:i/>
        </w:rPr>
        <w:t>.</w:t>
      </w:r>
    </w:p>
    <w:p w14:paraId="68AB0FA9" w14:textId="3EFB3AE0" w:rsidR="00103E1F" w:rsidRPr="005A1F62" w:rsidRDefault="00F96663" w:rsidP="00DC2FED">
      <w:pPr>
        <w:tabs>
          <w:tab w:val="left" w:pos="709"/>
        </w:tabs>
        <w:ind w:firstLine="567"/>
        <w:jc w:val="both"/>
        <w:rPr>
          <w:bCs/>
          <w:i/>
        </w:rPr>
      </w:pPr>
      <w:r w:rsidRPr="005A1F62">
        <w:rPr>
          <w:bCs/>
          <w:i/>
        </w:rPr>
        <w:t>Оцениваемые нормативы достаточности капитала и финансового рычага мо</w:t>
      </w:r>
      <w:r w:rsidR="007F1CA1" w:rsidRPr="005A1F62">
        <w:rPr>
          <w:bCs/>
          <w:i/>
        </w:rPr>
        <w:t>гут отличаться от отчетных в результате</w:t>
      </w:r>
      <w:r w:rsidRPr="005A1F62">
        <w:rPr>
          <w:bCs/>
          <w:i/>
        </w:rPr>
        <w:t xml:space="preserve"> их пересчета </w:t>
      </w:r>
      <w:proofErr w:type="gramStart"/>
      <w:r w:rsidRPr="005A1F62">
        <w:rPr>
          <w:bCs/>
          <w:i/>
        </w:rPr>
        <w:t>с учетом</w:t>
      </w:r>
      <w:proofErr w:type="gramEnd"/>
      <w:r w:rsidRPr="005A1F62">
        <w:rPr>
          <w:bCs/>
          <w:i/>
        </w:rPr>
        <w:t xml:space="preserve"> ожидаемого Агентством, но не отраженного в отчетности на момент оценки обесценения активов.</w:t>
      </w:r>
    </w:p>
    <w:p w14:paraId="540743E2" w14:textId="77777777" w:rsidR="00AF5148" w:rsidRPr="005A1F62" w:rsidRDefault="00AF5148" w:rsidP="00DC2FED">
      <w:pPr>
        <w:tabs>
          <w:tab w:val="left" w:pos="709"/>
        </w:tabs>
        <w:ind w:firstLine="567"/>
        <w:rPr>
          <w:b/>
          <w:bCs/>
        </w:rPr>
      </w:pPr>
    </w:p>
    <w:p w14:paraId="35C414B6" w14:textId="6609AE71" w:rsidR="003E38FC" w:rsidRPr="005A1F62" w:rsidRDefault="00011E23" w:rsidP="003C5D28">
      <w:pPr>
        <w:pStyle w:val="afb"/>
        <w:numPr>
          <w:ilvl w:val="0"/>
          <w:numId w:val="21"/>
        </w:numPr>
        <w:tabs>
          <w:tab w:val="left" w:pos="709"/>
        </w:tabs>
        <w:ind w:left="0" w:firstLine="567"/>
        <w:jc w:val="both"/>
        <w:rPr>
          <w:bCs/>
        </w:rPr>
      </w:pPr>
      <w:r w:rsidRPr="005A1F62">
        <w:rPr>
          <w:bCs/>
        </w:rPr>
        <w:t>УСТОЙЧИВОСТЬ КАПИТАЛА К РЕАЛИЗАЦИИ КРЕДИТНЫХ И РЫНОЧНЫХ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65"/>
        <w:gridCol w:w="1701"/>
        <w:gridCol w:w="993"/>
        <w:gridCol w:w="986"/>
      </w:tblGrid>
      <w:tr w:rsidR="00262AC0" w:rsidRPr="005A1F62" w14:paraId="3E66E5EA" w14:textId="77777777" w:rsidTr="00262AC0">
        <w:tc>
          <w:tcPr>
            <w:tcW w:w="5665" w:type="dxa"/>
            <w:shd w:val="clear" w:color="auto" w:fill="D9D9D9" w:themeFill="background1" w:themeFillShade="D9"/>
            <w:vAlign w:val="center"/>
          </w:tcPr>
          <w:p w14:paraId="3E5B5B44" w14:textId="7A7DB873" w:rsidR="00023580" w:rsidRPr="005A1F62" w:rsidRDefault="00023580" w:rsidP="00023580">
            <w:pPr>
              <w:tabs>
                <w:tab w:val="left" w:pos="709"/>
              </w:tabs>
            </w:pPr>
            <w:r w:rsidRPr="005A1F62">
              <w:rPr>
                <w:bCs/>
              </w:rPr>
              <w:t>Показатель  </w:t>
            </w:r>
          </w:p>
        </w:tc>
        <w:tc>
          <w:tcPr>
            <w:tcW w:w="1701" w:type="dxa"/>
            <w:shd w:val="clear" w:color="auto" w:fill="D9D9D9" w:themeFill="background1" w:themeFillShade="D9"/>
            <w:vAlign w:val="center"/>
          </w:tcPr>
          <w:p w14:paraId="51C90EAD" w14:textId="40824E7E" w:rsidR="00023580" w:rsidRPr="005A1F62" w:rsidRDefault="00023580" w:rsidP="00262AC0">
            <w:pPr>
              <w:tabs>
                <w:tab w:val="left" w:pos="709"/>
              </w:tabs>
              <w:jc w:val="center"/>
            </w:pPr>
            <w:r w:rsidRPr="005A1F62">
              <w:t>Определение оценки</w:t>
            </w:r>
          </w:p>
        </w:tc>
        <w:tc>
          <w:tcPr>
            <w:tcW w:w="993" w:type="dxa"/>
            <w:shd w:val="clear" w:color="auto" w:fill="D9D9D9" w:themeFill="background1" w:themeFillShade="D9"/>
            <w:vAlign w:val="center"/>
          </w:tcPr>
          <w:p w14:paraId="2944EDEC" w14:textId="77777777" w:rsidR="00023580" w:rsidRPr="005A1F62" w:rsidRDefault="00023580" w:rsidP="00262AC0">
            <w:pPr>
              <w:tabs>
                <w:tab w:val="left" w:pos="709"/>
              </w:tabs>
              <w:jc w:val="center"/>
            </w:pPr>
            <w:r w:rsidRPr="005A1F62">
              <w:t>-1</w:t>
            </w:r>
          </w:p>
        </w:tc>
        <w:tc>
          <w:tcPr>
            <w:tcW w:w="986" w:type="dxa"/>
            <w:shd w:val="clear" w:color="auto" w:fill="D9D9D9" w:themeFill="background1" w:themeFillShade="D9"/>
            <w:vAlign w:val="center"/>
          </w:tcPr>
          <w:p w14:paraId="54683FDD" w14:textId="77777777" w:rsidR="00023580" w:rsidRPr="005A1F62" w:rsidRDefault="00023580" w:rsidP="00262AC0">
            <w:pPr>
              <w:tabs>
                <w:tab w:val="left" w:pos="709"/>
              </w:tabs>
              <w:jc w:val="center"/>
            </w:pPr>
            <w:r w:rsidRPr="005A1F62">
              <w:t>1</w:t>
            </w:r>
          </w:p>
        </w:tc>
      </w:tr>
      <w:tr w:rsidR="00023580" w:rsidRPr="005A1F62" w14:paraId="74C5F427" w14:textId="77777777" w:rsidTr="00262AC0">
        <w:tc>
          <w:tcPr>
            <w:tcW w:w="5665" w:type="dxa"/>
            <w:shd w:val="clear" w:color="auto" w:fill="FFFFFF" w:themeFill="background1"/>
            <w:vAlign w:val="center"/>
          </w:tcPr>
          <w:p w14:paraId="0C8F19AD" w14:textId="52848E7A" w:rsidR="00023580" w:rsidRPr="005A1F62" w:rsidRDefault="00023580" w:rsidP="00262AC0">
            <w:pPr>
              <w:tabs>
                <w:tab w:val="left" w:pos="709"/>
              </w:tabs>
              <w:jc w:val="both"/>
              <w:rPr>
                <w:color w:val="000000"/>
              </w:rPr>
            </w:pPr>
            <w:r w:rsidRPr="005A1F62">
              <w:rPr>
                <w:color w:val="000000"/>
              </w:rPr>
              <w:t>Доля активов и условных обязательств кредитного характера под риском (активов, подверженных кредитному и рыночному риску, за вычетом сформированных резервов на возможные потери, отрицательной переоценки рыночных активов и безрисковых активов / активов с минимальным кредитным риском), полное обесценение которой приведет к снижению любого из нормативов достаточности капитала или его абсолютной величины до регулятивного минимума, %</w:t>
            </w:r>
          </w:p>
        </w:tc>
        <w:tc>
          <w:tcPr>
            <w:tcW w:w="1701" w:type="dxa"/>
            <w:vMerge w:val="restart"/>
            <w:shd w:val="clear" w:color="auto" w:fill="FFFFFF" w:themeFill="background1"/>
            <w:vAlign w:val="center"/>
          </w:tcPr>
          <w:p w14:paraId="68D8C941" w14:textId="77777777" w:rsidR="00023580" w:rsidRPr="005A1F62" w:rsidRDefault="00023580" w:rsidP="00262AC0">
            <w:pPr>
              <w:tabs>
                <w:tab w:val="left" w:pos="709"/>
              </w:tabs>
              <w:jc w:val="center"/>
              <w:rPr>
                <w:color w:val="000000"/>
              </w:rPr>
            </w:pPr>
            <w:r w:rsidRPr="005A1F62">
              <w:rPr>
                <w:color w:val="000000"/>
              </w:rPr>
              <w:t>Минимум</w:t>
            </w:r>
          </w:p>
        </w:tc>
        <w:tc>
          <w:tcPr>
            <w:tcW w:w="993" w:type="dxa"/>
            <w:shd w:val="clear" w:color="auto" w:fill="FFFFFF" w:themeFill="background1"/>
            <w:vAlign w:val="center"/>
          </w:tcPr>
          <w:p w14:paraId="5FADA06C" w14:textId="3B163203" w:rsidR="00023580" w:rsidRPr="005A1F62" w:rsidRDefault="00023580" w:rsidP="00262AC0">
            <w:pPr>
              <w:tabs>
                <w:tab w:val="left" w:pos="709"/>
              </w:tabs>
              <w:jc w:val="center"/>
              <w:rPr>
                <w:color w:val="000000"/>
              </w:rPr>
            </w:pPr>
            <w:r w:rsidRPr="005A1F62">
              <w:rPr>
                <w:sz w:val="20"/>
                <w:szCs w:val="20"/>
              </w:rPr>
              <w:t>≤</w:t>
            </w:r>
            <w:r w:rsidR="00050222" w:rsidRPr="005A1F62">
              <w:rPr>
                <w:sz w:val="20"/>
                <w:szCs w:val="20"/>
              </w:rPr>
              <w:t xml:space="preserve"> </w:t>
            </w:r>
            <w:r w:rsidR="00050222" w:rsidRPr="005A1F62">
              <w:rPr>
                <w:color w:val="000000"/>
              </w:rPr>
              <w:t>3</w:t>
            </w:r>
          </w:p>
        </w:tc>
        <w:tc>
          <w:tcPr>
            <w:tcW w:w="986" w:type="dxa"/>
            <w:shd w:val="clear" w:color="auto" w:fill="FFFFFF" w:themeFill="background1"/>
            <w:vAlign w:val="center"/>
          </w:tcPr>
          <w:p w14:paraId="22F038F6" w14:textId="66463494" w:rsidR="00023580" w:rsidRPr="005A1F62" w:rsidRDefault="00023580" w:rsidP="00262AC0">
            <w:pPr>
              <w:tabs>
                <w:tab w:val="left" w:pos="709"/>
              </w:tabs>
              <w:jc w:val="center"/>
              <w:rPr>
                <w:color w:val="000000"/>
              </w:rPr>
            </w:pPr>
            <w:r w:rsidRPr="005A1F62">
              <w:rPr>
                <w:sz w:val="20"/>
                <w:szCs w:val="20"/>
                <w:lang w:val="en-US"/>
              </w:rPr>
              <w:t>≥</w:t>
            </w:r>
            <w:r w:rsidR="00050222" w:rsidRPr="005A1F62">
              <w:rPr>
                <w:sz w:val="20"/>
                <w:szCs w:val="20"/>
              </w:rPr>
              <w:t xml:space="preserve"> </w:t>
            </w:r>
            <w:r w:rsidR="00050222" w:rsidRPr="005A1F62">
              <w:rPr>
                <w:color w:val="000000"/>
              </w:rPr>
              <w:t>12</w:t>
            </w:r>
          </w:p>
        </w:tc>
      </w:tr>
      <w:tr w:rsidR="00023580" w:rsidRPr="005A1F62" w14:paraId="2200EC0D" w14:textId="77777777" w:rsidTr="00262AC0">
        <w:tc>
          <w:tcPr>
            <w:tcW w:w="5665" w:type="dxa"/>
            <w:shd w:val="clear" w:color="auto" w:fill="FFFFFF" w:themeFill="background1"/>
            <w:vAlign w:val="center"/>
          </w:tcPr>
          <w:p w14:paraId="6934849C" w14:textId="0D4331CB" w:rsidR="00023580" w:rsidRPr="005A1F62" w:rsidRDefault="00023580" w:rsidP="00262AC0">
            <w:pPr>
              <w:tabs>
                <w:tab w:val="left" w:pos="709"/>
              </w:tabs>
              <w:jc w:val="both"/>
              <w:rPr>
                <w:color w:val="000000"/>
              </w:rPr>
            </w:pPr>
            <w:r w:rsidRPr="005A1F62">
              <w:rPr>
                <w:color w:val="000000"/>
              </w:rPr>
              <w:t xml:space="preserve">Количество крупных кредитных рисков (за исключением объектов кредитного риска с </w:t>
            </w:r>
            <w:r w:rsidR="009C6CEF" w:rsidRPr="005A1F62">
              <w:rPr>
                <w:color w:val="000000"/>
              </w:rPr>
              <w:t>условным рейтинговым классом</w:t>
            </w:r>
            <w:r w:rsidRPr="005A1F62">
              <w:rPr>
                <w:color w:val="000000"/>
              </w:rPr>
              <w:t xml:space="preserve"> на уровне не ниже </w:t>
            </w:r>
            <w:r w:rsidRPr="005A1F62">
              <w:rPr>
                <w:color w:val="000000"/>
                <w:lang w:val="en-US"/>
              </w:rPr>
              <w:t>ruBBB</w:t>
            </w:r>
            <w:r w:rsidRPr="005A1F62">
              <w:rPr>
                <w:color w:val="000000"/>
              </w:rPr>
              <w:t>+), реализация (полное обесценение требований) любого из которых приведет к нарушению любого из нормативов достаточности капитала или снижению величины капитала ниже регулятивного минимума</w:t>
            </w:r>
          </w:p>
        </w:tc>
        <w:tc>
          <w:tcPr>
            <w:tcW w:w="1701" w:type="dxa"/>
            <w:vMerge/>
            <w:shd w:val="clear" w:color="auto" w:fill="FFFFFF" w:themeFill="background1"/>
            <w:vAlign w:val="center"/>
          </w:tcPr>
          <w:p w14:paraId="1ED04C09" w14:textId="77777777" w:rsidR="00023580" w:rsidRPr="005A1F62" w:rsidRDefault="00023580" w:rsidP="00262AC0">
            <w:pPr>
              <w:tabs>
                <w:tab w:val="left" w:pos="709"/>
              </w:tabs>
              <w:jc w:val="center"/>
              <w:rPr>
                <w:color w:val="000000"/>
              </w:rPr>
            </w:pPr>
          </w:p>
        </w:tc>
        <w:tc>
          <w:tcPr>
            <w:tcW w:w="993" w:type="dxa"/>
            <w:shd w:val="clear" w:color="auto" w:fill="FFFFFF" w:themeFill="background1"/>
            <w:vAlign w:val="center"/>
          </w:tcPr>
          <w:p w14:paraId="3801B64F" w14:textId="2E5C0A8D" w:rsidR="00023580" w:rsidRPr="005A1F62" w:rsidRDefault="00023580" w:rsidP="00262AC0">
            <w:pPr>
              <w:tabs>
                <w:tab w:val="left" w:pos="709"/>
              </w:tabs>
              <w:jc w:val="center"/>
              <w:rPr>
                <w:color w:val="000000"/>
              </w:rPr>
            </w:pPr>
            <w:r w:rsidRPr="005A1F62">
              <w:rPr>
                <w:sz w:val="20"/>
                <w:szCs w:val="20"/>
                <w:lang w:val="en-US"/>
              </w:rPr>
              <w:t>≥</w:t>
            </w:r>
            <w:r w:rsidR="00050222" w:rsidRPr="005A1F62">
              <w:rPr>
                <w:sz w:val="20"/>
                <w:szCs w:val="20"/>
              </w:rPr>
              <w:t xml:space="preserve"> </w:t>
            </w:r>
            <w:r w:rsidRPr="005A1F62">
              <w:rPr>
                <w:color w:val="000000"/>
              </w:rPr>
              <w:t>10</w:t>
            </w:r>
          </w:p>
        </w:tc>
        <w:tc>
          <w:tcPr>
            <w:tcW w:w="986" w:type="dxa"/>
            <w:shd w:val="clear" w:color="auto" w:fill="FFFFFF" w:themeFill="background1"/>
            <w:vAlign w:val="center"/>
          </w:tcPr>
          <w:p w14:paraId="34BBC1A7" w14:textId="77777777" w:rsidR="00023580" w:rsidRPr="005A1F62" w:rsidRDefault="00023580" w:rsidP="00262AC0">
            <w:pPr>
              <w:tabs>
                <w:tab w:val="left" w:pos="709"/>
              </w:tabs>
              <w:jc w:val="center"/>
              <w:rPr>
                <w:color w:val="000000"/>
              </w:rPr>
            </w:pPr>
            <w:r w:rsidRPr="005A1F62">
              <w:rPr>
                <w:color w:val="000000"/>
              </w:rPr>
              <w:t>0</w:t>
            </w:r>
          </w:p>
        </w:tc>
      </w:tr>
    </w:tbl>
    <w:p w14:paraId="623305D8" w14:textId="498B7C97" w:rsidR="003E38FC" w:rsidRDefault="003E38FC" w:rsidP="00DC2FED">
      <w:pPr>
        <w:tabs>
          <w:tab w:val="left" w:pos="709"/>
        </w:tabs>
        <w:rPr>
          <w:rFonts w:eastAsia="Arial Unicode MS"/>
          <w:b/>
        </w:rPr>
      </w:pPr>
    </w:p>
    <w:p w14:paraId="07377B9C" w14:textId="768DBF79" w:rsidR="005A1F66" w:rsidRDefault="005A1F66" w:rsidP="00DC2FED">
      <w:pPr>
        <w:tabs>
          <w:tab w:val="left" w:pos="709"/>
        </w:tabs>
        <w:rPr>
          <w:rFonts w:eastAsia="Arial Unicode MS"/>
          <w:b/>
        </w:rPr>
      </w:pPr>
    </w:p>
    <w:p w14:paraId="36F780D0" w14:textId="50158F24" w:rsidR="005A1F66" w:rsidRDefault="005A1F66" w:rsidP="00DC2FED">
      <w:pPr>
        <w:tabs>
          <w:tab w:val="left" w:pos="709"/>
        </w:tabs>
        <w:rPr>
          <w:rFonts w:eastAsia="Arial Unicode MS"/>
          <w:b/>
        </w:rPr>
      </w:pPr>
    </w:p>
    <w:p w14:paraId="66214147" w14:textId="77777777" w:rsidR="005A1F66" w:rsidRPr="005A1F62" w:rsidRDefault="005A1F66" w:rsidP="00DC2FED">
      <w:pPr>
        <w:tabs>
          <w:tab w:val="left" w:pos="709"/>
        </w:tabs>
        <w:rPr>
          <w:rFonts w:eastAsia="Arial Unicode MS"/>
          <w:b/>
        </w:rPr>
      </w:pPr>
    </w:p>
    <w:p w14:paraId="68B19352" w14:textId="627EAEA8" w:rsidR="00262AC0" w:rsidRPr="005A1F62" w:rsidRDefault="003E38FC" w:rsidP="003C5D28">
      <w:pPr>
        <w:pStyle w:val="afb"/>
        <w:numPr>
          <w:ilvl w:val="0"/>
          <w:numId w:val="21"/>
        </w:numPr>
        <w:tabs>
          <w:tab w:val="left" w:pos="709"/>
        </w:tabs>
        <w:ind w:left="0" w:firstLine="567"/>
        <w:rPr>
          <w:bCs/>
        </w:rPr>
      </w:pPr>
      <w:bookmarkStart w:id="244" w:name="_Hlk39678316"/>
      <w:r w:rsidRPr="005A1F62">
        <w:rPr>
          <w:bCs/>
        </w:rPr>
        <w:t xml:space="preserve">УРОВЕНЬ ПРОБЛЕМНЫХ ССУД </w:t>
      </w:r>
    </w:p>
    <w:bookmarkEnd w:id="244"/>
    <w:p w14:paraId="30FF584C" w14:textId="21BAE28E" w:rsidR="00262AC0" w:rsidRPr="005A1F62" w:rsidRDefault="00262AC0" w:rsidP="00262AC0">
      <w:pPr>
        <w:tabs>
          <w:tab w:val="left" w:pos="709"/>
        </w:tabs>
        <w:rPr>
          <w:bCs/>
        </w:rPr>
      </w:pPr>
    </w:p>
    <w:p w14:paraId="477105DE" w14:textId="09B827BD" w:rsidR="00262AC0" w:rsidRPr="005A1F62" w:rsidRDefault="00050222" w:rsidP="003C5D28">
      <w:pPr>
        <w:pStyle w:val="afb"/>
        <w:numPr>
          <w:ilvl w:val="1"/>
          <w:numId w:val="21"/>
        </w:numPr>
        <w:tabs>
          <w:tab w:val="left" w:pos="709"/>
        </w:tabs>
        <w:rPr>
          <w:bCs/>
        </w:rPr>
      </w:pPr>
      <w:r w:rsidRPr="005A1F62">
        <w:rPr>
          <w:bCs/>
        </w:rPr>
        <w:lastRenderedPageBreak/>
        <w:t xml:space="preserve">Не отраженное в отчетности обесценение ссудной задолженности </w:t>
      </w:r>
      <w:r w:rsidR="00262AC0" w:rsidRPr="005A1F62">
        <w:rPr>
          <w:bCs/>
        </w:rPr>
        <w:t xml:space="preserve"> </w:t>
      </w:r>
    </w:p>
    <w:p w14:paraId="2FCAC859" w14:textId="77777777" w:rsidR="00262AC0" w:rsidRPr="005A1F62" w:rsidRDefault="00262AC0" w:rsidP="00262AC0">
      <w:pPr>
        <w:ind w:firstLine="567"/>
        <w:jc w:val="both"/>
      </w:pPr>
    </w:p>
    <w:tbl>
      <w:tblPr>
        <w:tblStyle w:val="af0"/>
        <w:tblW w:w="4944" w:type="pct"/>
        <w:tblInd w:w="108" w:type="dxa"/>
        <w:shd w:val="clear" w:color="auto" w:fill="FFFFFF" w:themeFill="background1"/>
        <w:tblLook w:val="04A0" w:firstRow="1" w:lastRow="0" w:firstColumn="1" w:lastColumn="0" w:noHBand="0" w:noVBand="1"/>
      </w:tblPr>
      <w:tblGrid>
        <w:gridCol w:w="5085"/>
        <w:gridCol w:w="1563"/>
        <w:gridCol w:w="1321"/>
        <w:gridCol w:w="1271"/>
      </w:tblGrid>
      <w:tr w:rsidR="00262AC0" w:rsidRPr="005A1F62" w14:paraId="1AB87DE1" w14:textId="77777777" w:rsidTr="00050222">
        <w:tc>
          <w:tcPr>
            <w:tcW w:w="2751" w:type="pct"/>
            <w:vMerge w:val="restart"/>
            <w:shd w:val="clear" w:color="auto" w:fill="D9D9D9" w:themeFill="background1" w:themeFillShade="D9"/>
            <w:vAlign w:val="center"/>
          </w:tcPr>
          <w:p w14:paraId="36437AFA" w14:textId="1EF75D78" w:rsidR="00262AC0" w:rsidRPr="005A1F62" w:rsidRDefault="00262AC0" w:rsidP="00050222">
            <w:pPr>
              <w:tabs>
                <w:tab w:val="left" w:pos="709"/>
              </w:tabs>
              <w:rPr>
                <w:bCs/>
              </w:rPr>
            </w:pPr>
            <w:r w:rsidRPr="005A1F62">
              <w:rPr>
                <w:bCs/>
              </w:rPr>
              <w:t>Показатель  </w:t>
            </w:r>
          </w:p>
        </w:tc>
        <w:tc>
          <w:tcPr>
            <w:tcW w:w="846" w:type="pct"/>
            <w:vMerge w:val="restart"/>
            <w:shd w:val="clear" w:color="auto" w:fill="D9D9D9" w:themeFill="background1" w:themeFillShade="D9"/>
            <w:vAlign w:val="center"/>
          </w:tcPr>
          <w:p w14:paraId="55D1A774" w14:textId="2B84E3EE" w:rsidR="00262AC0" w:rsidRPr="005A1F62" w:rsidRDefault="00262AC0" w:rsidP="00050222">
            <w:pPr>
              <w:tabs>
                <w:tab w:val="left" w:pos="709"/>
              </w:tabs>
              <w:jc w:val="center"/>
              <w:rPr>
                <w:bCs/>
              </w:rPr>
            </w:pPr>
            <w:r w:rsidRPr="005A1F62">
              <w:t>Определение оценки</w:t>
            </w:r>
          </w:p>
        </w:tc>
        <w:tc>
          <w:tcPr>
            <w:tcW w:w="715" w:type="pct"/>
            <w:shd w:val="clear" w:color="auto" w:fill="D9D9D9" w:themeFill="background1" w:themeFillShade="D9"/>
            <w:vAlign w:val="center"/>
          </w:tcPr>
          <w:p w14:paraId="6711F6CA" w14:textId="77777777" w:rsidR="00262AC0" w:rsidRPr="005A1F62" w:rsidRDefault="00262AC0" w:rsidP="00050222">
            <w:pPr>
              <w:tabs>
                <w:tab w:val="left" w:pos="709"/>
              </w:tabs>
              <w:jc w:val="center"/>
              <w:rPr>
                <w:bCs/>
              </w:rPr>
            </w:pPr>
            <w:r w:rsidRPr="005A1F62">
              <w:rPr>
                <w:bCs/>
              </w:rPr>
              <w:t>-1</w:t>
            </w:r>
          </w:p>
        </w:tc>
        <w:tc>
          <w:tcPr>
            <w:tcW w:w="689" w:type="pct"/>
            <w:shd w:val="clear" w:color="auto" w:fill="D9D9D9" w:themeFill="background1" w:themeFillShade="D9"/>
            <w:vAlign w:val="center"/>
          </w:tcPr>
          <w:p w14:paraId="37358192" w14:textId="77777777" w:rsidR="00262AC0" w:rsidRPr="005A1F62" w:rsidRDefault="00262AC0" w:rsidP="00050222">
            <w:pPr>
              <w:tabs>
                <w:tab w:val="left" w:pos="709"/>
              </w:tabs>
              <w:jc w:val="center"/>
              <w:rPr>
                <w:bCs/>
              </w:rPr>
            </w:pPr>
            <w:r w:rsidRPr="005A1F62">
              <w:rPr>
                <w:bCs/>
              </w:rPr>
              <w:t>1</w:t>
            </w:r>
          </w:p>
        </w:tc>
      </w:tr>
      <w:tr w:rsidR="00050222" w:rsidRPr="005A1F62" w14:paraId="631B1BC5" w14:textId="77777777" w:rsidTr="00050222">
        <w:tc>
          <w:tcPr>
            <w:tcW w:w="2751" w:type="pct"/>
            <w:vMerge/>
            <w:shd w:val="clear" w:color="auto" w:fill="D9D9D9" w:themeFill="background1" w:themeFillShade="D9"/>
            <w:vAlign w:val="center"/>
          </w:tcPr>
          <w:p w14:paraId="32C1F14A" w14:textId="77777777" w:rsidR="00050222" w:rsidRPr="005A1F62" w:rsidRDefault="00050222" w:rsidP="00050222"/>
        </w:tc>
        <w:tc>
          <w:tcPr>
            <w:tcW w:w="846" w:type="pct"/>
            <w:vMerge/>
            <w:shd w:val="clear" w:color="auto" w:fill="D9D9D9" w:themeFill="background1" w:themeFillShade="D9"/>
            <w:vAlign w:val="center"/>
          </w:tcPr>
          <w:p w14:paraId="55526179" w14:textId="2428EE0A" w:rsidR="00050222" w:rsidRPr="005A1F62" w:rsidRDefault="00050222" w:rsidP="00050222">
            <w:pPr>
              <w:jc w:val="center"/>
            </w:pPr>
          </w:p>
        </w:tc>
        <w:tc>
          <w:tcPr>
            <w:tcW w:w="715" w:type="pct"/>
            <w:shd w:val="clear" w:color="auto" w:fill="D9D9D9" w:themeFill="background1" w:themeFillShade="D9"/>
            <w:vAlign w:val="center"/>
          </w:tcPr>
          <w:p w14:paraId="547244A2" w14:textId="335AAC9A" w:rsidR="00050222" w:rsidRPr="005A1F62" w:rsidRDefault="00050222" w:rsidP="00050222">
            <w:pPr>
              <w:jc w:val="center"/>
            </w:pPr>
            <w:r w:rsidRPr="005A1F62">
              <w:rPr>
                <w:bCs/>
              </w:rPr>
              <w:t>не более</w:t>
            </w:r>
          </w:p>
        </w:tc>
        <w:tc>
          <w:tcPr>
            <w:tcW w:w="689" w:type="pct"/>
            <w:shd w:val="clear" w:color="auto" w:fill="D9D9D9" w:themeFill="background1" w:themeFillShade="D9"/>
            <w:vAlign w:val="center"/>
          </w:tcPr>
          <w:p w14:paraId="3EBFE759" w14:textId="607119C6" w:rsidR="00050222" w:rsidRPr="005A1F62" w:rsidRDefault="00050222" w:rsidP="00050222">
            <w:pPr>
              <w:jc w:val="center"/>
            </w:pPr>
            <w:r w:rsidRPr="005A1F62">
              <w:rPr>
                <w:bCs/>
              </w:rPr>
              <w:t>не менее</w:t>
            </w:r>
          </w:p>
        </w:tc>
      </w:tr>
      <w:tr w:rsidR="00050222" w:rsidRPr="005A1F62" w14:paraId="6C8283FE" w14:textId="77777777" w:rsidTr="00050222">
        <w:tc>
          <w:tcPr>
            <w:tcW w:w="2751" w:type="pct"/>
            <w:shd w:val="clear" w:color="auto" w:fill="FFFFFF" w:themeFill="background1"/>
            <w:vAlign w:val="center"/>
          </w:tcPr>
          <w:p w14:paraId="220537A0" w14:textId="49FA7C98" w:rsidR="00262AC0" w:rsidRPr="005A1F62" w:rsidRDefault="00262AC0" w:rsidP="00050222">
            <w:pPr>
              <w:tabs>
                <w:tab w:val="left" w:pos="709"/>
              </w:tabs>
              <w:jc w:val="both"/>
              <w:rPr>
                <w:color w:val="000000"/>
              </w:rPr>
            </w:pPr>
            <w:r w:rsidRPr="005A1F62">
              <w:rPr>
                <w:color w:val="000000"/>
              </w:rPr>
              <w:t>Величина не отраженного в отчетности обесценения ссудной задолженности ЮЛ, ИП, ФЛ относительно соответствующего остатка чистой ссудной задолженности, %</w:t>
            </w:r>
          </w:p>
        </w:tc>
        <w:tc>
          <w:tcPr>
            <w:tcW w:w="846" w:type="pct"/>
            <w:vMerge w:val="restart"/>
            <w:shd w:val="clear" w:color="auto" w:fill="FFFFFF" w:themeFill="background1"/>
            <w:vAlign w:val="center"/>
          </w:tcPr>
          <w:p w14:paraId="3D33AD8C" w14:textId="77777777" w:rsidR="00262AC0" w:rsidRPr="005A1F62" w:rsidRDefault="00262AC0" w:rsidP="00050222">
            <w:pPr>
              <w:jc w:val="center"/>
            </w:pPr>
            <w:r w:rsidRPr="005A1F62">
              <w:t>Минимум</w:t>
            </w:r>
          </w:p>
        </w:tc>
        <w:tc>
          <w:tcPr>
            <w:tcW w:w="715" w:type="pct"/>
            <w:shd w:val="clear" w:color="auto" w:fill="FFFFFF" w:themeFill="background1"/>
            <w:vAlign w:val="center"/>
          </w:tcPr>
          <w:p w14:paraId="0295A516" w14:textId="0CF6DDA6" w:rsidR="00262AC0" w:rsidRPr="005A1F62" w:rsidRDefault="00262AC0" w:rsidP="00050222">
            <w:pPr>
              <w:jc w:val="center"/>
            </w:pPr>
            <w:r w:rsidRPr="005A1F62">
              <w:t>15</w:t>
            </w:r>
          </w:p>
        </w:tc>
        <w:tc>
          <w:tcPr>
            <w:tcW w:w="689" w:type="pct"/>
            <w:shd w:val="clear" w:color="auto" w:fill="FFFFFF" w:themeFill="background1"/>
            <w:vAlign w:val="center"/>
          </w:tcPr>
          <w:p w14:paraId="41EAEC92" w14:textId="574F50CD" w:rsidR="00262AC0" w:rsidRPr="005A1F62" w:rsidRDefault="00262AC0" w:rsidP="00050222">
            <w:pPr>
              <w:jc w:val="center"/>
            </w:pPr>
            <w:r w:rsidRPr="005A1F62">
              <w:t>3</w:t>
            </w:r>
          </w:p>
        </w:tc>
      </w:tr>
      <w:tr w:rsidR="00050222" w:rsidRPr="005A1F62" w14:paraId="00294238" w14:textId="77777777" w:rsidTr="00050222">
        <w:trPr>
          <w:trHeight w:val="122"/>
        </w:trPr>
        <w:tc>
          <w:tcPr>
            <w:tcW w:w="2751" w:type="pct"/>
            <w:shd w:val="clear" w:color="auto" w:fill="FFFFFF" w:themeFill="background1"/>
            <w:vAlign w:val="center"/>
          </w:tcPr>
          <w:p w14:paraId="660E87C7" w14:textId="5D81EFD3" w:rsidR="00262AC0" w:rsidRPr="005A1F62" w:rsidRDefault="00262AC0" w:rsidP="00050222">
            <w:pPr>
              <w:tabs>
                <w:tab w:val="left" w:pos="709"/>
              </w:tabs>
              <w:jc w:val="both"/>
              <w:rPr>
                <w:color w:val="000000"/>
              </w:rPr>
            </w:pPr>
            <w:r w:rsidRPr="005A1F62">
              <w:rPr>
                <w:color w:val="000000"/>
              </w:rPr>
              <w:t>Величина не отраженного в отчетности обесценения ссудной задолженности ЮЛ, ИП, ФЛ относительно капитала, %</w:t>
            </w:r>
          </w:p>
        </w:tc>
        <w:tc>
          <w:tcPr>
            <w:tcW w:w="846" w:type="pct"/>
            <w:vMerge/>
            <w:shd w:val="clear" w:color="auto" w:fill="FFFFFF" w:themeFill="background1"/>
            <w:vAlign w:val="center"/>
          </w:tcPr>
          <w:p w14:paraId="567BDBB2" w14:textId="77777777" w:rsidR="00262AC0" w:rsidRPr="005A1F62" w:rsidRDefault="00262AC0" w:rsidP="00050222">
            <w:pPr>
              <w:jc w:val="center"/>
            </w:pPr>
          </w:p>
        </w:tc>
        <w:tc>
          <w:tcPr>
            <w:tcW w:w="715" w:type="pct"/>
            <w:shd w:val="clear" w:color="auto" w:fill="FFFFFF" w:themeFill="background1"/>
            <w:vAlign w:val="center"/>
          </w:tcPr>
          <w:p w14:paraId="68A825E9" w14:textId="65D9F18A" w:rsidR="00262AC0" w:rsidRPr="005A1F62" w:rsidRDefault="00FF1C6F" w:rsidP="00050222">
            <w:pPr>
              <w:jc w:val="center"/>
            </w:pPr>
            <w:r w:rsidRPr="005A1F62">
              <w:t>50</w:t>
            </w:r>
          </w:p>
        </w:tc>
        <w:tc>
          <w:tcPr>
            <w:tcW w:w="689" w:type="pct"/>
            <w:shd w:val="clear" w:color="auto" w:fill="FFFFFF" w:themeFill="background1"/>
            <w:vAlign w:val="center"/>
          </w:tcPr>
          <w:p w14:paraId="15C34B37" w14:textId="75142F32" w:rsidR="00262AC0" w:rsidRPr="005A1F62" w:rsidRDefault="00FF1C6F" w:rsidP="00050222">
            <w:pPr>
              <w:jc w:val="center"/>
            </w:pPr>
            <w:r w:rsidRPr="005A1F62">
              <w:t>10</w:t>
            </w:r>
          </w:p>
        </w:tc>
      </w:tr>
    </w:tbl>
    <w:p w14:paraId="19FFD302" w14:textId="79614F13" w:rsidR="00086CAD" w:rsidRPr="005A1F62" w:rsidRDefault="00086CAD" w:rsidP="00DC2FED">
      <w:pPr>
        <w:tabs>
          <w:tab w:val="left" w:pos="709"/>
        </w:tabs>
        <w:rPr>
          <w:bCs/>
        </w:rPr>
      </w:pPr>
    </w:p>
    <w:p w14:paraId="3F477D00" w14:textId="1FED219F" w:rsidR="00050222" w:rsidRPr="005A1F62" w:rsidRDefault="00050222" w:rsidP="003C5D28">
      <w:pPr>
        <w:pStyle w:val="afb"/>
        <w:numPr>
          <w:ilvl w:val="1"/>
          <w:numId w:val="21"/>
        </w:numPr>
        <w:tabs>
          <w:tab w:val="left" w:pos="709"/>
        </w:tabs>
        <w:jc w:val="both"/>
        <w:rPr>
          <w:bCs/>
        </w:rPr>
      </w:pPr>
      <w:r w:rsidRPr="005A1F62">
        <w:rPr>
          <w:bCs/>
        </w:rPr>
        <w:t xml:space="preserve">Отраженное в отчетности обесценение ссудной задолженности и </w:t>
      </w:r>
      <w:r w:rsidRPr="005A1F62">
        <w:t>параметры «работающего» ссудного портфеля ЮЛ и ИП</w:t>
      </w:r>
    </w:p>
    <w:p w14:paraId="50C1967A" w14:textId="77777777" w:rsidR="00050222" w:rsidRPr="005A1F62" w:rsidRDefault="00050222" w:rsidP="00DC2FED">
      <w:pPr>
        <w:tabs>
          <w:tab w:val="left" w:pos="709"/>
        </w:tabs>
        <w:rPr>
          <w:bCs/>
        </w:rPr>
      </w:pPr>
    </w:p>
    <w:tbl>
      <w:tblPr>
        <w:tblStyle w:val="af0"/>
        <w:tblW w:w="4944" w:type="pct"/>
        <w:tblInd w:w="108" w:type="dxa"/>
        <w:tblLook w:val="04A0" w:firstRow="1" w:lastRow="0" w:firstColumn="1" w:lastColumn="0" w:noHBand="0" w:noVBand="1"/>
      </w:tblPr>
      <w:tblGrid>
        <w:gridCol w:w="5085"/>
        <w:gridCol w:w="1563"/>
        <w:gridCol w:w="1297"/>
        <w:gridCol w:w="1295"/>
      </w:tblGrid>
      <w:tr w:rsidR="00050222" w:rsidRPr="005A1F62" w14:paraId="477B6D1D" w14:textId="77777777" w:rsidTr="00050222">
        <w:tc>
          <w:tcPr>
            <w:tcW w:w="2751" w:type="pct"/>
            <w:shd w:val="clear" w:color="auto" w:fill="D9D9D9" w:themeFill="background1" w:themeFillShade="D9"/>
            <w:vAlign w:val="center"/>
          </w:tcPr>
          <w:p w14:paraId="5032FE8A" w14:textId="084266FF" w:rsidR="00050222" w:rsidRPr="005A1F62" w:rsidRDefault="00050222" w:rsidP="00050222">
            <w:pPr>
              <w:tabs>
                <w:tab w:val="left" w:pos="709"/>
              </w:tabs>
              <w:rPr>
                <w:bCs/>
              </w:rPr>
            </w:pPr>
            <w:r w:rsidRPr="005A1F62">
              <w:rPr>
                <w:bCs/>
              </w:rPr>
              <w:t>Показатель  </w:t>
            </w:r>
          </w:p>
        </w:tc>
        <w:tc>
          <w:tcPr>
            <w:tcW w:w="846" w:type="pct"/>
            <w:shd w:val="clear" w:color="auto" w:fill="D9D9D9" w:themeFill="background1" w:themeFillShade="D9"/>
            <w:vAlign w:val="center"/>
          </w:tcPr>
          <w:p w14:paraId="4F5BCF52" w14:textId="15AD45BE" w:rsidR="00050222" w:rsidRPr="005A1F62" w:rsidRDefault="00050222" w:rsidP="00050222">
            <w:pPr>
              <w:tabs>
                <w:tab w:val="left" w:pos="709"/>
              </w:tabs>
              <w:jc w:val="center"/>
              <w:rPr>
                <w:bCs/>
              </w:rPr>
            </w:pPr>
            <w:r w:rsidRPr="005A1F62">
              <w:t>Определение оценки</w:t>
            </w:r>
          </w:p>
        </w:tc>
        <w:tc>
          <w:tcPr>
            <w:tcW w:w="702" w:type="pct"/>
            <w:shd w:val="clear" w:color="auto" w:fill="D9D9D9" w:themeFill="background1" w:themeFillShade="D9"/>
            <w:vAlign w:val="center"/>
          </w:tcPr>
          <w:p w14:paraId="102D58CE" w14:textId="1AE42169" w:rsidR="00050222" w:rsidRPr="005A1F62" w:rsidRDefault="00050222" w:rsidP="00050222">
            <w:pPr>
              <w:tabs>
                <w:tab w:val="left" w:pos="709"/>
              </w:tabs>
              <w:jc w:val="center"/>
              <w:rPr>
                <w:bCs/>
              </w:rPr>
            </w:pPr>
            <w:r w:rsidRPr="005A1F62">
              <w:rPr>
                <w:bCs/>
              </w:rPr>
              <w:t>-1</w:t>
            </w:r>
          </w:p>
        </w:tc>
        <w:tc>
          <w:tcPr>
            <w:tcW w:w="702" w:type="pct"/>
            <w:shd w:val="clear" w:color="auto" w:fill="D9D9D9" w:themeFill="background1" w:themeFillShade="D9"/>
            <w:vAlign w:val="center"/>
          </w:tcPr>
          <w:p w14:paraId="36B48C69" w14:textId="14D7DDAC" w:rsidR="00050222" w:rsidRPr="005A1F62" w:rsidRDefault="00050222" w:rsidP="00050222">
            <w:pPr>
              <w:tabs>
                <w:tab w:val="left" w:pos="709"/>
              </w:tabs>
              <w:jc w:val="center"/>
              <w:rPr>
                <w:bCs/>
              </w:rPr>
            </w:pPr>
            <w:r w:rsidRPr="005A1F62">
              <w:rPr>
                <w:bCs/>
              </w:rPr>
              <w:t>1</w:t>
            </w:r>
          </w:p>
        </w:tc>
      </w:tr>
      <w:tr w:rsidR="001F1B30" w:rsidRPr="005A1F62" w14:paraId="20BAE9FE" w14:textId="77777777" w:rsidTr="00050222">
        <w:tc>
          <w:tcPr>
            <w:tcW w:w="2751" w:type="pct"/>
          </w:tcPr>
          <w:p w14:paraId="04CCEF18" w14:textId="1CE81CCB" w:rsidR="001F1B30" w:rsidRPr="005A1F62" w:rsidRDefault="001F1B30" w:rsidP="00DC2FED">
            <w:pPr>
              <w:jc w:val="both"/>
            </w:pPr>
            <w:bookmarkStart w:id="245" w:name="_Hlk44068430"/>
            <w:r w:rsidRPr="005A1F62">
              <w:t>Средняя месячная за 6 месяцев оборачиваемость портфеля ссуд ЮЛ и ИП</w:t>
            </w:r>
            <w:r w:rsidR="00AA34B3" w:rsidRPr="005A1F62">
              <w:t>, %</w:t>
            </w:r>
          </w:p>
        </w:tc>
        <w:tc>
          <w:tcPr>
            <w:tcW w:w="846" w:type="pct"/>
            <w:vMerge w:val="restart"/>
            <w:vAlign w:val="center"/>
          </w:tcPr>
          <w:p w14:paraId="44FD1A2D" w14:textId="659A82A7" w:rsidR="001F1B30" w:rsidRPr="005A1F62" w:rsidRDefault="001F1B30" w:rsidP="00050222">
            <w:pPr>
              <w:jc w:val="center"/>
            </w:pPr>
            <w:r w:rsidRPr="005A1F62">
              <w:t>Мин</w:t>
            </w:r>
            <w:r w:rsidR="00715E12" w:rsidRPr="005A1F62">
              <w:t>имум</w:t>
            </w:r>
          </w:p>
        </w:tc>
        <w:tc>
          <w:tcPr>
            <w:tcW w:w="702" w:type="pct"/>
            <w:vAlign w:val="center"/>
          </w:tcPr>
          <w:p w14:paraId="3CE1FB80" w14:textId="7577E881" w:rsidR="001F1B30" w:rsidRPr="005A1F62" w:rsidRDefault="00050222" w:rsidP="00050222">
            <w:pPr>
              <w:jc w:val="center"/>
            </w:pPr>
            <w:r w:rsidRPr="005A1F62">
              <w:t>≤ 5</w:t>
            </w:r>
          </w:p>
        </w:tc>
        <w:tc>
          <w:tcPr>
            <w:tcW w:w="702" w:type="pct"/>
            <w:vAlign w:val="center"/>
          </w:tcPr>
          <w:p w14:paraId="447A3E75" w14:textId="5D209F1C" w:rsidR="001F1B30" w:rsidRPr="005A1F62" w:rsidRDefault="00050222" w:rsidP="00050222">
            <w:pPr>
              <w:jc w:val="center"/>
            </w:pPr>
            <w:r w:rsidRPr="005A1F62">
              <w:rPr>
                <w:lang w:val="en-US"/>
              </w:rPr>
              <w:t>≥</w:t>
            </w:r>
            <w:r w:rsidRPr="005A1F62">
              <w:t xml:space="preserve"> </w:t>
            </w:r>
            <w:r w:rsidR="000834FC" w:rsidRPr="005A1F62">
              <w:t>1</w:t>
            </w:r>
            <w:r w:rsidR="00C25AF8" w:rsidRPr="005A1F62">
              <w:t>4</w:t>
            </w:r>
          </w:p>
        </w:tc>
      </w:tr>
      <w:bookmarkEnd w:id="245"/>
      <w:tr w:rsidR="001F1B30" w:rsidRPr="005A1F62" w14:paraId="6E84A4EF" w14:textId="77777777" w:rsidTr="00050222">
        <w:tc>
          <w:tcPr>
            <w:tcW w:w="2751" w:type="pct"/>
          </w:tcPr>
          <w:p w14:paraId="245BBC3D" w14:textId="53D47F97" w:rsidR="001F1B30" w:rsidRPr="005A1F62" w:rsidRDefault="001F1B30" w:rsidP="00DC2FED">
            <w:pPr>
              <w:jc w:val="both"/>
            </w:pPr>
            <w:r w:rsidRPr="005A1F62">
              <w:t>Доля пролонгированных ссуд в портфеле ссуд ЮЛ, ИП, ФЛ</w:t>
            </w:r>
            <w:r w:rsidR="00AA34B3" w:rsidRPr="005A1F62">
              <w:t>, %</w:t>
            </w:r>
          </w:p>
        </w:tc>
        <w:tc>
          <w:tcPr>
            <w:tcW w:w="846" w:type="pct"/>
            <w:vMerge/>
            <w:vAlign w:val="center"/>
          </w:tcPr>
          <w:p w14:paraId="6E5140EE" w14:textId="77777777" w:rsidR="001F1B30" w:rsidRPr="005A1F62" w:rsidRDefault="001F1B30" w:rsidP="00050222">
            <w:pPr>
              <w:jc w:val="center"/>
            </w:pPr>
          </w:p>
        </w:tc>
        <w:tc>
          <w:tcPr>
            <w:tcW w:w="702" w:type="pct"/>
            <w:vAlign w:val="center"/>
          </w:tcPr>
          <w:p w14:paraId="3E34E352" w14:textId="6A22CCDC" w:rsidR="001F1B30" w:rsidRPr="005A1F62" w:rsidRDefault="00050222" w:rsidP="00050222">
            <w:pPr>
              <w:jc w:val="center"/>
            </w:pPr>
            <w:r w:rsidRPr="005A1F62">
              <w:rPr>
                <w:sz w:val="20"/>
                <w:szCs w:val="20"/>
                <w:lang w:val="en-US"/>
              </w:rPr>
              <w:t>≥</w:t>
            </w:r>
            <w:r w:rsidRPr="005A1F62">
              <w:rPr>
                <w:sz w:val="20"/>
                <w:szCs w:val="20"/>
              </w:rPr>
              <w:t xml:space="preserve"> </w:t>
            </w:r>
            <w:r w:rsidR="001F1B30" w:rsidRPr="005A1F62">
              <w:t>40</w:t>
            </w:r>
          </w:p>
        </w:tc>
        <w:tc>
          <w:tcPr>
            <w:tcW w:w="702" w:type="pct"/>
            <w:vAlign w:val="center"/>
          </w:tcPr>
          <w:p w14:paraId="0E019A2F" w14:textId="61EC1EE8" w:rsidR="001F1B30" w:rsidRPr="005A1F62" w:rsidRDefault="00050222" w:rsidP="00050222">
            <w:pPr>
              <w:jc w:val="center"/>
            </w:pPr>
            <w:r w:rsidRPr="005A1F62">
              <w:rPr>
                <w:sz w:val="20"/>
                <w:szCs w:val="20"/>
              </w:rPr>
              <w:t xml:space="preserve">≤ </w:t>
            </w:r>
            <w:r w:rsidR="001F1B30" w:rsidRPr="005A1F62">
              <w:t>10</w:t>
            </w:r>
          </w:p>
        </w:tc>
      </w:tr>
      <w:tr w:rsidR="001F1B30" w:rsidRPr="005A1F62" w14:paraId="08592B23" w14:textId="77777777" w:rsidTr="00050222">
        <w:tc>
          <w:tcPr>
            <w:tcW w:w="2751" w:type="pct"/>
          </w:tcPr>
          <w:p w14:paraId="71B856F0" w14:textId="7E904C21" w:rsidR="001F1B30" w:rsidRPr="005A1F62" w:rsidRDefault="001F1B30" w:rsidP="00DC2FED">
            <w:pPr>
              <w:jc w:val="both"/>
            </w:pPr>
            <w:r w:rsidRPr="005A1F62">
              <w:t>Доля ссуд, классифицированных в соответствии с п. 3.10 Положения Банка России №590-П (реструктурированных без понижения категории качества ссуд), в портфеле ссуд ЮЛ и ИП</w:t>
            </w:r>
            <w:r w:rsidR="00AA34B3" w:rsidRPr="005A1F62">
              <w:t>, %</w:t>
            </w:r>
          </w:p>
        </w:tc>
        <w:tc>
          <w:tcPr>
            <w:tcW w:w="846" w:type="pct"/>
            <w:vMerge/>
            <w:vAlign w:val="center"/>
          </w:tcPr>
          <w:p w14:paraId="47EC279A" w14:textId="77777777" w:rsidR="001F1B30" w:rsidRPr="005A1F62" w:rsidRDefault="001F1B30" w:rsidP="00050222">
            <w:pPr>
              <w:jc w:val="center"/>
            </w:pPr>
          </w:p>
        </w:tc>
        <w:tc>
          <w:tcPr>
            <w:tcW w:w="702" w:type="pct"/>
            <w:vAlign w:val="center"/>
          </w:tcPr>
          <w:p w14:paraId="49B826DF" w14:textId="57065683" w:rsidR="001F1B30" w:rsidRPr="005A1F62" w:rsidRDefault="00050222" w:rsidP="00050222">
            <w:pPr>
              <w:jc w:val="center"/>
            </w:pPr>
            <w:r w:rsidRPr="005A1F62">
              <w:rPr>
                <w:sz w:val="20"/>
                <w:szCs w:val="20"/>
                <w:lang w:val="en-US"/>
              </w:rPr>
              <w:t>≥</w:t>
            </w:r>
            <w:r w:rsidRPr="005A1F62">
              <w:rPr>
                <w:sz w:val="20"/>
                <w:szCs w:val="20"/>
              </w:rPr>
              <w:t xml:space="preserve"> </w:t>
            </w:r>
            <w:r w:rsidR="001F1B30" w:rsidRPr="005A1F62">
              <w:t>50</w:t>
            </w:r>
          </w:p>
        </w:tc>
        <w:tc>
          <w:tcPr>
            <w:tcW w:w="702" w:type="pct"/>
            <w:vAlign w:val="center"/>
          </w:tcPr>
          <w:p w14:paraId="38B81061" w14:textId="1DD2AA23" w:rsidR="001F1B30" w:rsidRPr="005A1F62" w:rsidRDefault="00050222" w:rsidP="00050222">
            <w:pPr>
              <w:jc w:val="center"/>
            </w:pPr>
            <w:r w:rsidRPr="005A1F62">
              <w:rPr>
                <w:sz w:val="20"/>
                <w:szCs w:val="20"/>
              </w:rPr>
              <w:t xml:space="preserve">≤ </w:t>
            </w:r>
            <w:r w:rsidR="001F1B30" w:rsidRPr="005A1F62">
              <w:t>15</w:t>
            </w:r>
          </w:p>
        </w:tc>
      </w:tr>
      <w:tr w:rsidR="001F1B30" w:rsidRPr="005A1F62" w14:paraId="6AB33A6F" w14:textId="77777777" w:rsidTr="00050222">
        <w:tc>
          <w:tcPr>
            <w:tcW w:w="2751" w:type="pct"/>
          </w:tcPr>
          <w:p w14:paraId="5FD8A5A5" w14:textId="14D4F3D3" w:rsidR="001F1B30" w:rsidRPr="005A1F62" w:rsidRDefault="001F1B30" w:rsidP="00DC2FED">
            <w:pPr>
              <w:jc w:val="both"/>
            </w:pPr>
            <w:r w:rsidRPr="005A1F62">
              <w:t>Доля ссуд, классифицированных в соответствии с п. 3.12.3 Положения Банка России №590-П</w:t>
            </w:r>
            <w:r w:rsidR="00AA34B3" w:rsidRPr="005A1F62">
              <w:t>, %</w:t>
            </w:r>
          </w:p>
        </w:tc>
        <w:tc>
          <w:tcPr>
            <w:tcW w:w="846" w:type="pct"/>
            <w:vMerge/>
            <w:vAlign w:val="center"/>
          </w:tcPr>
          <w:p w14:paraId="1557932B" w14:textId="77777777" w:rsidR="001F1B30" w:rsidRPr="005A1F62" w:rsidRDefault="001F1B30" w:rsidP="00050222">
            <w:pPr>
              <w:jc w:val="center"/>
            </w:pPr>
          </w:p>
        </w:tc>
        <w:tc>
          <w:tcPr>
            <w:tcW w:w="702" w:type="pct"/>
            <w:vAlign w:val="center"/>
          </w:tcPr>
          <w:p w14:paraId="5BB5A57F" w14:textId="132FA4A6" w:rsidR="001F1B30" w:rsidRPr="005A1F62" w:rsidRDefault="00050222" w:rsidP="00050222">
            <w:pPr>
              <w:jc w:val="center"/>
            </w:pPr>
            <w:r w:rsidRPr="005A1F62">
              <w:rPr>
                <w:sz w:val="20"/>
                <w:szCs w:val="20"/>
                <w:lang w:val="en-US"/>
              </w:rPr>
              <w:t>≥</w:t>
            </w:r>
            <w:r w:rsidRPr="005A1F62">
              <w:rPr>
                <w:sz w:val="20"/>
                <w:szCs w:val="20"/>
              </w:rPr>
              <w:t xml:space="preserve"> </w:t>
            </w:r>
            <w:r w:rsidR="001F1B30" w:rsidRPr="005A1F62">
              <w:t>45</w:t>
            </w:r>
          </w:p>
        </w:tc>
        <w:tc>
          <w:tcPr>
            <w:tcW w:w="702" w:type="pct"/>
            <w:vAlign w:val="center"/>
          </w:tcPr>
          <w:p w14:paraId="629AE0E9" w14:textId="59FB6EB3" w:rsidR="001F1B30" w:rsidRPr="005A1F62" w:rsidRDefault="00050222" w:rsidP="00050222">
            <w:pPr>
              <w:jc w:val="center"/>
            </w:pPr>
            <w:r w:rsidRPr="005A1F62">
              <w:rPr>
                <w:sz w:val="20"/>
                <w:szCs w:val="20"/>
              </w:rPr>
              <w:t xml:space="preserve">≤ </w:t>
            </w:r>
            <w:r w:rsidR="001F1B30" w:rsidRPr="005A1F62">
              <w:t>10</w:t>
            </w:r>
          </w:p>
        </w:tc>
      </w:tr>
    </w:tbl>
    <w:p w14:paraId="7BAB49D6" w14:textId="7E9DBFEA" w:rsidR="001F1B30" w:rsidRPr="005A1F62" w:rsidRDefault="001F1B30" w:rsidP="00DC2FED">
      <w:pPr>
        <w:tabs>
          <w:tab w:val="left" w:pos="709"/>
        </w:tabs>
        <w:rPr>
          <w:bCs/>
        </w:rPr>
      </w:pPr>
    </w:p>
    <w:p w14:paraId="18620F3B" w14:textId="527810F8" w:rsidR="00050222" w:rsidRPr="005A1F62" w:rsidRDefault="00050222" w:rsidP="003C5D28">
      <w:pPr>
        <w:pStyle w:val="afb"/>
        <w:numPr>
          <w:ilvl w:val="1"/>
          <w:numId w:val="21"/>
        </w:numPr>
        <w:tabs>
          <w:tab w:val="left" w:pos="709"/>
        </w:tabs>
        <w:jc w:val="both"/>
        <w:rPr>
          <w:bCs/>
        </w:rPr>
      </w:pPr>
      <w:r w:rsidRPr="005A1F62">
        <w:rPr>
          <w:bCs/>
        </w:rPr>
        <w:t xml:space="preserve">Отраженное в отчетности обесценение ссудной задолженности и </w:t>
      </w:r>
      <w:r w:rsidRPr="005A1F62">
        <w:t xml:space="preserve">параметры «работающего» портфеля однородных ссуд ФЛ </w:t>
      </w:r>
    </w:p>
    <w:p w14:paraId="23EEB9FE" w14:textId="77777777" w:rsidR="00050222" w:rsidRPr="005A1F62" w:rsidRDefault="00050222" w:rsidP="00DC2FED">
      <w:pPr>
        <w:tabs>
          <w:tab w:val="left" w:pos="709"/>
        </w:tabs>
        <w:rPr>
          <w:bCs/>
        </w:rPr>
      </w:pPr>
    </w:p>
    <w:tbl>
      <w:tblPr>
        <w:tblStyle w:val="af0"/>
        <w:tblW w:w="0" w:type="auto"/>
        <w:tblInd w:w="108" w:type="dxa"/>
        <w:tblLook w:val="04A0" w:firstRow="1" w:lastRow="0" w:firstColumn="1" w:lastColumn="0" w:noHBand="0" w:noVBand="1"/>
      </w:tblPr>
      <w:tblGrid>
        <w:gridCol w:w="3573"/>
        <w:gridCol w:w="3118"/>
        <w:gridCol w:w="1276"/>
        <w:gridCol w:w="1270"/>
      </w:tblGrid>
      <w:tr w:rsidR="004D1CBF" w:rsidRPr="005A1F62" w14:paraId="5D6186BF" w14:textId="77777777" w:rsidTr="004D1CBF">
        <w:tc>
          <w:tcPr>
            <w:tcW w:w="3573" w:type="dxa"/>
            <w:vMerge w:val="restart"/>
            <w:shd w:val="clear" w:color="auto" w:fill="D9D9D9" w:themeFill="background1" w:themeFillShade="D9"/>
            <w:vAlign w:val="center"/>
          </w:tcPr>
          <w:p w14:paraId="264BA31A" w14:textId="65646638" w:rsidR="004D1CBF" w:rsidRPr="005A1F62" w:rsidRDefault="004D1CBF" w:rsidP="004D1CBF">
            <w:pPr>
              <w:tabs>
                <w:tab w:val="left" w:pos="709"/>
              </w:tabs>
              <w:jc w:val="both"/>
              <w:rPr>
                <w:bCs/>
              </w:rPr>
            </w:pPr>
            <w:r w:rsidRPr="005A1F62">
              <w:rPr>
                <w:bCs/>
              </w:rPr>
              <w:t>Показатель  </w:t>
            </w:r>
          </w:p>
        </w:tc>
        <w:tc>
          <w:tcPr>
            <w:tcW w:w="3118" w:type="dxa"/>
            <w:vMerge w:val="restart"/>
            <w:shd w:val="clear" w:color="auto" w:fill="D9D9D9" w:themeFill="background1" w:themeFillShade="D9"/>
            <w:vAlign w:val="center"/>
          </w:tcPr>
          <w:p w14:paraId="71DFBAB4" w14:textId="7F589481" w:rsidR="004D1CBF" w:rsidRPr="005A1F62" w:rsidRDefault="004D1CBF" w:rsidP="004D1CBF">
            <w:pPr>
              <w:tabs>
                <w:tab w:val="left" w:pos="709"/>
              </w:tabs>
              <w:jc w:val="center"/>
              <w:rPr>
                <w:bCs/>
              </w:rPr>
            </w:pPr>
            <w:r w:rsidRPr="005A1F62">
              <w:t>Вес</w:t>
            </w:r>
          </w:p>
        </w:tc>
        <w:tc>
          <w:tcPr>
            <w:tcW w:w="1276" w:type="dxa"/>
            <w:shd w:val="clear" w:color="auto" w:fill="D9D9D9" w:themeFill="background1" w:themeFillShade="D9"/>
            <w:vAlign w:val="center"/>
          </w:tcPr>
          <w:p w14:paraId="3EBCECFE" w14:textId="4C5B9E96" w:rsidR="004D1CBF" w:rsidRPr="005A1F62" w:rsidRDefault="004D1CBF" w:rsidP="004D1CBF">
            <w:pPr>
              <w:tabs>
                <w:tab w:val="left" w:pos="709"/>
              </w:tabs>
              <w:jc w:val="center"/>
              <w:rPr>
                <w:bCs/>
              </w:rPr>
            </w:pPr>
            <w:r w:rsidRPr="005A1F62">
              <w:rPr>
                <w:bCs/>
              </w:rPr>
              <w:t>-1</w:t>
            </w:r>
          </w:p>
        </w:tc>
        <w:tc>
          <w:tcPr>
            <w:tcW w:w="1270" w:type="dxa"/>
            <w:shd w:val="clear" w:color="auto" w:fill="D9D9D9" w:themeFill="background1" w:themeFillShade="D9"/>
            <w:vAlign w:val="center"/>
          </w:tcPr>
          <w:p w14:paraId="70DCB03A" w14:textId="37D9985D" w:rsidR="004D1CBF" w:rsidRPr="005A1F62" w:rsidRDefault="004D1CBF" w:rsidP="004D1CBF">
            <w:pPr>
              <w:tabs>
                <w:tab w:val="left" w:pos="709"/>
              </w:tabs>
              <w:jc w:val="center"/>
              <w:rPr>
                <w:bCs/>
              </w:rPr>
            </w:pPr>
            <w:r w:rsidRPr="005A1F62">
              <w:rPr>
                <w:bCs/>
              </w:rPr>
              <w:t>1</w:t>
            </w:r>
          </w:p>
        </w:tc>
      </w:tr>
      <w:tr w:rsidR="004D1CBF" w:rsidRPr="005A1F62" w14:paraId="66666E37" w14:textId="77777777" w:rsidTr="004D1CBF">
        <w:tc>
          <w:tcPr>
            <w:tcW w:w="3573" w:type="dxa"/>
            <w:vMerge/>
            <w:shd w:val="clear" w:color="auto" w:fill="D9D9D9" w:themeFill="background1" w:themeFillShade="D9"/>
            <w:vAlign w:val="center"/>
          </w:tcPr>
          <w:p w14:paraId="4516C746" w14:textId="3D28EB0C" w:rsidR="004D1CBF" w:rsidRPr="005A1F62" w:rsidRDefault="004D1CBF" w:rsidP="004D1CBF">
            <w:pPr>
              <w:tabs>
                <w:tab w:val="left" w:pos="709"/>
              </w:tabs>
              <w:jc w:val="both"/>
              <w:rPr>
                <w:bCs/>
              </w:rPr>
            </w:pPr>
          </w:p>
        </w:tc>
        <w:tc>
          <w:tcPr>
            <w:tcW w:w="3118" w:type="dxa"/>
            <w:vMerge/>
            <w:shd w:val="clear" w:color="auto" w:fill="D9D9D9" w:themeFill="background1" w:themeFillShade="D9"/>
            <w:vAlign w:val="center"/>
          </w:tcPr>
          <w:p w14:paraId="40D9AC24" w14:textId="77777777" w:rsidR="004D1CBF" w:rsidRPr="005A1F62" w:rsidRDefault="004D1CBF" w:rsidP="004D1CBF">
            <w:pPr>
              <w:tabs>
                <w:tab w:val="left" w:pos="709"/>
              </w:tabs>
              <w:jc w:val="center"/>
              <w:rPr>
                <w:bCs/>
              </w:rPr>
            </w:pPr>
          </w:p>
        </w:tc>
        <w:tc>
          <w:tcPr>
            <w:tcW w:w="1276" w:type="dxa"/>
            <w:shd w:val="clear" w:color="auto" w:fill="D9D9D9" w:themeFill="background1" w:themeFillShade="D9"/>
            <w:vAlign w:val="center"/>
          </w:tcPr>
          <w:p w14:paraId="15E79B4E" w14:textId="20DC9634" w:rsidR="004D1CBF" w:rsidRPr="005A1F62" w:rsidRDefault="004D1CBF" w:rsidP="004D1CBF">
            <w:pPr>
              <w:tabs>
                <w:tab w:val="left" w:pos="709"/>
              </w:tabs>
              <w:jc w:val="center"/>
              <w:rPr>
                <w:bCs/>
              </w:rPr>
            </w:pPr>
            <w:r w:rsidRPr="005A1F62">
              <w:rPr>
                <w:bCs/>
              </w:rPr>
              <w:t>не менее</w:t>
            </w:r>
          </w:p>
        </w:tc>
        <w:tc>
          <w:tcPr>
            <w:tcW w:w="1270" w:type="dxa"/>
            <w:shd w:val="clear" w:color="auto" w:fill="D9D9D9" w:themeFill="background1" w:themeFillShade="D9"/>
            <w:vAlign w:val="center"/>
          </w:tcPr>
          <w:p w14:paraId="713DAEC3" w14:textId="42E00ACC" w:rsidR="004D1CBF" w:rsidRPr="005A1F62" w:rsidRDefault="004D1CBF" w:rsidP="004D1CBF">
            <w:pPr>
              <w:tabs>
                <w:tab w:val="left" w:pos="709"/>
              </w:tabs>
              <w:jc w:val="center"/>
              <w:rPr>
                <w:bCs/>
              </w:rPr>
            </w:pPr>
            <w:r w:rsidRPr="005A1F62">
              <w:rPr>
                <w:bCs/>
              </w:rPr>
              <w:t>не более</w:t>
            </w:r>
          </w:p>
        </w:tc>
      </w:tr>
      <w:tr w:rsidR="004D1CBF" w:rsidRPr="005A1F62" w14:paraId="169939A0" w14:textId="77777777" w:rsidTr="004D1CBF">
        <w:tc>
          <w:tcPr>
            <w:tcW w:w="3573" w:type="dxa"/>
            <w:vAlign w:val="center"/>
          </w:tcPr>
          <w:p w14:paraId="029F2C18" w14:textId="7B14BBE4" w:rsidR="004D1CBF" w:rsidRPr="005A1F62" w:rsidRDefault="004D1CBF" w:rsidP="004D1CBF">
            <w:r w:rsidRPr="005A1F62">
              <w:t>Расчетный уровень обесценения однородных потребительских кредитов, %</w:t>
            </w:r>
          </w:p>
        </w:tc>
        <w:tc>
          <w:tcPr>
            <w:tcW w:w="3118" w:type="dxa"/>
            <w:vAlign w:val="center"/>
          </w:tcPr>
          <w:p w14:paraId="187E3FD5" w14:textId="6CFAD9A8" w:rsidR="004D1CBF" w:rsidRPr="005A1F62" w:rsidRDefault="004D1CBF" w:rsidP="004D1CBF">
            <w:pPr>
              <w:jc w:val="center"/>
            </w:pPr>
            <w:r w:rsidRPr="005A1F62">
              <w:t>доля потребительских кредитов в совокупной задолженности по однородным ссудам</w:t>
            </w:r>
          </w:p>
        </w:tc>
        <w:tc>
          <w:tcPr>
            <w:tcW w:w="1276" w:type="dxa"/>
            <w:vAlign w:val="center"/>
          </w:tcPr>
          <w:p w14:paraId="2F6B4EB7" w14:textId="79ADB824" w:rsidR="004D1CBF" w:rsidRPr="005A1F62" w:rsidRDefault="004D1CBF" w:rsidP="004D1CBF">
            <w:pPr>
              <w:jc w:val="center"/>
            </w:pPr>
            <w:r w:rsidRPr="005A1F62">
              <w:t>25</w:t>
            </w:r>
          </w:p>
        </w:tc>
        <w:tc>
          <w:tcPr>
            <w:tcW w:w="1270" w:type="dxa"/>
            <w:vAlign w:val="center"/>
          </w:tcPr>
          <w:p w14:paraId="42B78C96" w14:textId="5523A991" w:rsidR="004D1CBF" w:rsidRPr="005A1F62" w:rsidRDefault="004D1CBF" w:rsidP="004D1CBF">
            <w:pPr>
              <w:jc w:val="center"/>
            </w:pPr>
            <w:r w:rsidRPr="005A1F62">
              <w:t>7</w:t>
            </w:r>
          </w:p>
        </w:tc>
      </w:tr>
      <w:tr w:rsidR="004D1CBF" w:rsidRPr="005A1F62" w14:paraId="18DF48DA" w14:textId="77777777" w:rsidTr="004D1CBF">
        <w:tc>
          <w:tcPr>
            <w:tcW w:w="3573" w:type="dxa"/>
            <w:vAlign w:val="center"/>
          </w:tcPr>
          <w:p w14:paraId="0F446E85" w14:textId="5DFB99BE" w:rsidR="004D1CBF" w:rsidRPr="005A1F62" w:rsidRDefault="004D1CBF" w:rsidP="004D1CBF">
            <w:r w:rsidRPr="005A1F62">
              <w:t>Расчетный уровень обесценения однородных автокредитов, %</w:t>
            </w:r>
          </w:p>
        </w:tc>
        <w:tc>
          <w:tcPr>
            <w:tcW w:w="3118" w:type="dxa"/>
            <w:vAlign w:val="center"/>
          </w:tcPr>
          <w:p w14:paraId="0A45C290" w14:textId="6E7D0348" w:rsidR="004D1CBF" w:rsidRPr="005A1F62" w:rsidRDefault="004D1CBF" w:rsidP="004D1CBF">
            <w:pPr>
              <w:jc w:val="center"/>
            </w:pPr>
            <w:r w:rsidRPr="005A1F62">
              <w:t>доля автокредитов в совокупной задолженности по однородным ссудам</w:t>
            </w:r>
          </w:p>
        </w:tc>
        <w:tc>
          <w:tcPr>
            <w:tcW w:w="1276" w:type="dxa"/>
            <w:vAlign w:val="center"/>
          </w:tcPr>
          <w:p w14:paraId="4F508B0E" w14:textId="3E638082" w:rsidR="004D1CBF" w:rsidRPr="005A1F62" w:rsidRDefault="004D1CBF" w:rsidP="004D1CBF">
            <w:pPr>
              <w:jc w:val="center"/>
            </w:pPr>
            <w:r w:rsidRPr="005A1F62">
              <w:t>15</w:t>
            </w:r>
          </w:p>
        </w:tc>
        <w:tc>
          <w:tcPr>
            <w:tcW w:w="1270" w:type="dxa"/>
            <w:vAlign w:val="center"/>
          </w:tcPr>
          <w:p w14:paraId="5FF36E67" w14:textId="09D75F92" w:rsidR="004D1CBF" w:rsidRPr="005A1F62" w:rsidRDefault="004D1CBF" w:rsidP="004D1CBF">
            <w:pPr>
              <w:jc w:val="center"/>
            </w:pPr>
            <w:r w:rsidRPr="005A1F62">
              <w:t>2</w:t>
            </w:r>
          </w:p>
        </w:tc>
      </w:tr>
      <w:tr w:rsidR="004D1CBF" w:rsidRPr="005A1F62" w14:paraId="4AB630D0" w14:textId="77777777" w:rsidTr="004D1CBF">
        <w:tc>
          <w:tcPr>
            <w:tcW w:w="3573" w:type="dxa"/>
            <w:vAlign w:val="center"/>
          </w:tcPr>
          <w:p w14:paraId="48FA8818" w14:textId="0452D3DF" w:rsidR="004D1CBF" w:rsidRPr="005A1F62" w:rsidRDefault="004D1CBF" w:rsidP="004D1CBF">
            <w:r w:rsidRPr="005A1F62">
              <w:t>Расчетный уровень обесценения однородных ипотечных и жилищных ссуд, %</w:t>
            </w:r>
          </w:p>
        </w:tc>
        <w:tc>
          <w:tcPr>
            <w:tcW w:w="3118" w:type="dxa"/>
            <w:vAlign w:val="center"/>
          </w:tcPr>
          <w:p w14:paraId="5BB5393A" w14:textId="5F6EF4EB" w:rsidR="004D1CBF" w:rsidRPr="005A1F62" w:rsidRDefault="004D1CBF" w:rsidP="004D1CBF">
            <w:pPr>
              <w:jc w:val="center"/>
            </w:pPr>
            <w:r w:rsidRPr="005A1F62">
              <w:t>доля ипотечных и жилищных ссуд в совокупной задолженности по однородным ссудам</w:t>
            </w:r>
          </w:p>
        </w:tc>
        <w:tc>
          <w:tcPr>
            <w:tcW w:w="1276" w:type="dxa"/>
            <w:vAlign w:val="center"/>
          </w:tcPr>
          <w:p w14:paraId="4E43E3B3" w14:textId="3145BECB" w:rsidR="004D1CBF" w:rsidRPr="005A1F62" w:rsidRDefault="004D1CBF" w:rsidP="004D1CBF">
            <w:pPr>
              <w:jc w:val="center"/>
            </w:pPr>
            <w:r w:rsidRPr="005A1F62">
              <w:t>9</w:t>
            </w:r>
          </w:p>
        </w:tc>
        <w:tc>
          <w:tcPr>
            <w:tcW w:w="1270" w:type="dxa"/>
            <w:vAlign w:val="center"/>
          </w:tcPr>
          <w:p w14:paraId="1D8321D9" w14:textId="5308FED3" w:rsidR="004D1CBF" w:rsidRPr="005A1F62" w:rsidRDefault="004D1CBF" w:rsidP="004D1CBF">
            <w:pPr>
              <w:jc w:val="center"/>
            </w:pPr>
            <w:r w:rsidRPr="005A1F62">
              <w:t>1</w:t>
            </w:r>
          </w:p>
        </w:tc>
      </w:tr>
    </w:tbl>
    <w:p w14:paraId="1409CF27" w14:textId="24D21B88" w:rsidR="003E38FC" w:rsidRDefault="003E38FC" w:rsidP="00DC2FED">
      <w:pPr>
        <w:tabs>
          <w:tab w:val="left" w:pos="709"/>
        </w:tabs>
        <w:ind w:firstLine="567"/>
        <w:rPr>
          <w:bCs/>
        </w:rPr>
      </w:pPr>
    </w:p>
    <w:p w14:paraId="2B7708F9" w14:textId="77777777" w:rsidR="005A1F66" w:rsidRPr="005A1F62" w:rsidRDefault="005A1F66" w:rsidP="00DC2FED">
      <w:pPr>
        <w:tabs>
          <w:tab w:val="left" w:pos="709"/>
        </w:tabs>
        <w:ind w:firstLine="567"/>
        <w:rPr>
          <w:bCs/>
        </w:rPr>
      </w:pPr>
    </w:p>
    <w:p w14:paraId="575CCC21" w14:textId="0788036F" w:rsidR="003E38FC" w:rsidRPr="005A1F62" w:rsidRDefault="003E38FC" w:rsidP="003C5D28">
      <w:pPr>
        <w:pStyle w:val="afb"/>
        <w:numPr>
          <w:ilvl w:val="0"/>
          <w:numId w:val="21"/>
        </w:numPr>
        <w:tabs>
          <w:tab w:val="left" w:pos="709"/>
        </w:tabs>
        <w:ind w:left="0" w:firstLine="567"/>
        <w:rPr>
          <w:bCs/>
        </w:rPr>
      </w:pPr>
      <w:r w:rsidRPr="005A1F62">
        <w:rPr>
          <w:bCs/>
        </w:rPr>
        <w:t>КОНЦЕНТРАЦИЯ КРЕДИТНЫХ РИСКОВ</w:t>
      </w:r>
      <w:r w:rsidR="008E69D4" w:rsidRPr="005A1F62">
        <w:rPr>
          <w:bCs/>
        </w:rPr>
        <w:t xml:space="preserve"> НА КРУПНЫХ КЛИЕНТАХ</w:t>
      </w:r>
    </w:p>
    <w:p w14:paraId="07F87BDD" w14:textId="77777777" w:rsidR="004D1CBF" w:rsidRPr="005A1F62" w:rsidRDefault="004D1CBF" w:rsidP="004D1CBF">
      <w:pPr>
        <w:pStyle w:val="afb"/>
        <w:tabs>
          <w:tab w:val="left" w:pos="709"/>
        </w:tabs>
        <w:ind w:left="567"/>
        <w:rPr>
          <w:bCs/>
        </w:rPr>
      </w:pPr>
    </w:p>
    <w:tbl>
      <w:tblPr>
        <w:tblW w:w="5000" w:type="pct"/>
        <w:tblLook w:val="04A0" w:firstRow="1" w:lastRow="0" w:firstColumn="1" w:lastColumn="0" w:noHBand="0" w:noVBand="1"/>
      </w:tblPr>
      <w:tblGrid>
        <w:gridCol w:w="5521"/>
        <w:gridCol w:w="1536"/>
        <w:gridCol w:w="1157"/>
        <w:gridCol w:w="1131"/>
      </w:tblGrid>
      <w:tr w:rsidR="004D1CBF" w:rsidRPr="005A1F62" w14:paraId="3B46AAEB" w14:textId="77777777" w:rsidTr="004D1CBF">
        <w:trPr>
          <w:trHeight w:val="20"/>
        </w:trPr>
        <w:tc>
          <w:tcPr>
            <w:tcW w:w="295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E0FFA56" w14:textId="62B48C26" w:rsidR="004D1CBF" w:rsidRPr="005A1F62" w:rsidRDefault="004D1CBF" w:rsidP="004D1CBF">
            <w:pPr>
              <w:tabs>
                <w:tab w:val="left" w:pos="709"/>
              </w:tabs>
            </w:pPr>
            <w:r w:rsidRPr="005A1F62">
              <w:lastRenderedPageBreak/>
              <w:t>Показатель </w:t>
            </w:r>
          </w:p>
        </w:tc>
        <w:tc>
          <w:tcPr>
            <w:tcW w:w="822" w:type="pct"/>
            <w:vMerge w:val="restart"/>
            <w:tcBorders>
              <w:top w:val="single" w:sz="4" w:space="0" w:color="auto"/>
              <w:left w:val="nil"/>
              <w:right w:val="single" w:sz="4" w:space="0" w:color="auto"/>
            </w:tcBorders>
            <w:shd w:val="clear" w:color="auto" w:fill="D9D9D9" w:themeFill="background1" w:themeFillShade="D9"/>
            <w:vAlign w:val="center"/>
          </w:tcPr>
          <w:p w14:paraId="660381BE" w14:textId="48648530" w:rsidR="004D1CBF" w:rsidRPr="005A1F62" w:rsidRDefault="004D1CBF" w:rsidP="004D1CBF">
            <w:pPr>
              <w:tabs>
                <w:tab w:val="left" w:pos="709"/>
              </w:tabs>
              <w:jc w:val="center"/>
              <w:rPr>
                <w:bCs/>
                <w:color w:val="FFFFFF"/>
              </w:rPr>
            </w:pPr>
            <w:r w:rsidRPr="005A1F62">
              <w:rPr>
                <w:bCs/>
              </w:rPr>
              <w:t>Вес, %</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954152" w14:textId="77777777" w:rsidR="004D1CBF" w:rsidRPr="005A1F62" w:rsidRDefault="004D1CBF" w:rsidP="004D1CBF">
            <w:pPr>
              <w:tabs>
                <w:tab w:val="left" w:pos="709"/>
              </w:tabs>
              <w:jc w:val="center"/>
              <w:rPr>
                <w:bCs/>
              </w:rPr>
            </w:pPr>
            <w:r w:rsidRPr="005A1F62">
              <w:rPr>
                <w:bCs/>
              </w:rPr>
              <w:t>-1</w:t>
            </w:r>
          </w:p>
        </w:tc>
        <w:tc>
          <w:tcPr>
            <w:tcW w:w="60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F7C4D4" w14:textId="77777777" w:rsidR="004D1CBF" w:rsidRPr="005A1F62" w:rsidRDefault="004D1CBF" w:rsidP="004D1CBF">
            <w:pPr>
              <w:tabs>
                <w:tab w:val="left" w:pos="709"/>
              </w:tabs>
              <w:jc w:val="center"/>
              <w:rPr>
                <w:bCs/>
              </w:rPr>
            </w:pPr>
            <w:r w:rsidRPr="005A1F62">
              <w:rPr>
                <w:bCs/>
              </w:rPr>
              <w:t>1</w:t>
            </w:r>
          </w:p>
        </w:tc>
      </w:tr>
      <w:tr w:rsidR="004D1CBF" w:rsidRPr="005A1F62" w14:paraId="6FB6B09D" w14:textId="77777777" w:rsidTr="004D1CBF">
        <w:trPr>
          <w:trHeight w:val="20"/>
        </w:trPr>
        <w:tc>
          <w:tcPr>
            <w:tcW w:w="2953" w:type="pct"/>
            <w:vMerge/>
            <w:tcBorders>
              <w:left w:val="single" w:sz="4" w:space="0" w:color="auto"/>
              <w:bottom w:val="single" w:sz="4" w:space="0" w:color="auto"/>
              <w:right w:val="single" w:sz="4" w:space="0" w:color="auto"/>
            </w:tcBorders>
            <w:shd w:val="clear" w:color="auto" w:fill="D9D9D9" w:themeFill="background1" w:themeFillShade="D9"/>
            <w:vAlign w:val="bottom"/>
            <w:hideMark/>
          </w:tcPr>
          <w:p w14:paraId="2117D22A" w14:textId="6CDF5211" w:rsidR="004D1CBF" w:rsidRPr="005A1F62" w:rsidRDefault="004D1CBF" w:rsidP="00DC2FED">
            <w:pPr>
              <w:tabs>
                <w:tab w:val="left" w:pos="709"/>
              </w:tabs>
            </w:pPr>
          </w:p>
        </w:tc>
        <w:tc>
          <w:tcPr>
            <w:tcW w:w="822" w:type="pct"/>
            <w:vMerge/>
            <w:tcBorders>
              <w:left w:val="nil"/>
              <w:bottom w:val="single" w:sz="4" w:space="0" w:color="auto"/>
              <w:right w:val="single" w:sz="4" w:space="0" w:color="auto"/>
            </w:tcBorders>
            <w:shd w:val="clear" w:color="auto" w:fill="D9D9D9" w:themeFill="background1" w:themeFillShade="D9"/>
            <w:vAlign w:val="center"/>
          </w:tcPr>
          <w:p w14:paraId="29E6521A" w14:textId="287D0559" w:rsidR="004D1CBF" w:rsidRPr="005A1F62" w:rsidRDefault="004D1CBF" w:rsidP="004D1CBF">
            <w:pPr>
              <w:tabs>
                <w:tab w:val="left" w:pos="709"/>
              </w:tabs>
              <w:jc w:val="center"/>
              <w:rPr>
                <w:bCs/>
              </w:rPr>
            </w:pPr>
          </w:p>
        </w:tc>
        <w:tc>
          <w:tcPr>
            <w:tcW w:w="61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E875CF" w14:textId="02709D7B" w:rsidR="004D1CBF" w:rsidRPr="005A1F62" w:rsidRDefault="004D1CBF" w:rsidP="004D1CBF">
            <w:pPr>
              <w:tabs>
                <w:tab w:val="left" w:pos="709"/>
              </w:tabs>
              <w:jc w:val="center"/>
              <w:rPr>
                <w:bCs/>
              </w:rPr>
            </w:pPr>
            <w:r w:rsidRPr="005A1F62">
              <w:rPr>
                <w:bCs/>
              </w:rPr>
              <w:t>не менее</w:t>
            </w:r>
          </w:p>
        </w:tc>
        <w:tc>
          <w:tcPr>
            <w:tcW w:w="605" w:type="pct"/>
            <w:tcBorders>
              <w:top w:val="nil"/>
              <w:left w:val="nil"/>
              <w:bottom w:val="single" w:sz="4" w:space="0" w:color="auto"/>
              <w:right w:val="single" w:sz="4" w:space="0" w:color="auto"/>
            </w:tcBorders>
            <w:shd w:val="clear" w:color="auto" w:fill="D9D9D9" w:themeFill="background1" w:themeFillShade="D9"/>
            <w:noWrap/>
            <w:vAlign w:val="center"/>
            <w:hideMark/>
          </w:tcPr>
          <w:p w14:paraId="07FC28D2" w14:textId="76009FCB" w:rsidR="004D1CBF" w:rsidRPr="005A1F62" w:rsidRDefault="004D1CBF" w:rsidP="004D1CBF">
            <w:pPr>
              <w:tabs>
                <w:tab w:val="left" w:pos="709"/>
              </w:tabs>
              <w:jc w:val="center"/>
              <w:rPr>
                <w:bCs/>
              </w:rPr>
            </w:pPr>
            <w:r w:rsidRPr="005A1F62">
              <w:rPr>
                <w:bCs/>
              </w:rPr>
              <w:t>не более</w:t>
            </w:r>
          </w:p>
        </w:tc>
      </w:tr>
      <w:tr w:rsidR="008E69D4" w:rsidRPr="005A1F62" w14:paraId="07F55764" w14:textId="77777777" w:rsidTr="004D1CBF">
        <w:trPr>
          <w:trHeight w:val="20"/>
        </w:trPr>
        <w:tc>
          <w:tcPr>
            <w:tcW w:w="2953" w:type="pct"/>
            <w:tcBorders>
              <w:top w:val="nil"/>
              <w:left w:val="single" w:sz="4" w:space="0" w:color="auto"/>
              <w:bottom w:val="single" w:sz="4" w:space="0" w:color="auto"/>
              <w:right w:val="single" w:sz="4" w:space="0" w:color="auto"/>
            </w:tcBorders>
            <w:shd w:val="clear" w:color="auto" w:fill="auto"/>
            <w:vAlign w:val="bottom"/>
            <w:hideMark/>
          </w:tcPr>
          <w:p w14:paraId="4EA27D4E" w14:textId="5C7118F9" w:rsidR="008E69D4" w:rsidRPr="005A1F62" w:rsidRDefault="008E69D4" w:rsidP="00DC2FED">
            <w:pPr>
              <w:tabs>
                <w:tab w:val="left" w:pos="709"/>
              </w:tabs>
            </w:pPr>
            <w:r w:rsidRPr="005A1F62">
              <w:t>Величина максимального кредитного риска на одного заемщик</w:t>
            </w:r>
            <w:r w:rsidR="004D73D5" w:rsidRPr="005A1F62">
              <w:t>а к капиталу</w:t>
            </w:r>
            <w:r w:rsidRPr="005A1F62">
              <w:t>, %</w:t>
            </w:r>
          </w:p>
        </w:tc>
        <w:tc>
          <w:tcPr>
            <w:tcW w:w="822" w:type="pct"/>
            <w:vMerge w:val="restart"/>
            <w:tcBorders>
              <w:top w:val="single" w:sz="4" w:space="0" w:color="auto"/>
              <w:left w:val="nil"/>
              <w:right w:val="single" w:sz="4" w:space="0" w:color="auto"/>
            </w:tcBorders>
            <w:vAlign w:val="center"/>
          </w:tcPr>
          <w:p w14:paraId="2696CA99" w14:textId="77777777" w:rsidR="004D1CBF" w:rsidRPr="005A1F62" w:rsidRDefault="008E69D4" w:rsidP="004D1CBF">
            <w:pPr>
              <w:tabs>
                <w:tab w:val="left" w:pos="709"/>
              </w:tabs>
              <w:jc w:val="center"/>
            </w:pPr>
            <w:r w:rsidRPr="005A1F62">
              <w:t>50*</w:t>
            </w:r>
          </w:p>
          <w:p w14:paraId="4AAE065B" w14:textId="10FF20B7" w:rsidR="008E69D4" w:rsidRPr="005A1F62" w:rsidRDefault="008E69D4" w:rsidP="004D1CBF">
            <w:pPr>
              <w:tabs>
                <w:tab w:val="left" w:pos="709"/>
              </w:tabs>
              <w:jc w:val="center"/>
            </w:pPr>
            <w:r w:rsidRPr="005A1F62">
              <w:t>минимум</w:t>
            </w:r>
          </w:p>
        </w:tc>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1136B5EA" w14:textId="6459E02E" w:rsidR="008E69D4" w:rsidRPr="005A1F62" w:rsidRDefault="004D1CBF" w:rsidP="004D1CBF">
            <w:pPr>
              <w:tabs>
                <w:tab w:val="left" w:pos="709"/>
              </w:tabs>
              <w:jc w:val="center"/>
            </w:pPr>
            <w:r w:rsidRPr="005A1F62">
              <w:t>24</w:t>
            </w:r>
          </w:p>
        </w:tc>
        <w:tc>
          <w:tcPr>
            <w:tcW w:w="605" w:type="pct"/>
            <w:tcBorders>
              <w:top w:val="nil"/>
              <w:left w:val="nil"/>
              <w:bottom w:val="single" w:sz="4" w:space="0" w:color="auto"/>
              <w:right w:val="single" w:sz="4" w:space="0" w:color="auto"/>
            </w:tcBorders>
            <w:shd w:val="clear" w:color="auto" w:fill="auto"/>
            <w:noWrap/>
            <w:vAlign w:val="center"/>
            <w:hideMark/>
          </w:tcPr>
          <w:p w14:paraId="7AED9836" w14:textId="02882F18" w:rsidR="008E69D4" w:rsidRPr="005A1F62" w:rsidRDefault="004D1CBF" w:rsidP="004D1CBF">
            <w:pPr>
              <w:tabs>
                <w:tab w:val="left" w:pos="709"/>
              </w:tabs>
              <w:jc w:val="center"/>
            </w:pPr>
            <w:r w:rsidRPr="005A1F62">
              <w:t>18</w:t>
            </w:r>
          </w:p>
        </w:tc>
      </w:tr>
      <w:tr w:rsidR="008E69D4" w:rsidRPr="005A1F62" w14:paraId="052977F9" w14:textId="77777777" w:rsidTr="004D1CBF">
        <w:trPr>
          <w:trHeight w:val="20"/>
        </w:trPr>
        <w:tc>
          <w:tcPr>
            <w:tcW w:w="2953" w:type="pct"/>
            <w:tcBorders>
              <w:top w:val="nil"/>
              <w:left w:val="single" w:sz="4" w:space="0" w:color="auto"/>
              <w:bottom w:val="single" w:sz="4" w:space="0" w:color="auto"/>
              <w:right w:val="single" w:sz="4" w:space="0" w:color="auto"/>
            </w:tcBorders>
            <w:shd w:val="clear" w:color="auto" w:fill="auto"/>
            <w:vAlign w:val="bottom"/>
          </w:tcPr>
          <w:p w14:paraId="6A264FE6" w14:textId="4A910DFF" w:rsidR="008E69D4" w:rsidRPr="005A1F62" w:rsidRDefault="008E69D4" w:rsidP="00DC2FED">
            <w:pPr>
              <w:tabs>
                <w:tab w:val="left" w:pos="709"/>
              </w:tabs>
            </w:pPr>
            <w:r w:rsidRPr="005A1F62">
              <w:t>Величина максимального кредитного риска на одного заемщика к активам</w:t>
            </w:r>
            <w:r w:rsidR="004D73D5" w:rsidRPr="005A1F62">
              <w:t xml:space="preserve"> за вычетом резервов</w:t>
            </w:r>
            <w:r w:rsidRPr="005A1F62">
              <w:t>, %</w:t>
            </w:r>
          </w:p>
        </w:tc>
        <w:tc>
          <w:tcPr>
            <w:tcW w:w="822" w:type="pct"/>
            <w:vMerge/>
            <w:tcBorders>
              <w:left w:val="nil"/>
              <w:bottom w:val="single" w:sz="4" w:space="0" w:color="auto"/>
              <w:right w:val="single" w:sz="4" w:space="0" w:color="auto"/>
            </w:tcBorders>
            <w:vAlign w:val="center"/>
          </w:tcPr>
          <w:p w14:paraId="5AD409B6" w14:textId="77777777" w:rsidR="008E69D4" w:rsidRPr="005A1F62" w:rsidRDefault="008E69D4" w:rsidP="004D1CBF">
            <w:pPr>
              <w:tabs>
                <w:tab w:val="left" w:pos="709"/>
              </w:tabs>
              <w:jc w:val="center"/>
              <w:rPr>
                <w:highlight w:val="yellow"/>
              </w:rPr>
            </w:pPr>
          </w:p>
        </w:tc>
        <w:tc>
          <w:tcPr>
            <w:tcW w:w="619" w:type="pct"/>
            <w:tcBorders>
              <w:top w:val="nil"/>
              <w:left w:val="single" w:sz="4" w:space="0" w:color="auto"/>
              <w:bottom w:val="single" w:sz="4" w:space="0" w:color="auto"/>
              <w:right w:val="single" w:sz="4" w:space="0" w:color="auto"/>
            </w:tcBorders>
            <w:shd w:val="clear" w:color="auto" w:fill="auto"/>
            <w:noWrap/>
            <w:vAlign w:val="center"/>
          </w:tcPr>
          <w:p w14:paraId="13857F2F" w14:textId="77777777" w:rsidR="008E69D4" w:rsidRPr="005A1F62" w:rsidRDefault="00BC11F2" w:rsidP="004D1CBF">
            <w:pPr>
              <w:tabs>
                <w:tab w:val="left" w:pos="709"/>
              </w:tabs>
              <w:jc w:val="center"/>
            </w:pPr>
            <w:r w:rsidRPr="005A1F62">
              <w:t>5</w:t>
            </w:r>
          </w:p>
        </w:tc>
        <w:tc>
          <w:tcPr>
            <w:tcW w:w="605" w:type="pct"/>
            <w:tcBorders>
              <w:top w:val="nil"/>
              <w:left w:val="nil"/>
              <w:bottom w:val="single" w:sz="4" w:space="0" w:color="auto"/>
              <w:right w:val="single" w:sz="4" w:space="0" w:color="auto"/>
            </w:tcBorders>
            <w:shd w:val="clear" w:color="auto" w:fill="auto"/>
            <w:noWrap/>
            <w:vAlign w:val="center"/>
          </w:tcPr>
          <w:p w14:paraId="036CEF6A" w14:textId="77777777" w:rsidR="008E69D4" w:rsidRPr="005A1F62" w:rsidRDefault="00BC11F2" w:rsidP="004D1CBF">
            <w:pPr>
              <w:tabs>
                <w:tab w:val="left" w:pos="709"/>
              </w:tabs>
              <w:jc w:val="center"/>
            </w:pPr>
            <w:r w:rsidRPr="005A1F62">
              <w:t>1,5</w:t>
            </w:r>
          </w:p>
        </w:tc>
      </w:tr>
      <w:tr w:rsidR="00C351D9" w:rsidRPr="005A1F62" w14:paraId="74F77B96" w14:textId="77777777" w:rsidTr="004D1CBF">
        <w:trPr>
          <w:trHeight w:val="20"/>
        </w:trPr>
        <w:tc>
          <w:tcPr>
            <w:tcW w:w="2953" w:type="pct"/>
            <w:tcBorders>
              <w:top w:val="nil"/>
              <w:left w:val="single" w:sz="4" w:space="0" w:color="auto"/>
              <w:bottom w:val="single" w:sz="4" w:space="0" w:color="auto"/>
              <w:right w:val="single" w:sz="4" w:space="0" w:color="auto"/>
            </w:tcBorders>
            <w:shd w:val="clear" w:color="auto" w:fill="auto"/>
            <w:vAlign w:val="bottom"/>
            <w:hideMark/>
          </w:tcPr>
          <w:p w14:paraId="22EC435B" w14:textId="77777777" w:rsidR="00C351D9" w:rsidRPr="005A1F62" w:rsidRDefault="00C351D9" w:rsidP="00DC2FED">
            <w:pPr>
              <w:tabs>
                <w:tab w:val="left" w:pos="709"/>
              </w:tabs>
            </w:pPr>
            <w:r w:rsidRPr="005A1F62">
              <w:t>Крупные кредитные риски к активам за вычетом резервов, %</w:t>
            </w:r>
          </w:p>
        </w:tc>
        <w:tc>
          <w:tcPr>
            <w:tcW w:w="822" w:type="pct"/>
            <w:tcBorders>
              <w:top w:val="single" w:sz="4" w:space="0" w:color="auto"/>
              <w:left w:val="nil"/>
              <w:bottom w:val="single" w:sz="4" w:space="0" w:color="auto"/>
              <w:right w:val="single" w:sz="4" w:space="0" w:color="auto"/>
            </w:tcBorders>
            <w:vAlign w:val="center"/>
          </w:tcPr>
          <w:p w14:paraId="5CE0C0DD" w14:textId="77777777" w:rsidR="00C351D9" w:rsidRPr="005A1F62" w:rsidRDefault="008E69D4" w:rsidP="004D1CBF">
            <w:pPr>
              <w:tabs>
                <w:tab w:val="left" w:pos="709"/>
              </w:tabs>
              <w:jc w:val="center"/>
            </w:pPr>
            <w:r w:rsidRPr="005A1F62">
              <w:t>50</w:t>
            </w:r>
          </w:p>
        </w:tc>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3553D114" w14:textId="66BF6989" w:rsidR="00C351D9" w:rsidRPr="005A1F62" w:rsidRDefault="004D1CBF" w:rsidP="004D1CBF">
            <w:pPr>
              <w:tabs>
                <w:tab w:val="left" w:pos="709"/>
              </w:tabs>
              <w:jc w:val="center"/>
            </w:pPr>
            <w:r w:rsidRPr="005A1F62">
              <w:t>70</w:t>
            </w:r>
          </w:p>
        </w:tc>
        <w:tc>
          <w:tcPr>
            <w:tcW w:w="605" w:type="pct"/>
            <w:tcBorders>
              <w:top w:val="nil"/>
              <w:left w:val="nil"/>
              <w:bottom w:val="single" w:sz="4" w:space="0" w:color="auto"/>
              <w:right w:val="single" w:sz="4" w:space="0" w:color="auto"/>
            </w:tcBorders>
            <w:shd w:val="clear" w:color="auto" w:fill="auto"/>
            <w:noWrap/>
            <w:vAlign w:val="center"/>
            <w:hideMark/>
          </w:tcPr>
          <w:p w14:paraId="6B88AA3B" w14:textId="09CAB3B0" w:rsidR="00C351D9" w:rsidRPr="005A1F62" w:rsidRDefault="004D1CBF" w:rsidP="004D1CBF">
            <w:pPr>
              <w:tabs>
                <w:tab w:val="left" w:pos="709"/>
              </w:tabs>
              <w:jc w:val="center"/>
            </w:pPr>
            <w:r w:rsidRPr="005A1F62">
              <w:t>25</w:t>
            </w:r>
          </w:p>
        </w:tc>
      </w:tr>
    </w:tbl>
    <w:p w14:paraId="28A7A398" w14:textId="77777777" w:rsidR="004D1CBF" w:rsidRPr="005A1F62" w:rsidRDefault="004D1CBF" w:rsidP="00DC2FED">
      <w:pPr>
        <w:tabs>
          <w:tab w:val="left" w:pos="709"/>
        </w:tabs>
        <w:ind w:firstLine="567"/>
        <w:jc w:val="both"/>
        <w:rPr>
          <w:bCs/>
          <w:i/>
        </w:rPr>
      </w:pPr>
    </w:p>
    <w:p w14:paraId="554D27E5" w14:textId="405C1BEA" w:rsidR="003E38FC" w:rsidRPr="005A1F62" w:rsidRDefault="003E38FC" w:rsidP="00DC2FED">
      <w:pPr>
        <w:tabs>
          <w:tab w:val="left" w:pos="709"/>
        </w:tabs>
        <w:ind w:firstLine="567"/>
        <w:jc w:val="both"/>
        <w:rPr>
          <w:bCs/>
          <w:i/>
        </w:rPr>
      </w:pPr>
      <w:r w:rsidRPr="005A1F62">
        <w:rPr>
          <w:bCs/>
          <w:i/>
        </w:rPr>
        <w:t xml:space="preserve">Для параметра </w:t>
      </w:r>
      <w:r w:rsidR="00E44E30" w:rsidRPr="005A1F62">
        <w:rPr>
          <w:bCs/>
          <w:i/>
        </w:rPr>
        <w:t>«в</w:t>
      </w:r>
      <w:r w:rsidRPr="005A1F62">
        <w:rPr>
          <w:bCs/>
          <w:i/>
        </w:rPr>
        <w:t>еличина максимального кредитного риска на одного заемщика к капиталу за вычетом резервов</w:t>
      </w:r>
      <w:r w:rsidR="00E44E30" w:rsidRPr="005A1F62">
        <w:rPr>
          <w:bCs/>
          <w:i/>
        </w:rPr>
        <w:t xml:space="preserve">» </w:t>
      </w:r>
      <w:r w:rsidRPr="005A1F62">
        <w:rPr>
          <w:bCs/>
          <w:i/>
        </w:rPr>
        <w:t>зависимость балла от значения определяется степенной функцией с показателем степени</w:t>
      </w:r>
      <w:r w:rsidR="00E44E30" w:rsidRPr="005A1F62">
        <w:rPr>
          <w:bCs/>
          <w:i/>
        </w:rPr>
        <w:t>,</w:t>
      </w:r>
      <w:r w:rsidRPr="005A1F62">
        <w:rPr>
          <w:bCs/>
          <w:i/>
        </w:rPr>
        <w:t xml:space="preserve"> равным 0,5</w:t>
      </w:r>
      <w:r w:rsidR="00EB438E" w:rsidRPr="005A1F62">
        <w:rPr>
          <w:bCs/>
          <w:i/>
        </w:rPr>
        <w:t>.</w:t>
      </w:r>
    </w:p>
    <w:p w14:paraId="0C006685" w14:textId="77777777" w:rsidR="008E69D4" w:rsidRPr="005A1F62" w:rsidRDefault="008E69D4" w:rsidP="00DC2FED">
      <w:pPr>
        <w:tabs>
          <w:tab w:val="left" w:pos="709"/>
        </w:tabs>
        <w:ind w:firstLine="567"/>
        <w:jc w:val="both"/>
        <w:rPr>
          <w:bCs/>
          <w:i/>
        </w:rPr>
      </w:pPr>
    </w:p>
    <w:p w14:paraId="0669A621" w14:textId="77777777" w:rsidR="008E69D4" w:rsidRPr="005A1F62" w:rsidRDefault="008E69D4" w:rsidP="003C5D28">
      <w:pPr>
        <w:pStyle w:val="afb"/>
        <w:numPr>
          <w:ilvl w:val="0"/>
          <w:numId w:val="21"/>
        </w:numPr>
        <w:tabs>
          <w:tab w:val="left" w:pos="709"/>
        </w:tabs>
        <w:ind w:left="0" w:firstLine="567"/>
        <w:jc w:val="both"/>
        <w:rPr>
          <w:bCs/>
        </w:rPr>
      </w:pPr>
      <w:r w:rsidRPr="005A1F62">
        <w:rPr>
          <w:bCs/>
        </w:rPr>
        <w:t>КОНЦЕНТРАЦИЯ КРЕДИТНЫХ РИСКОВ НА ОТРАСЛЯХ И ПРОДУКТАХ</w:t>
      </w:r>
    </w:p>
    <w:tbl>
      <w:tblPr>
        <w:tblW w:w="5000" w:type="pct"/>
        <w:tblLayout w:type="fixed"/>
        <w:tblLook w:val="04A0" w:firstRow="1" w:lastRow="0" w:firstColumn="1" w:lastColumn="0" w:noHBand="0" w:noVBand="1"/>
      </w:tblPr>
      <w:tblGrid>
        <w:gridCol w:w="4814"/>
        <w:gridCol w:w="2245"/>
        <w:gridCol w:w="1157"/>
        <w:gridCol w:w="1129"/>
      </w:tblGrid>
      <w:tr w:rsidR="004D1CBF" w:rsidRPr="005A1F62" w14:paraId="75C1F0E0" w14:textId="77777777" w:rsidTr="004D1CBF">
        <w:trPr>
          <w:trHeight w:val="20"/>
        </w:trPr>
        <w:tc>
          <w:tcPr>
            <w:tcW w:w="257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E17011A" w14:textId="12EEDAF0" w:rsidR="004D1CBF" w:rsidRPr="005A1F62" w:rsidRDefault="004D1CBF" w:rsidP="004D1CBF">
            <w:pPr>
              <w:tabs>
                <w:tab w:val="left" w:pos="709"/>
              </w:tabs>
            </w:pPr>
            <w:r w:rsidRPr="005A1F62">
              <w:t>Показатель </w:t>
            </w:r>
          </w:p>
        </w:tc>
        <w:tc>
          <w:tcPr>
            <w:tcW w:w="1201" w:type="pct"/>
            <w:vMerge w:val="restart"/>
            <w:tcBorders>
              <w:top w:val="single" w:sz="4" w:space="0" w:color="auto"/>
              <w:left w:val="nil"/>
              <w:right w:val="single" w:sz="4" w:space="0" w:color="auto"/>
            </w:tcBorders>
            <w:shd w:val="clear" w:color="auto" w:fill="D9D9D9" w:themeFill="background1" w:themeFillShade="D9"/>
            <w:vAlign w:val="center"/>
          </w:tcPr>
          <w:p w14:paraId="7392165D" w14:textId="346FB270" w:rsidR="004D1CBF" w:rsidRPr="005A1F62" w:rsidRDefault="004D1CBF" w:rsidP="004D1CBF">
            <w:pPr>
              <w:tabs>
                <w:tab w:val="left" w:pos="709"/>
              </w:tabs>
              <w:jc w:val="center"/>
              <w:rPr>
                <w:bCs/>
              </w:rPr>
            </w:pPr>
            <w:r w:rsidRPr="005A1F62">
              <w:rPr>
                <w:bCs/>
              </w:rPr>
              <w:t>Вес</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70D868" w14:textId="77777777" w:rsidR="004D1CBF" w:rsidRPr="005A1F62" w:rsidRDefault="004D1CBF" w:rsidP="004D1CBF">
            <w:pPr>
              <w:tabs>
                <w:tab w:val="left" w:pos="709"/>
              </w:tabs>
              <w:jc w:val="center"/>
              <w:rPr>
                <w:bCs/>
              </w:rPr>
            </w:pPr>
            <w:r w:rsidRPr="005A1F62">
              <w:rPr>
                <w:bCs/>
              </w:rPr>
              <w:t>-1</w:t>
            </w:r>
          </w:p>
        </w:tc>
        <w:tc>
          <w:tcPr>
            <w:tcW w:w="60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2AF9E6" w14:textId="77777777" w:rsidR="004D1CBF" w:rsidRPr="005A1F62" w:rsidRDefault="004D1CBF" w:rsidP="004D1CBF">
            <w:pPr>
              <w:tabs>
                <w:tab w:val="left" w:pos="709"/>
              </w:tabs>
              <w:jc w:val="center"/>
              <w:rPr>
                <w:bCs/>
              </w:rPr>
            </w:pPr>
            <w:r w:rsidRPr="005A1F62">
              <w:rPr>
                <w:bCs/>
              </w:rPr>
              <w:t>1</w:t>
            </w:r>
          </w:p>
        </w:tc>
      </w:tr>
      <w:tr w:rsidR="004D1CBF" w:rsidRPr="005A1F62" w14:paraId="1824FB7B" w14:textId="77777777" w:rsidTr="004D1CBF">
        <w:trPr>
          <w:trHeight w:val="20"/>
        </w:trPr>
        <w:tc>
          <w:tcPr>
            <w:tcW w:w="2576" w:type="pct"/>
            <w:vMerge/>
            <w:tcBorders>
              <w:left w:val="single" w:sz="4" w:space="0" w:color="auto"/>
              <w:bottom w:val="single" w:sz="4" w:space="0" w:color="auto"/>
              <w:right w:val="single" w:sz="4" w:space="0" w:color="auto"/>
            </w:tcBorders>
            <w:shd w:val="clear" w:color="auto" w:fill="D9D9D9" w:themeFill="background1" w:themeFillShade="D9"/>
            <w:vAlign w:val="bottom"/>
            <w:hideMark/>
          </w:tcPr>
          <w:p w14:paraId="2C42B930" w14:textId="2938D175" w:rsidR="004D1CBF" w:rsidRPr="005A1F62" w:rsidRDefault="004D1CBF" w:rsidP="00DC2FED">
            <w:pPr>
              <w:tabs>
                <w:tab w:val="left" w:pos="709"/>
              </w:tabs>
            </w:pPr>
          </w:p>
        </w:tc>
        <w:tc>
          <w:tcPr>
            <w:tcW w:w="1201" w:type="pct"/>
            <w:vMerge/>
            <w:tcBorders>
              <w:left w:val="nil"/>
              <w:bottom w:val="single" w:sz="4" w:space="0" w:color="auto"/>
              <w:right w:val="single" w:sz="4" w:space="0" w:color="auto"/>
            </w:tcBorders>
            <w:shd w:val="clear" w:color="auto" w:fill="D9D9D9" w:themeFill="background1" w:themeFillShade="D9"/>
            <w:vAlign w:val="center"/>
          </w:tcPr>
          <w:p w14:paraId="16C72B00" w14:textId="240023F2" w:rsidR="004D1CBF" w:rsidRPr="005A1F62" w:rsidRDefault="004D1CBF" w:rsidP="004D1CBF">
            <w:pPr>
              <w:tabs>
                <w:tab w:val="left" w:pos="709"/>
              </w:tabs>
              <w:jc w:val="center"/>
              <w:rPr>
                <w:bCs/>
              </w:rPr>
            </w:pPr>
          </w:p>
        </w:tc>
        <w:tc>
          <w:tcPr>
            <w:tcW w:w="61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C95A31" w14:textId="3F2A1285" w:rsidR="004D1CBF" w:rsidRPr="005A1F62" w:rsidRDefault="004D1CBF" w:rsidP="004D1CBF">
            <w:pPr>
              <w:tabs>
                <w:tab w:val="left" w:pos="709"/>
              </w:tabs>
              <w:jc w:val="center"/>
              <w:rPr>
                <w:bCs/>
              </w:rPr>
            </w:pPr>
            <w:r w:rsidRPr="005A1F62">
              <w:rPr>
                <w:bCs/>
              </w:rPr>
              <w:t>не менее</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hideMark/>
          </w:tcPr>
          <w:p w14:paraId="5495F6AC" w14:textId="67908AA0" w:rsidR="004D1CBF" w:rsidRPr="005A1F62" w:rsidRDefault="004D1CBF" w:rsidP="004D1CBF">
            <w:pPr>
              <w:tabs>
                <w:tab w:val="left" w:pos="709"/>
              </w:tabs>
              <w:jc w:val="center"/>
              <w:rPr>
                <w:bCs/>
              </w:rPr>
            </w:pPr>
            <w:r w:rsidRPr="005A1F62">
              <w:rPr>
                <w:bCs/>
              </w:rPr>
              <w:t>не более</w:t>
            </w:r>
          </w:p>
        </w:tc>
      </w:tr>
      <w:tr w:rsidR="00BC11F2" w:rsidRPr="005A1F62" w14:paraId="129C6D67" w14:textId="77777777" w:rsidTr="004D1CBF">
        <w:trPr>
          <w:trHeight w:val="20"/>
        </w:trPr>
        <w:tc>
          <w:tcPr>
            <w:tcW w:w="2576" w:type="pct"/>
            <w:tcBorders>
              <w:top w:val="nil"/>
              <w:left w:val="single" w:sz="4" w:space="0" w:color="auto"/>
              <w:bottom w:val="single" w:sz="4" w:space="0" w:color="auto"/>
              <w:right w:val="single" w:sz="4" w:space="0" w:color="auto"/>
            </w:tcBorders>
            <w:shd w:val="clear" w:color="auto" w:fill="auto"/>
            <w:vAlign w:val="center"/>
            <w:hideMark/>
          </w:tcPr>
          <w:p w14:paraId="5DD04CBD" w14:textId="77777777" w:rsidR="00BC11F2" w:rsidRPr="005A1F62" w:rsidRDefault="00BC11F2" w:rsidP="004D1CBF">
            <w:pPr>
              <w:tabs>
                <w:tab w:val="left" w:pos="709"/>
              </w:tabs>
              <w:jc w:val="both"/>
            </w:pPr>
            <w:r w:rsidRPr="005A1F62">
              <w:t>Отраслевая концентрация кредитов ЮЛ и ИП (доля трех отраслей в кредитном портфеле), %</w:t>
            </w:r>
          </w:p>
        </w:tc>
        <w:tc>
          <w:tcPr>
            <w:tcW w:w="1201" w:type="pct"/>
            <w:vMerge w:val="restart"/>
            <w:tcBorders>
              <w:top w:val="single" w:sz="4" w:space="0" w:color="auto"/>
              <w:left w:val="nil"/>
              <w:right w:val="single" w:sz="4" w:space="0" w:color="auto"/>
            </w:tcBorders>
            <w:vAlign w:val="center"/>
          </w:tcPr>
          <w:p w14:paraId="14B36AB7" w14:textId="723FA07E" w:rsidR="004D1CBF" w:rsidRPr="005A1F62" w:rsidRDefault="004D1CBF" w:rsidP="004D1CBF">
            <w:pPr>
              <w:tabs>
                <w:tab w:val="left" w:pos="709"/>
              </w:tabs>
              <w:jc w:val="center"/>
            </w:pPr>
            <w:r w:rsidRPr="005A1F62">
              <w:t>д</w:t>
            </w:r>
            <w:r w:rsidR="00855DC7" w:rsidRPr="005A1F62">
              <w:t xml:space="preserve">оля </w:t>
            </w:r>
            <w:r w:rsidR="00BC11F2" w:rsidRPr="005A1F62">
              <w:t>кредитов ЮЛ и ИП в кредитном портфеле*</w:t>
            </w:r>
          </w:p>
          <w:p w14:paraId="1B1CCB33" w14:textId="63678057" w:rsidR="00BC11F2" w:rsidRPr="005A1F62" w:rsidRDefault="00BC11F2" w:rsidP="004D1CBF">
            <w:pPr>
              <w:tabs>
                <w:tab w:val="left" w:pos="709"/>
              </w:tabs>
              <w:jc w:val="center"/>
            </w:pPr>
            <w:r w:rsidRPr="005A1F62">
              <w:t>минимум</w:t>
            </w:r>
          </w:p>
        </w:tc>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3AAC2384" w14:textId="20FFA17E" w:rsidR="00BC11F2" w:rsidRPr="005A1F62" w:rsidRDefault="004D1CBF" w:rsidP="004D1CBF">
            <w:pPr>
              <w:tabs>
                <w:tab w:val="left" w:pos="709"/>
              </w:tabs>
              <w:jc w:val="center"/>
            </w:pPr>
            <w:r w:rsidRPr="005A1F62">
              <w:t>75</w:t>
            </w:r>
          </w:p>
        </w:tc>
        <w:tc>
          <w:tcPr>
            <w:tcW w:w="604" w:type="pct"/>
            <w:tcBorders>
              <w:top w:val="nil"/>
              <w:left w:val="nil"/>
              <w:bottom w:val="single" w:sz="4" w:space="0" w:color="auto"/>
              <w:right w:val="single" w:sz="4" w:space="0" w:color="auto"/>
            </w:tcBorders>
            <w:shd w:val="clear" w:color="auto" w:fill="auto"/>
            <w:noWrap/>
            <w:vAlign w:val="center"/>
            <w:hideMark/>
          </w:tcPr>
          <w:p w14:paraId="78DB5D6F" w14:textId="22BDB8CE" w:rsidR="00BC11F2" w:rsidRPr="005A1F62" w:rsidRDefault="004D1CBF" w:rsidP="004D1CBF">
            <w:pPr>
              <w:tabs>
                <w:tab w:val="left" w:pos="709"/>
              </w:tabs>
              <w:jc w:val="center"/>
            </w:pPr>
            <w:r w:rsidRPr="005A1F62">
              <w:t>45</w:t>
            </w:r>
          </w:p>
        </w:tc>
      </w:tr>
      <w:tr w:rsidR="00BC11F2" w:rsidRPr="005A1F62" w14:paraId="65E12DA5" w14:textId="77777777" w:rsidTr="004D1CBF">
        <w:trPr>
          <w:trHeight w:val="20"/>
        </w:trPr>
        <w:tc>
          <w:tcPr>
            <w:tcW w:w="2576" w:type="pct"/>
            <w:tcBorders>
              <w:top w:val="nil"/>
              <w:left w:val="single" w:sz="4" w:space="0" w:color="auto"/>
              <w:bottom w:val="single" w:sz="4" w:space="0" w:color="auto"/>
              <w:right w:val="single" w:sz="4" w:space="0" w:color="auto"/>
            </w:tcBorders>
            <w:shd w:val="clear" w:color="auto" w:fill="auto"/>
            <w:vAlign w:val="center"/>
            <w:hideMark/>
          </w:tcPr>
          <w:p w14:paraId="161DC87C" w14:textId="77777777" w:rsidR="00BC11F2" w:rsidRPr="005A1F62" w:rsidRDefault="00BC11F2" w:rsidP="004D1CBF">
            <w:pPr>
              <w:tabs>
                <w:tab w:val="left" w:pos="709"/>
              </w:tabs>
              <w:jc w:val="both"/>
            </w:pPr>
            <w:r w:rsidRPr="005A1F62">
              <w:t>Доля крупнейшей отрасли в портфеле ЮЛ и ИП, %</w:t>
            </w:r>
          </w:p>
        </w:tc>
        <w:tc>
          <w:tcPr>
            <w:tcW w:w="1201" w:type="pct"/>
            <w:vMerge/>
            <w:tcBorders>
              <w:left w:val="nil"/>
              <w:bottom w:val="single" w:sz="4" w:space="0" w:color="auto"/>
              <w:right w:val="single" w:sz="4" w:space="0" w:color="auto"/>
            </w:tcBorders>
            <w:vAlign w:val="center"/>
          </w:tcPr>
          <w:p w14:paraId="0FA0FC24" w14:textId="77777777" w:rsidR="00BC11F2" w:rsidRPr="005A1F62" w:rsidRDefault="00BC11F2" w:rsidP="004D1CBF">
            <w:pPr>
              <w:tabs>
                <w:tab w:val="left" w:pos="709"/>
              </w:tabs>
              <w:jc w:val="center"/>
            </w:pPr>
          </w:p>
        </w:tc>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2DF5A24F" w14:textId="6B437973" w:rsidR="00BC11F2" w:rsidRPr="005A1F62" w:rsidRDefault="004D1CBF" w:rsidP="004D1CBF">
            <w:pPr>
              <w:tabs>
                <w:tab w:val="left" w:pos="709"/>
              </w:tabs>
              <w:jc w:val="center"/>
            </w:pPr>
            <w:r w:rsidRPr="005A1F62">
              <w:t>50</w:t>
            </w:r>
          </w:p>
        </w:tc>
        <w:tc>
          <w:tcPr>
            <w:tcW w:w="604" w:type="pct"/>
            <w:tcBorders>
              <w:top w:val="nil"/>
              <w:left w:val="nil"/>
              <w:bottom w:val="single" w:sz="4" w:space="0" w:color="auto"/>
              <w:right w:val="single" w:sz="4" w:space="0" w:color="auto"/>
            </w:tcBorders>
            <w:shd w:val="clear" w:color="auto" w:fill="auto"/>
            <w:noWrap/>
            <w:vAlign w:val="center"/>
            <w:hideMark/>
          </w:tcPr>
          <w:p w14:paraId="43607123" w14:textId="4784D36E" w:rsidR="00BC11F2" w:rsidRPr="005A1F62" w:rsidRDefault="007E4407" w:rsidP="004D1CBF">
            <w:pPr>
              <w:tabs>
                <w:tab w:val="left" w:pos="709"/>
              </w:tabs>
              <w:jc w:val="center"/>
            </w:pPr>
            <w:r w:rsidRPr="005A1F62">
              <w:t>20</w:t>
            </w:r>
          </w:p>
        </w:tc>
      </w:tr>
    </w:tbl>
    <w:p w14:paraId="5CFB8B8E" w14:textId="77777777" w:rsidR="003E38FC" w:rsidRPr="005A1F62" w:rsidRDefault="003E38FC" w:rsidP="00DC2FED">
      <w:pPr>
        <w:tabs>
          <w:tab w:val="left" w:pos="709"/>
        </w:tabs>
        <w:ind w:firstLine="567"/>
        <w:rPr>
          <w:bCs/>
        </w:rPr>
      </w:pPr>
    </w:p>
    <w:p w14:paraId="3925BD46" w14:textId="77777777" w:rsidR="003579B2" w:rsidRPr="005A1F62" w:rsidRDefault="003579B2" w:rsidP="003C5D28">
      <w:pPr>
        <w:pStyle w:val="afb"/>
        <w:numPr>
          <w:ilvl w:val="0"/>
          <w:numId w:val="21"/>
        </w:numPr>
        <w:tabs>
          <w:tab w:val="left" w:pos="709"/>
        </w:tabs>
        <w:ind w:left="0" w:firstLine="567"/>
        <w:jc w:val="both"/>
        <w:rPr>
          <w:bCs/>
        </w:rPr>
      </w:pPr>
      <w:r w:rsidRPr="005A1F62">
        <w:rPr>
          <w:bCs/>
        </w:rPr>
        <w:t>КОНЦЕНТРАЦИЯ КРЕДИТНЫХ РИСКОВ НА ПРОДУКТАХ</w:t>
      </w:r>
    </w:p>
    <w:tbl>
      <w:tblPr>
        <w:tblW w:w="5000" w:type="pct"/>
        <w:tblLook w:val="04A0" w:firstRow="1" w:lastRow="0" w:firstColumn="1" w:lastColumn="0" w:noHBand="0" w:noVBand="1"/>
      </w:tblPr>
      <w:tblGrid>
        <w:gridCol w:w="4814"/>
        <w:gridCol w:w="2243"/>
        <w:gridCol w:w="1144"/>
        <w:gridCol w:w="1144"/>
      </w:tblGrid>
      <w:tr w:rsidR="004D1CBF" w:rsidRPr="005A1F62" w14:paraId="5C6EF8AD" w14:textId="77777777" w:rsidTr="004D1CBF">
        <w:trPr>
          <w:trHeight w:val="20"/>
        </w:trPr>
        <w:tc>
          <w:tcPr>
            <w:tcW w:w="257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7DAF57A" w14:textId="2A6DFC2D" w:rsidR="004D1CBF" w:rsidRPr="005A1F62" w:rsidRDefault="004D1CBF" w:rsidP="004D1CBF">
            <w:pPr>
              <w:tabs>
                <w:tab w:val="left" w:pos="709"/>
              </w:tabs>
            </w:pPr>
            <w:r w:rsidRPr="005A1F62">
              <w:t>Показатель</w:t>
            </w:r>
          </w:p>
        </w:tc>
        <w:tc>
          <w:tcPr>
            <w:tcW w:w="1200" w:type="pct"/>
            <w:vMerge w:val="restart"/>
            <w:tcBorders>
              <w:top w:val="single" w:sz="4" w:space="0" w:color="auto"/>
              <w:left w:val="nil"/>
              <w:right w:val="single" w:sz="4" w:space="0" w:color="auto"/>
            </w:tcBorders>
            <w:shd w:val="clear" w:color="auto" w:fill="D9D9D9" w:themeFill="background1" w:themeFillShade="D9"/>
            <w:vAlign w:val="center"/>
          </w:tcPr>
          <w:p w14:paraId="26083B5D" w14:textId="6F4D2CC0" w:rsidR="004D1CBF" w:rsidRPr="005A1F62" w:rsidRDefault="004D1CBF" w:rsidP="004D1CBF">
            <w:pPr>
              <w:tabs>
                <w:tab w:val="left" w:pos="709"/>
              </w:tabs>
              <w:jc w:val="center"/>
              <w:rPr>
                <w:bCs/>
              </w:rPr>
            </w:pPr>
            <w:r w:rsidRPr="005A1F62">
              <w:rPr>
                <w:bCs/>
              </w:rPr>
              <w:t>Вес</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DA23F2" w14:textId="77777777" w:rsidR="004D1CBF" w:rsidRPr="005A1F62" w:rsidRDefault="004D1CBF" w:rsidP="004D1CBF">
            <w:pPr>
              <w:tabs>
                <w:tab w:val="left" w:pos="709"/>
              </w:tabs>
              <w:jc w:val="center"/>
              <w:rPr>
                <w:bCs/>
              </w:rPr>
            </w:pPr>
            <w:r w:rsidRPr="005A1F62">
              <w:rPr>
                <w:bCs/>
              </w:rPr>
              <w:t>-1</w:t>
            </w:r>
          </w:p>
        </w:tc>
        <w:tc>
          <w:tcPr>
            <w:tcW w:w="6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A1C77D" w14:textId="77777777" w:rsidR="004D1CBF" w:rsidRPr="005A1F62" w:rsidRDefault="004D1CBF" w:rsidP="004D1CBF">
            <w:pPr>
              <w:tabs>
                <w:tab w:val="left" w:pos="709"/>
              </w:tabs>
              <w:jc w:val="center"/>
              <w:rPr>
                <w:bCs/>
              </w:rPr>
            </w:pPr>
            <w:r w:rsidRPr="005A1F62">
              <w:rPr>
                <w:bCs/>
              </w:rPr>
              <w:t>1</w:t>
            </w:r>
          </w:p>
        </w:tc>
      </w:tr>
      <w:tr w:rsidR="004D1CBF" w:rsidRPr="005A1F62" w14:paraId="3A69C3C1" w14:textId="77777777" w:rsidTr="004D1CBF">
        <w:trPr>
          <w:trHeight w:val="20"/>
        </w:trPr>
        <w:tc>
          <w:tcPr>
            <w:tcW w:w="2576"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846DEC3" w14:textId="4F03F3C7" w:rsidR="004D1CBF" w:rsidRPr="005A1F62" w:rsidRDefault="004D1CBF" w:rsidP="004D1CBF">
            <w:pPr>
              <w:tabs>
                <w:tab w:val="left" w:pos="709"/>
              </w:tabs>
              <w:jc w:val="center"/>
            </w:pPr>
          </w:p>
        </w:tc>
        <w:tc>
          <w:tcPr>
            <w:tcW w:w="1200" w:type="pct"/>
            <w:vMerge/>
            <w:tcBorders>
              <w:left w:val="nil"/>
              <w:bottom w:val="single" w:sz="4" w:space="0" w:color="auto"/>
              <w:right w:val="single" w:sz="4" w:space="0" w:color="auto"/>
            </w:tcBorders>
            <w:shd w:val="clear" w:color="auto" w:fill="D9D9D9" w:themeFill="background1" w:themeFillShade="D9"/>
            <w:vAlign w:val="center"/>
          </w:tcPr>
          <w:p w14:paraId="41DCB77B" w14:textId="58CA989A" w:rsidR="004D1CBF" w:rsidRPr="005A1F62" w:rsidRDefault="004D1CBF" w:rsidP="004D1CBF">
            <w:pPr>
              <w:tabs>
                <w:tab w:val="left" w:pos="709"/>
              </w:tabs>
              <w:jc w:val="center"/>
              <w:rPr>
                <w:bCs/>
              </w:rPr>
            </w:pPr>
          </w:p>
        </w:tc>
        <w:tc>
          <w:tcPr>
            <w:tcW w:w="61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77BEF4" w14:textId="1C8C9E19" w:rsidR="004D1CBF" w:rsidRPr="005A1F62" w:rsidRDefault="004D1CBF" w:rsidP="004D1CBF">
            <w:pPr>
              <w:tabs>
                <w:tab w:val="left" w:pos="709"/>
              </w:tabs>
              <w:jc w:val="center"/>
              <w:rPr>
                <w:bCs/>
              </w:rPr>
            </w:pPr>
            <w:r w:rsidRPr="005A1F62">
              <w:rPr>
                <w:bCs/>
              </w:rPr>
              <w:t>не менее</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14:paraId="4BE5653D" w14:textId="7D973D4F" w:rsidR="004D1CBF" w:rsidRPr="005A1F62" w:rsidRDefault="004D1CBF" w:rsidP="004D1CBF">
            <w:pPr>
              <w:tabs>
                <w:tab w:val="left" w:pos="709"/>
              </w:tabs>
              <w:jc w:val="center"/>
              <w:rPr>
                <w:bCs/>
              </w:rPr>
            </w:pPr>
            <w:r w:rsidRPr="005A1F62">
              <w:rPr>
                <w:bCs/>
              </w:rPr>
              <w:t>не более</w:t>
            </w:r>
          </w:p>
        </w:tc>
      </w:tr>
      <w:tr w:rsidR="003579B2" w:rsidRPr="005A1F62" w14:paraId="565D5D16" w14:textId="77777777" w:rsidTr="004D1CBF">
        <w:trPr>
          <w:trHeight w:val="20"/>
        </w:trPr>
        <w:tc>
          <w:tcPr>
            <w:tcW w:w="2576" w:type="pct"/>
            <w:tcBorders>
              <w:top w:val="nil"/>
              <w:left w:val="single" w:sz="4" w:space="0" w:color="auto"/>
              <w:bottom w:val="single" w:sz="4" w:space="0" w:color="auto"/>
              <w:right w:val="single" w:sz="4" w:space="0" w:color="auto"/>
            </w:tcBorders>
            <w:shd w:val="clear" w:color="auto" w:fill="auto"/>
            <w:vAlign w:val="center"/>
            <w:hideMark/>
          </w:tcPr>
          <w:p w14:paraId="0687A0DA" w14:textId="77777777" w:rsidR="003579B2" w:rsidRPr="005A1F62" w:rsidRDefault="003579B2" w:rsidP="004D1CBF">
            <w:pPr>
              <w:tabs>
                <w:tab w:val="left" w:pos="709"/>
              </w:tabs>
              <w:jc w:val="both"/>
            </w:pPr>
            <w:r w:rsidRPr="005A1F62">
              <w:t>Продуктовая диверсификация кредитов ФЛ (продукт с максимальной долей), %</w:t>
            </w:r>
          </w:p>
        </w:tc>
        <w:tc>
          <w:tcPr>
            <w:tcW w:w="1200" w:type="pct"/>
            <w:tcBorders>
              <w:top w:val="single" w:sz="4" w:space="0" w:color="auto"/>
              <w:left w:val="nil"/>
              <w:bottom w:val="single" w:sz="4" w:space="0" w:color="auto"/>
              <w:right w:val="single" w:sz="4" w:space="0" w:color="auto"/>
            </w:tcBorders>
          </w:tcPr>
          <w:p w14:paraId="1C328797" w14:textId="49AA6229" w:rsidR="003579B2" w:rsidRPr="005A1F62" w:rsidRDefault="004D1CBF" w:rsidP="00DC2FED">
            <w:pPr>
              <w:tabs>
                <w:tab w:val="left" w:pos="709"/>
              </w:tabs>
              <w:jc w:val="center"/>
            </w:pPr>
            <w:r w:rsidRPr="005A1F62">
              <w:t>д</w:t>
            </w:r>
            <w:r w:rsidR="00855DC7" w:rsidRPr="005A1F62">
              <w:t xml:space="preserve">оля </w:t>
            </w:r>
            <w:r w:rsidR="003579B2" w:rsidRPr="005A1F62">
              <w:t>кредитов ФЛ в кредитном портфеле</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14:paraId="59886EC4" w14:textId="06F19D6C" w:rsidR="003579B2" w:rsidRPr="005A1F62" w:rsidRDefault="004D1CBF" w:rsidP="004D1CBF">
            <w:pPr>
              <w:tabs>
                <w:tab w:val="left" w:pos="709"/>
              </w:tabs>
              <w:jc w:val="center"/>
            </w:pPr>
            <w:r w:rsidRPr="005A1F62">
              <w:t>80</w:t>
            </w:r>
          </w:p>
        </w:tc>
        <w:tc>
          <w:tcPr>
            <w:tcW w:w="612" w:type="pct"/>
            <w:tcBorders>
              <w:top w:val="nil"/>
              <w:left w:val="nil"/>
              <w:bottom w:val="single" w:sz="4" w:space="0" w:color="auto"/>
              <w:right w:val="single" w:sz="4" w:space="0" w:color="auto"/>
            </w:tcBorders>
            <w:shd w:val="clear" w:color="auto" w:fill="auto"/>
            <w:noWrap/>
            <w:vAlign w:val="center"/>
            <w:hideMark/>
          </w:tcPr>
          <w:p w14:paraId="620E36E8" w14:textId="1C730F8C" w:rsidR="003579B2" w:rsidRPr="005A1F62" w:rsidRDefault="004D1CBF" w:rsidP="004D1CBF">
            <w:pPr>
              <w:tabs>
                <w:tab w:val="left" w:pos="709"/>
              </w:tabs>
              <w:jc w:val="center"/>
            </w:pPr>
            <w:r w:rsidRPr="005A1F62">
              <w:t>40</w:t>
            </w:r>
          </w:p>
        </w:tc>
      </w:tr>
    </w:tbl>
    <w:p w14:paraId="56C90A07" w14:textId="77777777" w:rsidR="003579B2" w:rsidRPr="005A1F62" w:rsidRDefault="003579B2" w:rsidP="00DC2FED">
      <w:pPr>
        <w:pStyle w:val="afb"/>
        <w:tabs>
          <w:tab w:val="left" w:pos="709"/>
        </w:tabs>
        <w:ind w:left="567"/>
        <w:rPr>
          <w:bCs/>
          <w:lang w:val="en-US"/>
        </w:rPr>
      </w:pPr>
    </w:p>
    <w:p w14:paraId="7992A41A" w14:textId="77777777" w:rsidR="003E38FC" w:rsidRPr="005A1F62" w:rsidRDefault="003E38FC" w:rsidP="003C5D28">
      <w:pPr>
        <w:pStyle w:val="afb"/>
        <w:numPr>
          <w:ilvl w:val="0"/>
          <w:numId w:val="21"/>
        </w:numPr>
        <w:tabs>
          <w:tab w:val="left" w:pos="709"/>
        </w:tabs>
        <w:ind w:left="0" w:firstLine="567"/>
        <w:jc w:val="both"/>
        <w:rPr>
          <w:bCs/>
        </w:rPr>
      </w:pPr>
      <w:r w:rsidRPr="005A1F62">
        <w:rPr>
          <w:bCs/>
        </w:rPr>
        <w:t>ОБЕСПЕЧЕННОСТЬ ССУД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277"/>
        <w:gridCol w:w="1103"/>
        <w:gridCol w:w="1157"/>
      </w:tblGrid>
      <w:tr w:rsidR="004D1CBF" w:rsidRPr="005A1F62" w14:paraId="3E94E331" w14:textId="77777777" w:rsidTr="00AB6DDE">
        <w:trPr>
          <w:trHeight w:val="20"/>
        </w:trPr>
        <w:tc>
          <w:tcPr>
            <w:tcW w:w="5000" w:type="pct"/>
            <w:gridSpan w:val="4"/>
            <w:shd w:val="clear" w:color="auto" w:fill="D9D9D9" w:themeFill="background1" w:themeFillShade="D9"/>
            <w:vAlign w:val="bottom"/>
            <w:hideMark/>
          </w:tcPr>
          <w:p w14:paraId="578C5B3C" w14:textId="5926E0C0" w:rsidR="004D1CBF" w:rsidRPr="005A1F62" w:rsidRDefault="004D1CBF" w:rsidP="004D1CBF">
            <w:pPr>
              <w:tabs>
                <w:tab w:val="left" w:pos="709"/>
              </w:tabs>
              <w:rPr>
                <w:bCs/>
              </w:rPr>
            </w:pPr>
            <w:r w:rsidRPr="005A1F62">
              <w:rPr>
                <w:bCs/>
              </w:rPr>
              <w:t>СИСТЕМНО ЗНАЧИМЫЙ БАНК </w:t>
            </w:r>
          </w:p>
        </w:tc>
      </w:tr>
      <w:tr w:rsidR="004D1CBF" w:rsidRPr="005A1F62" w14:paraId="3845921A" w14:textId="77777777" w:rsidTr="00AB6DDE">
        <w:trPr>
          <w:trHeight w:val="20"/>
        </w:trPr>
        <w:tc>
          <w:tcPr>
            <w:tcW w:w="3108" w:type="pct"/>
            <w:vMerge w:val="restart"/>
            <w:shd w:val="clear" w:color="auto" w:fill="D9D9D9" w:themeFill="background1" w:themeFillShade="D9"/>
            <w:vAlign w:val="center"/>
            <w:hideMark/>
          </w:tcPr>
          <w:p w14:paraId="70DC92D5" w14:textId="5504FCFE" w:rsidR="004D1CBF" w:rsidRPr="005A1F62" w:rsidRDefault="004D1CBF" w:rsidP="0082636D">
            <w:pPr>
              <w:tabs>
                <w:tab w:val="left" w:pos="709"/>
              </w:tabs>
              <w:rPr>
                <w:bCs/>
              </w:rPr>
            </w:pPr>
            <w:r w:rsidRPr="005A1F62">
              <w:t>Показатель</w:t>
            </w:r>
          </w:p>
        </w:tc>
        <w:tc>
          <w:tcPr>
            <w:tcW w:w="683" w:type="pct"/>
            <w:vMerge w:val="restart"/>
            <w:shd w:val="clear" w:color="auto" w:fill="D9D9D9" w:themeFill="background1" w:themeFillShade="D9"/>
            <w:noWrap/>
            <w:vAlign w:val="center"/>
            <w:hideMark/>
          </w:tcPr>
          <w:p w14:paraId="58F9F2E2" w14:textId="4AD4A48E" w:rsidR="004D1CBF" w:rsidRPr="005A1F62" w:rsidRDefault="004D1CBF" w:rsidP="0082636D">
            <w:pPr>
              <w:tabs>
                <w:tab w:val="left" w:pos="709"/>
              </w:tabs>
              <w:jc w:val="center"/>
            </w:pPr>
            <w:r w:rsidRPr="005A1F62">
              <w:rPr>
                <w:bCs/>
              </w:rPr>
              <w:t>Вес</w:t>
            </w:r>
            <w:r w:rsidR="0082636D" w:rsidRPr="005A1F62">
              <w:rPr>
                <w:bCs/>
              </w:rPr>
              <w:t>, %</w:t>
            </w:r>
          </w:p>
        </w:tc>
        <w:tc>
          <w:tcPr>
            <w:tcW w:w="590" w:type="pct"/>
            <w:shd w:val="clear" w:color="auto" w:fill="D9D9D9" w:themeFill="background1" w:themeFillShade="D9"/>
            <w:noWrap/>
            <w:vAlign w:val="center"/>
            <w:hideMark/>
          </w:tcPr>
          <w:p w14:paraId="07E7AB89" w14:textId="77777777" w:rsidR="004D1CBF" w:rsidRPr="005A1F62" w:rsidRDefault="004D1CBF" w:rsidP="0082636D">
            <w:pPr>
              <w:tabs>
                <w:tab w:val="left" w:pos="709"/>
              </w:tabs>
              <w:jc w:val="center"/>
              <w:rPr>
                <w:bCs/>
              </w:rPr>
            </w:pPr>
            <w:r w:rsidRPr="005A1F62">
              <w:rPr>
                <w:bCs/>
              </w:rPr>
              <w:t>-1</w:t>
            </w:r>
          </w:p>
        </w:tc>
        <w:tc>
          <w:tcPr>
            <w:tcW w:w="619" w:type="pct"/>
            <w:shd w:val="clear" w:color="auto" w:fill="D9D9D9" w:themeFill="background1" w:themeFillShade="D9"/>
            <w:noWrap/>
            <w:vAlign w:val="center"/>
            <w:hideMark/>
          </w:tcPr>
          <w:p w14:paraId="5DAC5BAB" w14:textId="77777777" w:rsidR="004D1CBF" w:rsidRPr="005A1F62" w:rsidRDefault="004D1CBF" w:rsidP="0082636D">
            <w:pPr>
              <w:tabs>
                <w:tab w:val="left" w:pos="709"/>
              </w:tabs>
              <w:jc w:val="center"/>
              <w:rPr>
                <w:bCs/>
              </w:rPr>
            </w:pPr>
            <w:r w:rsidRPr="005A1F62">
              <w:rPr>
                <w:bCs/>
              </w:rPr>
              <w:t>1</w:t>
            </w:r>
          </w:p>
        </w:tc>
      </w:tr>
      <w:tr w:rsidR="004D1CBF" w:rsidRPr="005A1F62" w14:paraId="14404B56" w14:textId="77777777" w:rsidTr="00AB6DDE">
        <w:trPr>
          <w:trHeight w:val="20"/>
        </w:trPr>
        <w:tc>
          <w:tcPr>
            <w:tcW w:w="3108" w:type="pct"/>
            <w:vMerge/>
            <w:shd w:val="clear" w:color="auto" w:fill="D9D9D9" w:themeFill="background1" w:themeFillShade="D9"/>
            <w:vAlign w:val="bottom"/>
            <w:hideMark/>
          </w:tcPr>
          <w:p w14:paraId="6002C742" w14:textId="64039C83" w:rsidR="004D1CBF" w:rsidRPr="005A1F62" w:rsidRDefault="004D1CBF" w:rsidP="00DC2FED">
            <w:pPr>
              <w:tabs>
                <w:tab w:val="left" w:pos="709"/>
              </w:tabs>
              <w:rPr>
                <w:bCs/>
              </w:rPr>
            </w:pPr>
          </w:p>
        </w:tc>
        <w:tc>
          <w:tcPr>
            <w:tcW w:w="683" w:type="pct"/>
            <w:vMerge/>
            <w:shd w:val="clear" w:color="auto" w:fill="D9D9D9" w:themeFill="background1" w:themeFillShade="D9"/>
            <w:noWrap/>
            <w:vAlign w:val="center"/>
            <w:hideMark/>
          </w:tcPr>
          <w:p w14:paraId="65A32AAE" w14:textId="19E6462E" w:rsidR="004D1CBF" w:rsidRPr="005A1F62" w:rsidRDefault="004D1CBF" w:rsidP="0082636D">
            <w:pPr>
              <w:tabs>
                <w:tab w:val="left" w:pos="709"/>
              </w:tabs>
              <w:jc w:val="center"/>
              <w:rPr>
                <w:bCs/>
              </w:rPr>
            </w:pPr>
          </w:p>
        </w:tc>
        <w:tc>
          <w:tcPr>
            <w:tcW w:w="590" w:type="pct"/>
            <w:shd w:val="clear" w:color="auto" w:fill="D9D9D9" w:themeFill="background1" w:themeFillShade="D9"/>
            <w:noWrap/>
            <w:vAlign w:val="center"/>
            <w:hideMark/>
          </w:tcPr>
          <w:p w14:paraId="3FA95125" w14:textId="727AD72A" w:rsidR="004D1CBF" w:rsidRPr="005A1F62" w:rsidRDefault="004D1CBF" w:rsidP="0082636D">
            <w:pPr>
              <w:tabs>
                <w:tab w:val="left" w:pos="709"/>
              </w:tabs>
              <w:jc w:val="center"/>
              <w:rPr>
                <w:bCs/>
              </w:rPr>
            </w:pPr>
            <w:r w:rsidRPr="005A1F62">
              <w:rPr>
                <w:bCs/>
              </w:rPr>
              <w:t>не более</w:t>
            </w:r>
          </w:p>
        </w:tc>
        <w:tc>
          <w:tcPr>
            <w:tcW w:w="619" w:type="pct"/>
            <w:shd w:val="clear" w:color="auto" w:fill="D9D9D9" w:themeFill="background1" w:themeFillShade="D9"/>
            <w:noWrap/>
            <w:vAlign w:val="center"/>
            <w:hideMark/>
          </w:tcPr>
          <w:p w14:paraId="5D9ABC8D" w14:textId="4AE38971" w:rsidR="004D1CBF" w:rsidRPr="005A1F62" w:rsidRDefault="004D1CBF" w:rsidP="0082636D">
            <w:pPr>
              <w:tabs>
                <w:tab w:val="left" w:pos="709"/>
              </w:tabs>
              <w:jc w:val="center"/>
              <w:rPr>
                <w:bCs/>
              </w:rPr>
            </w:pPr>
            <w:r w:rsidRPr="005A1F62">
              <w:rPr>
                <w:bCs/>
              </w:rPr>
              <w:t>не менее</w:t>
            </w:r>
          </w:p>
        </w:tc>
      </w:tr>
      <w:tr w:rsidR="007848D4" w:rsidRPr="005A1F62" w14:paraId="4E6BA0A2" w14:textId="77777777" w:rsidTr="00AB6DDE">
        <w:trPr>
          <w:trHeight w:val="20"/>
        </w:trPr>
        <w:tc>
          <w:tcPr>
            <w:tcW w:w="3108" w:type="pct"/>
            <w:shd w:val="clear" w:color="auto" w:fill="auto"/>
            <w:vAlign w:val="bottom"/>
            <w:hideMark/>
          </w:tcPr>
          <w:p w14:paraId="0196DB1E" w14:textId="4DB01022" w:rsidR="007848D4" w:rsidRPr="005A1F62" w:rsidRDefault="007848D4" w:rsidP="007848D4">
            <w:pPr>
              <w:tabs>
                <w:tab w:val="left" w:pos="709"/>
              </w:tabs>
              <w:jc w:val="both"/>
            </w:pPr>
            <w:r w:rsidRPr="005A1F62">
              <w:t>Обеспечение с учетом залога ценных бумаг</w:t>
            </w:r>
            <w:r w:rsidRPr="005A1F62">
              <w:t xml:space="preserve"> </w:t>
            </w:r>
            <w:r w:rsidRPr="005A1F62">
              <w:t>к кредитному портфелю без учета выданных МБК, %</w:t>
            </w:r>
          </w:p>
        </w:tc>
        <w:tc>
          <w:tcPr>
            <w:tcW w:w="683" w:type="pct"/>
            <w:shd w:val="clear" w:color="auto" w:fill="auto"/>
            <w:noWrap/>
            <w:vAlign w:val="center"/>
            <w:hideMark/>
          </w:tcPr>
          <w:p w14:paraId="1360BC35" w14:textId="7667B4C7" w:rsidR="007848D4" w:rsidRPr="005A1F62" w:rsidRDefault="006F5D57" w:rsidP="007848D4">
            <w:pPr>
              <w:tabs>
                <w:tab w:val="left" w:pos="709"/>
              </w:tabs>
              <w:jc w:val="center"/>
            </w:pPr>
            <w:r w:rsidRPr="005A1F62">
              <w:t>70</w:t>
            </w:r>
          </w:p>
        </w:tc>
        <w:tc>
          <w:tcPr>
            <w:tcW w:w="590" w:type="pct"/>
            <w:shd w:val="clear" w:color="auto" w:fill="auto"/>
            <w:noWrap/>
            <w:vAlign w:val="center"/>
            <w:hideMark/>
          </w:tcPr>
          <w:p w14:paraId="0120FA7A" w14:textId="038F1AA0" w:rsidR="007848D4" w:rsidRPr="005A1F62" w:rsidRDefault="007848D4" w:rsidP="007848D4">
            <w:pPr>
              <w:tabs>
                <w:tab w:val="left" w:pos="709"/>
              </w:tabs>
              <w:jc w:val="center"/>
            </w:pPr>
            <w:r w:rsidRPr="005A1F62">
              <w:t>5</w:t>
            </w:r>
            <w:r w:rsidR="00E7473F" w:rsidRPr="005A1F62">
              <w:t>0</w:t>
            </w:r>
          </w:p>
        </w:tc>
        <w:tc>
          <w:tcPr>
            <w:tcW w:w="619" w:type="pct"/>
            <w:shd w:val="clear" w:color="auto" w:fill="auto"/>
            <w:noWrap/>
            <w:vAlign w:val="center"/>
            <w:hideMark/>
          </w:tcPr>
          <w:p w14:paraId="6935C24B" w14:textId="23FD27FF" w:rsidR="007848D4" w:rsidRPr="005A1F62" w:rsidRDefault="006F5D57" w:rsidP="007848D4">
            <w:pPr>
              <w:tabs>
                <w:tab w:val="left" w:pos="709"/>
              </w:tabs>
              <w:jc w:val="center"/>
            </w:pPr>
            <w:r w:rsidRPr="005A1F62">
              <w:t>90</w:t>
            </w:r>
          </w:p>
        </w:tc>
      </w:tr>
      <w:tr w:rsidR="007848D4" w:rsidRPr="005A1F62" w14:paraId="06F92E5B" w14:textId="77777777" w:rsidTr="00AB6DDE">
        <w:trPr>
          <w:trHeight w:val="20"/>
        </w:trPr>
        <w:tc>
          <w:tcPr>
            <w:tcW w:w="3108" w:type="pct"/>
            <w:shd w:val="clear" w:color="auto" w:fill="auto"/>
            <w:vAlign w:val="bottom"/>
            <w:hideMark/>
          </w:tcPr>
          <w:p w14:paraId="4F46F195" w14:textId="77777777" w:rsidR="007848D4" w:rsidRPr="005A1F62" w:rsidRDefault="007848D4" w:rsidP="007848D4">
            <w:pPr>
              <w:tabs>
                <w:tab w:val="left" w:pos="709"/>
              </w:tabs>
              <w:jc w:val="both"/>
            </w:pPr>
            <w:r w:rsidRPr="005A1F62">
              <w:t>Доля обеспеченных ссуд в общем объеме ссуд ЮЛ, ФЛ и ИП, %</w:t>
            </w:r>
          </w:p>
        </w:tc>
        <w:tc>
          <w:tcPr>
            <w:tcW w:w="683" w:type="pct"/>
            <w:vMerge w:val="restart"/>
            <w:shd w:val="clear" w:color="auto" w:fill="auto"/>
            <w:noWrap/>
            <w:vAlign w:val="center"/>
            <w:hideMark/>
          </w:tcPr>
          <w:p w14:paraId="051F6C54" w14:textId="77777777" w:rsidR="007848D4" w:rsidRPr="005A1F62" w:rsidRDefault="007848D4" w:rsidP="007848D4">
            <w:pPr>
              <w:tabs>
                <w:tab w:val="left" w:pos="709"/>
              </w:tabs>
              <w:jc w:val="center"/>
            </w:pPr>
            <w:r w:rsidRPr="005A1F62">
              <w:t xml:space="preserve">30* </w:t>
            </w:r>
          </w:p>
          <w:p w14:paraId="6FAEBF76" w14:textId="565B3C26" w:rsidR="007848D4" w:rsidRPr="005A1F62" w:rsidRDefault="007848D4" w:rsidP="007848D4">
            <w:pPr>
              <w:tabs>
                <w:tab w:val="left" w:pos="709"/>
              </w:tabs>
              <w:jc w:val="center"/>
            </w:pPr>
            <w:r w:rsidRPr="005A1F62">
              <w:t>минимум</w:t>
            </w:r>
          </w:p>
        </w:tc>
        <w:tc>
          <w:tcPr>
            <w:tcW w:w="590" w:type="pct"/>
            <w:shd w:val="clear" w:color="auto" w:fill="auto"/>
            <w:noWrap/>
            <w:vAlign w:val="center"/>
            <w:hideMark/>
          </w:tcPr>
          <w:p w14:paraId="1DF40602" w14:textId="5AC1A55A" w:rsidR="007848D4" w:rsidRPr="005A1F62" w:rsidRDefault="007848D4" w:rsidP="007848D4">
            <w:pPr>
              <w:tabs>
                <w:tab w:val="left" w:pos="709"/>
              </w:tabs>
              <w:jc w:val="center"/>
            </w:pPr>
            <w:r w:rsidRPr="005A1F62">
              <w:t>40</w:t>
            </w:r>
          </w:p>
        </w:tc>
        <w:tc>
          <w:tcPr>
            <w:tcW w:w="619" w:type="pct"/>
            <w:shd w:val="clear" w:color="auto" w:fill="auto"/>
            <w:noWrap/>
            <w:vAlign w:val="center"/>
            <w:hideMark/>
          </w:tcPr>
          <w:p w14:paraId="3597432F" w14:textId="0149FED7" w:rsidR="007848D4" w:rsidRPr="005A1F62" w:rsidRDefault="007848D4" w:rsidP="007848D4">
            <w:pPr>
              <w:tabs>
                <w:tab w:val="left" w:pos="709"/>
              </w:tabs>
              <w:jc w:val="center"/>
            </w:pPr>
            <w:r w:rsidRPr="005A1F62">
              <w:t>90</w:t>
            </w:r>
          </w:p>
        </w:tc>
      </w:tr>
      <w:tr w:rsidR="007848D4" w:rsidRPr="005A1F62" w14:paraId="4CD6F692" w14:textId="77777777" w:rsidTr="00AB6DDE">
        <w:trPr>
          <w:trHeight w:val="20"/>
        </w:trPr>
        <w:tc>
          <w:tcPr>
            <w:tcW w:w="3108" w:type="pct"/>
            <w:shd w:val="clear" w:color="auto" w:fill="auto"/>
            <w:vAlign w:val="bottom"/>
            <w:hideMark/>
          </w:tcPr>
          <w:p w14:paraId="20740917" w14:textId="77777777" w:rsidR="007848D4" w:rsidRPr="005A1F62" w:rsidRDefault="007848D4" w:rsidP="007848D4">
            <w:pPr>
              <w:tabs>
                <w:tab w:val="left" w:pos="709"/>
              </w:tabs>
              <w:jc w:val="both"/>
            </w:pPr>
            <w:r w:rsidRPr="005A1F62">
              <w:t>Доля ссуд, имеющих хорошее обеспечение в общем объеме ссуд ЮЛ, ФЛ и ИП, %</w:t>
            </w:r>
          </w:p>
        </w:tc>
        <w:tc>
          <w:tcPr>
            <w:tcW w:w="683" w:type="pct"/>
            <w:vMerge/>
            <w:vAlign w:val="center"/>
            <w:hideMark/>
          </w:tcPr>
          <w:p w14:paraId="1E8D7B65" w14:textId="77777777" w:rsidR="007848D4" w:rsidRPr="005A1F62" w:rsidRDefault="007848D4" w:rsidP="007848D4">
            <w:pPr>
              <w:tabs>
                <w:tab w:val="left" w:pos="709"/>
              </w:tabs>
              <w:jc w:val="center"/>
            </w:pPr>
          </w:p>
        </w:tc>
        <w:tc>
          <w:tcPr>
            <w:tcW w:w="590" w:type="pct"/>
            <w:shd w:val="clear" w:color="auto" w:fill="auto"/>
            <w:noWrap/>
            <w:vAlign w:val="center"/>
            <w:hideMark/>
          </w:tcPr>
          <w:p w14:paraId="34C38279" w14:textId="193A4D4E" w:rsidR="007848D4" w:rsidRPr="005A1F62" w:rsidRDefault="007848D4" w:rsidP="007848D4">
            <w:pPr>
              <w:tabs>
                <w:tab w:val="left" w:pos="709"/>
              </w:tabs>
              <w:jc w:val="center"/>
            </w:pPr>
            <w:r w:rsidRPr="005A1F62">
              <w:t>20</w:t>
            </w:r>
          </w:p>
        </w:tc>
        <w:tc>
          <w:tcPr>
            <w:tcW w:w="619" w:type="pct"/>
            <w:shd w:val="clear" w:color="auto" w:fill="auto"/>
            <w:noWrap/>
            <w:vAlign w:val="center"/>
            <w:hideMark/>
          </w:tcPr>
          <w:p w14:paraId="4B7118F3" w14:textId="00D3AA46" w:rsidR="007848D4" w:rsidRPr="005A1F62" w:rsidRDefault="007848D4" w:rsidP="007848D4">
            <w:pPr>
              <w:tabs>
                <w:tab w:val="left" w:pos="709"/>
              </w:tabs>
              <w:jc w:val="center"/>
            </w:pPr>
            <w:r w:rsidRPr="005A1F62">
              <w:t>80</w:t>
            </w:r>
          </w:p>
        </w:tc>
      </w:tr>
    </w:tbl>
    <w:p w14:paraId="32CA0A85" w14:textId="5D5D5362" w:rsidR="003E38FC" w:rsidRDefault="003E38FC" w:rsidP="00DC2FED">
      <w:pPr>
        <w:tabs>
          <w:tab w:val="left" w:pos="709"/>
        </w:tabs>
        <w:ind w:firstLine="567"/>
        <w:rPr>
          <w:bCs/>
        </w:rPr>
      </w:pPr>
    </w:p>
    <w:p w14:paraId="47491B8F" w14:textId="77777777" w:rsidR="005A1F66" w:rsidRPr="005A1F62" w:rsidRDefault="005A1F66" w:rsidP="00DC2FED">
      <w:pPr>
        <w:tabs>
          <w:tab w:val="left" w:pos="709"/>
        </w:tabs>
        <w:ind w:firstLine="567"/>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1336"/>
        <w:gridCol w:w="1088"/>
        <w:gridCol w:w="1112"/>
      </w:tblGrid>
      <w:tr w:rsidR="0082636D" w:rsidRPr="005A1F62" w14:paraId="3078F8ED" w14:textId="77777777" w:rsidTr="00AB6DDE">
        <w:trPr>
          <w:trHeight w:val="20"/>
        </w:trPr>
        <w:tc>
          <w:tcPr>
            <w:tcW w:w="5000" w:type="pct"/>
            <w:gridSpan w:val="4"/>
            <w:shd w:val="clear" w:color="auto" w:fill="D9D9D9" w:themeFill="background1" w:themeFillShade="D9"/>
            <w:vAlign w:val="bottom"/>
            <w:hideMark/>
          </w:tcPr>
          <w:p w14:paraId="2C8CCBF3" w14:textId="62A585A1" w:rsidR="0082636D" w:rsidRPr="005A1F62" w:rsidRDefault="0082636D" w:rsidP="0082636D">
            <w:pPr>
              <w:tabs>
                <w:tab w:val="left" w:pos="709"/>
              </w:tabs>
              <w:rPr>
                <w:bCs/>
              </w:rPr>
            </w:pPr>
            <w:r w:rsidRPr="005A1F62">
              <w:rPr>
                <w:bCs/>
              </w:rPr>
              <w:t>БАНК, НЕ ЯВЛЯЮЩИЙСЯ СИСТЕМНО ЗНАЧИМЫМ </w:t>
            </w:r>
          </w:p>
        </w:tc>
      </w:tr>
      <w:tr w:rsidR="0082636D" w:rsidRPr="005A1F62" w14:paraId="61BE5480" w14:textId="77777777" w:rsidTr="00AB6DDE">
        <w:trPr>
          <w:trHeight w:val="20"/>
        </w:trPr>
        <w:tc>
          <w:tcPr>
            <w:tcW w:w="3108" w:type="pct"/>
            <w:vMerge w:val="restart"/>
            <w:shd w:val="clear" w:color="auto" w:fill="D9D9D9" w:themeFill="background1" w:themeFillShade="D9"/>
            <w:vAlign w:val="center"/>
            <w:hideMark/>
          </w:tcPr>
          <w:p w14:paraId="2BF27929" w14:textId="72EB0E63" w:rsidR="0082636D" w:rsidRPr="005A1F62" w:rsidRDefault="0082636D" w:rsidP="0082636D">
            <w:pPr>
              <w:tabs>
                <w:tab w:val="left" w:pos="709"/>
              </w:tabs>
              <w:rPr>
                <w:bCs/>
              </w:rPr>
            </w:pPr>
            <w:r w:rsidRPr="005A1F62">
              <w:t>Показатель</w:t>
            </w:r>
            <w:r w:rsidRPr="005A1F62">
              <w:rPr>
                <w:bCs/>
              </w:rPr>
              <w:t> </w:t>
            </w:r>
          </w:p>
        </w:tc>
        <w:tc>
          <w:tcPr>
            <w:tcW w:w="715" w:type="pct"/>
            <w:vMerge w:val="restart"/>
            <w:shd w:val="clear" w:color="auto" w:fill="D9D9D9" w:themeFill="background1" w:themeFillShade="D9"/>
            <w:noWrap/>
            <w:vAlign w:val="center"/>
            <w:hideMark/>
          </w:tcPr>
          <w:p w14:paraId="101EE44D" w14:textId="09AE78E0" w:rsidR="0082636D" w:rsidRPr="005A1F62" w:rsidRDefault="0082636D" w:rsidP="0082636D">
            <w:pPr>
              <w:tabs>
                <w:tab w:val="left" w:pos="709"/>
              </w:tabs>
              <w:jc w:val="center"/>
              <w:rPr>
                <w:bCs/>
              </w:rPr>
            </w:pPr>
            <w:r w:rsidRPr="005A1F62">
              <w:rPr>
                <w:bCs/>
              </w:rPr>
              <w:t>Вес, %</w:t>
            </w:r>
          </w:p>
        </w:tc>
        <w:tc>
          <w:tcPr>
            <w:tcW w:w="582" w:type="pct"/>
            <w:shd w:val="clear" w:color="auto" w:fill="D9D9D9" w:themeFill="background1" w:themeFillShade="D9"/>
            <w:noWrap/>
            <w:vAlign w:val="center"/>
            <w:hideMark/>
          </w:tcPr>
          <w:p w14:paraId="0C291F9D" w14:textId="77777777" w:rsidR="0082636D" w:rsidRPr="005A1F62" w:rsidRDefault="0082636D" w:rsidP="0082636D">
            <w:pPr>
              <w:tabs>
                <w:tab w:val="left" w:pos="709"/>
              </w:tabs>
              <w:jc w:val="center"/>
              <w:rPr>
                <w:bCs/>
              </w:rPr>
            </w:pPr>
            <w:r w:rsidRPr="005A1F62">
              <w:rPr>
                <w:bCs/>
              </w:rPr>
              <w:t>-1</w:t>
            </w:r>
          </w:p>
        </w:tc>
        <w:tc>
          <w:tcPr>
            <w:tcW w:w="595" w:type="pct"/>
            <w:shd w:val="clear" w:color="auto" w:fill="D9D9D9" w:themeFill="background1" w:themeFillShade="D9"/>
            <w:noWrap/>
            <w:vAlign w:val="center"/>
            <w:hideMark/>
          </w:tcPr>
          <w:p w14:paraId="20AE8202" w14:textId="77777777" w:rsidR="0082636D" w:rsidRPr="005A1F62" w:rsidRDefault="0082636D" w:rsidP="0082636D">
            <w:pPr>
              <w:tabs>
                <w:tab w:val="left" w:pos="709"/>
              </w:tabs>
              <w:jc w:val="center"/>
              <w:rPr>
                <w:bCs/>
              </w:rPr>
            </w:pPr>
            <w:r w:rsidRPr="005A1F62">
              <w:rPr>
                <w:bCs/>
              </w:rPr>
              <w:t>1</w:t>
            </w:r>
          </w:p>
        </w:tc>
      </w:tr>
      <w:tr w:rsidR="0082636D" w:rsidRPr="005A1F62" w14:paraId="14C3C34F" w14:textId="77777777" w:rsidTr="00AB6DDE">
        <w:trPr>
          <w:trHeight w:val="20"/>
        </w:trPr>
        <w:tc>
          <w:tcPr>
            <w:tcW w:w="3108" w:type="pct"/>
            <w:vMerge/>
            <w:shd w:val="clear" w:color="auto" w:fill="D9D9D9" w:themeFill="background1" w:themeFillShade="D9"/>
            <w:vAlign w:val="bottom"/>
            <w:hideMark/>
          </w:tcPr>
          <w:p w14:paraId="5DBCA12B" w14:textId="2583CEDF" w:rsidR="0082636D" w:rsidRPr="005A1F62" w:rsidRDefault="0082636D" w:rsidP="00DC2FED">
            <w:pPr>
              <w:tabs>
                <w:tab w:val="left" w:pos="709"/>
              </w:tabs>
              <w:rPr>
                <w:bCs/>
              </w:rPr>
            </w:pPr>
          </w:p>
        </w:tc>
        <w:tc>
          <w:tcPr>
            <w:tcW w:w="715" w:type="pct"/>
            <w:vMerge/>
            <w:shd w:val="clear" w:color="auto" w:fill="D9D9D9" w:themeFill="background1" w:themeFillShade="D9"/>
            <w:noWrap/>
            <w:vAlign w:val="center"/>
            <w:hideMark/>
          </w:tcPr>
          <w:p w14:paraId="287FD354" w14:textId="055FE373" w:rsidR="0082636D" w:rsidRPr="005A1F62" w:rsidRDefault="0082636D" w:rsidP="0082636D">
            <w:pPr>
              <w:tabs>
                <w:tab w:val="left" w:pos="709"/>
              </w:tabs>
              <w:jc w:val="center"/>
              <w:rPr>
                <w:bCs/>
              </w:rPr>
            </w:pPr>
          </w:p>
        </w:tc>
        <w:tc>
          <w:tcPr>
            <w:tcW w:w="582" w:type="pct"/>
            <w:shd w:val="clear" w:color="auto" w:fill="D9D9D9" w:themeFill="background1" w:themeFillShade="D9"/>
            <w:noWrap/>
            <w:vAlign w:val="center"/>
            <w:hideMark/>
          </w:tcPr>
          <w:p w14:paraId="4ADAF5C9" w14:textId="77777777" w:rsidR="0082636D" w:rsidRPr="005A1F62" w:rsidRDefault="0082636D" w:rsidP="0082636D">
            <w:pPr>
              <w:tabs>
                <w:tab w:val="left" w:pos="709"/>
              </w:tabs>
              <w:jc w:val="center"/>
              <w:rPr>
                <w:bCs/>
              </w:rPr>
            </w:pPr>
            <w:r w:rsidRPr="005A1F62">
              <w:rPr>
                <w:bCs/>
              </w:rPr>
              <w:t>не более</w:t>
            </w:r>
          </w:p>
        </w:tc>
        <w:tc>
          <w:tcPr>
            <w:tcW w:w="595" w:type="pct"/>
            <w:shd w:val="clear" w:color="auto" w:fill="D9D9D9" w:themeFill="background1" w:themeFillShade="D9"/>
            <w:noWrap/>
            <w:vAlign w:val="center"/>
            <w:hideMark/>
          </w:tcPr>
          <w:p w14:paraId="4D1409AB" w14:textId="77777777" w:rsidR="0082636D" w:rsidRPr="005A1F62" w:rsidRDefault="0082636D" w:rsidP="0082636D">
            <w:pPr>
              <w:tabs>
                <w:tab w:val="left" w:pos="709"/>
              </w:tabs>
              <w:jc w:val="center"/>
              <w:rPr>
                <w:bCs/>
              </w:rPr>
            </w:pPr>
            <w:r w:rsidRPr="005A1F62">
              <w:rPr>
                <w:bCs/>
              </w:rPr>
              <w:t>не менее</w:t>
            </w:r>
          </w:p>
        </w:tc>
      </w:tr>
      <w:tr w:rsidR="00A432E0" w:rsidRPr="005A1F62" w14:paraId="7F354F0F" w14:textId="77777777" w:rsidTr="00AB6DDE">
        <w:trPr>
          <w:trHeight w:val="20"/>
        </w:trPr>
        <w:tc>
          <w:tcPr>
            <w:tcW w:w="3108" w:type="pct"/>
            <w:shd w:val="clear" w:color="auto" w:fill="auto"/>
            <w:vAlign w:val="bottom"/>
            <w:hideMark/>
          </w:tcPr>
          <w:p w14:paraId="35286D8A" w14:textId="7A951982" w:rsidR="00A432E0" w:rsidRPr="005A1F62" w:rsidRDefault="00A432E0" w:rsidP="00A432E0">
            <w:pPr>
              <w:tabs>
                <w:tab w:val="left" w:pos="709"/>
              </w:tabs>
              <w:jc w:val="both"/>
            </w:pPr>
            <w:r w:rsidRPr="005A1F62">
              <w:t>Обеспечение с учетом залога ценных бумаг к кредитному портфелю без учета выданных МБК, %</w:t>
            </w:r>
          </w:p>
        </w:tc>
        <w:tc>
          <w:tcPr>
            <w:tcW w:w="715" w:type="pct"/>
            <w:shd w:val="clear" w:color="auto" w:fill="auto"/>
            <w:noWrap/>
            <w:vAlign w:val="center"/>
            <w:hideMark/>
          </w:tcPr>
          <w:p w14:paraId="6AFF17AE" w14:textId="7BFD6C74" w:rsidR="00A432E0" w:rsidRPr="005A1F62" w:rsidRDefault="00A432E0" w:rsidP="00A432E0">
            <w:pPr>
              <w:tabs>
                <w:tab w:val="left" w:pos="709"/>
              </w:tabs>
              <w:jc w:val="center"/>
            </w:pPr>
            <w:r w:rsidRPr="005A1F62">
              <w:t>70</w:t>
            </w:r>
          </w:p>
        </w:tc>
        <w:tc>
          <w:tcPr>
            <w:tcW w:w="582" w:type="pct"/>
            <w:shd w:val="clear" w:color="auto" w:fill="auto"/>
            <w:noWrap/>
            <w:vAlign w:val="center"/>
            <w:hideMark/>
          </w:tcPr>
          <w:p w14:paraId="573C522A" w14:textId="7DBBCF44" w:rsidR="00A432E0" w:rsidRPr="005A1F62" w:rsidRDefault="00A432E0" w:rsidP="00A432E0">
            <w:pPr>
              <w:tabs>
                <w:tab w:val="left" w:pos="709"/>
              </w:tabs>
              <w:jc w:val="center"/>
              <w:rPr>
                <w:lang w:val="en-US"/>
              </w:rPr>
            </w:pPr>
            <w:r w:rsidRPr="005A1F62">
              <w:t>50</w:t>
            </w:r>
          </w:p>
        </w:tc>
        <w:tc>
          <w:tcPr>
            <w:tcW w:w="595" w:type="pct"/>
            <w:shd w:val="clear" w:color="auto" w:fill="auto"/>
            <w:noWrap/>
            <w:vAlign w:val="center"/>
            <w:hideMark/>
          </w:tcPr>
          <w:p w14:paraId="4028FB16" w14:textId="36E49782" w:rsidR="00A432E0" w:rsidRPr="005A1F62" w:rsidRDefault="00A432E0" w:rsidP="00A432E0">
            <w:pPr>
              <w:tabs>
                <w:tab w:val="left" w:pos="709"/>
              </w:tabs>
              <w:jc w:val="center"/>
              <w:rPr>
                <w:lang w:val="en-US"/>
              </w:rPr>
            </w:pPr>
            <w:r w:rsidRPr="005A1F62">
              <w:t>90</w:t>
            </w:r>
          </w:p>
        </w:tc>
      </w:tr>
      <w:tr w:rsidR="003E38FC" w:rsidRPr="005A1F62" w14:paraId="186F4566" w14:textId="77777777" w:rsidTr="00AB6DDE">
        <w:trPr>
          <w:trHeight w:val="20"/>
        </w:trPr>
        <w:tc>
          <w:tcPr>
            <w:tcW w:w="3108" w:type="pct"/>
            <w:shd w:val="clear" w:color="auto" w:fill="auto"/>
            <w:vAlign w:val="bottom"/>
            <w:hideMark/>
          </w:tcPr>
          <w:p w14:paraId="3D016C86" w14:textId="77777777" w:rsidR="003E38FC" w:rsidRPr="005A1F62" w:rsidRDefault="003E38FC" w:rsidP="0082636D">
            <w:pPr>
              <w:tabs>
                <w:tab w:val="left" w:pos="709"/>
              </w:tabs>
              <w:jc w:val="both"/>
            </w:pPr>
            <w:r w:rsidRPr="005A1F62">
              <w:t>Доля обеспеченных ссуд в общем объеме ссуд ЮЛ, ФЛ и ИП</w:t>
            </w:r>
            <w:r w:rsidR="00F96F08" w:rsidRPr="005A1F62">
              <w:t>, %</w:t>
            </w:r>
          </w:p>
        </w:tc>
        <w:tc>
          <w:tcPr>
            <w:tcW w:w="715" w:type="pct"/>
            <w:vMerge w:val="restart"/>
            <w:shd w:val="clear" w:color="auto" w:fill="auto"/>
            <w:noWrap/>
            <w:vAlign w:val="center"/>
            <w:hideMark/>
          </w:tcPr>
          <w:p w14:paraId="3494C513" w14:textId="77777777" w:rsidR="0082636D" w:rsidRPr="005A1F62" w:rsidRDefault="0082636D" w:rsidP="0082636D">
            <w:pPr>
              <w:tabs>
                <w:tab w:val="left" w:pos="709"/>
              </w:tabs>
              <w:jc w:val="center"/>
            </w:pPr>
            <w:r w:rsidRPr="005A1F62">
              <w:t>30</w:t>
            </w:r>
            <w:r w:rsidR="003E38FC" w:rsidRPr="005A1F62">
              <w:t>*</w:t>
            </w:r>
          </w:p>
          <w:p w14:paraId="7AAD1DB4" w14:textId="4A594311" w:rsidR="003E38FC" w:rsidRPr="005A1F62" w:rsidRDefault="003E38FC" w:rsidP="0082636D">
            <w:pPr>
              <w:tabs>
                <w:tab w:val="left" w:pos="709"/>
              </w:tabs>
              <w:jc w:val="center"/>
            </w:pPr>
            <w:r w:rsidRPr="005A1F62">
              <w:t>максимум</w:t>
            </w:r>
          </w:p>
        </w:tc>
        <w:tc>
          <w:tcPr>
            <w:tcW w:w="582" w:type="pct"/>
            <w:shd w:val="clear" w:color="auto" w:fill="auto"/>
            <w:noWrap/>
            <w:vAlign w:val="center"/>
            <w:hideMark/>
          </w:tcPr>
          <w:p w14:paraId="5E59781A" w14:textId="53DE4C7E" w:rsidR="003E38FC" w:rsidRPr="005A1F62" w:rsidRDefault="0082636D" w:rsidP="0082636D">
            <w:pPr>
              <w:tabs>
                <w:tab w:val="left" w:pos="709"/>
              </w:tabs>
              <w:jc w:val="center"/>
            </w:pPr>
            <w:r w:rsidRPr="005A1F62">
              <w:t>40</w:t>
            </w:r>
          </w:p>
        </w:tc>
        <w:tc>
          <w:tcPr>
            <w:tcW w:w="595" w:type="pct"/>
            <w:shd w:val="clear" w:color="auto" w:fill="auto"/>
            <w:noWrap/>
            <w:vAlign w:val="center"/>
            <w:hideMark/>
          </w:tcPr>
          <w:p w14:paraId="29616513" w14:textId="11D7B832" w:rsidR="003E38FC" w:rsidRPr="005A1F62" w:rsidRDefault="0082636D" w:rsidP="0082636D">
            <w:pPr>
              <w:tabs>
                <w:tab w:val="left" w:pos="709"/>
              </w:tabs>
              <w:jc w:val="center"/>
            </w:pPr>
            <w:r w:rsidRPr="005A1F62">
              <w:t>90</w:t>
            </w:r>
          </w:p>
        </w:tc>
      </w:tr>
      <w:tr w:rsidR="003E38FC" w:rsidRPr="005A1F62" w14:paraId="4919DAAA" w14:textId="77777777" w:rsidTr="00AB6DDE">
        <w:trPr>
          <w:trHeight w:val="20"/>
        </w:trPr>
        <w:tc>
          <w:tcPr>
            <w:tcW w:w="3108" w:type="pct"/>
            <w:shd w:val="clear" w:color="auto" w:fill="auto"/>
            <w:vAlign w:val="bottom"/>
            <w:hideMark/>
          </w:tcPr>
          <w:p w14:paraId="7FC61612" w14:textId="77777777" w:rsidR="003E38FC" w:rsidRPr="005A1F62" w:rsidRDefault="003E38FC" w:rsidP="0082636D">
            <w:pPr>
              <w:tabs>
                <w:tab w:val="left" w:pos="709"/>
              </w:tabs>
              <w:jc w:val="both"/>
            </w:pPr>
            <w:r w:rsidRPr="005A1F62">
              <w:lastRenderedPageBreak/>
              <w:t>Доля ссуд, имеющих хорошее обеспечение в общем объеме ссуд ЮЛ, ФЛ и ИП</w:t>
            </w:r>
            <w:r w:rsidR="00F96F08" w:rsidRPr="005A1F62">
              <w:t>, %</w:t>
            </w:r>
          </w:p>
        </w:tc>
        <w:tc>
          <w:tcPr>
            <w:tcW w:w="715" w:type="pct"/>
            <w:vMerge/>
            <w:vAlign w:val="center"/>
            <w:hideMark/>
          </w:tcPr>
          <w:p w14:paraId="6D499D55" w14:textId="77777777" w:rsidR="003E38FC" w:rsidRPr="005A1F62" w:rsidRDefault="003E38FC" w:rsidP="0082636D">
            <w:pPr>
              <w:tabs>
                <w:tab w:val="left" w:pos="709"/>
              </w:tabs>
              <w:jc w:val="center"/>
            </w:pPr>
          </w:p>
        </w:tc>
        <w:tc>
          <w:tcPr>
            <w:tcW w:w="582" w:type="pct"/>
            <w:shd w:val="clear" w:color="auto" w:fill="auto"/>
            <w:noWrap/>
            <w:vAlign w:val="center"/>
            <w:hideMark/>
          </w:tcPr>
          <w:p w14:paraId="3C25BC31" w14:textId="072959BE" w:rsidR="003E38FC" w:rsidRPr="005A1F62" w:rsidRDefault="0082636D" w:rsidP="0082636D">
            <w:pPr>
              <w:tabs>
                <w:tab w:val="left" w:pos="709"/>
              </w:tabs>
              <w:jc w:val="center"/>
            </w:pPr>
            <w:r w:rsidRPr="005A1F62">
              <w:t>20</w:t>
            </w:r>
          </w:p>
        </w:tc>
        <w:tc>
          <w:tcPr>
            <w:tcW w:w="595" w:type="pct"/>
            <w:shd w:val="clear" w:color="auto" w:fill="auto"/>
            <w:noWrap/>
            <w:vAlign w:val="center"/>
            <w:hideMark/>
          </w:tcPr>
          <w:p w14:paraId="0EB17673" w14:textId="2435066C" w:rsidR="003E38FC" w:rsidRPr="005A1F62" w:rsidRDefault="0082636D" w:rsidP="0082636D">
            <w:pPr>
              <w:tabs>
                <w:tab w:val="left" w:pos="709"/>
              </w:tabs>
              <w:jc w:val="center"/>
            </w:pPr>
            <w:r w:rsidRPr="005A1F62">
              <w:t>80</w:t>
            </w:r>
          </w:p>
        </w:tc>
      </w:tr>
    </w:tbl>
    <w:p w14:paraId="5BF646D4" w14:textId="77777777" w:rsidR="002733D6" w:rsidRPr="005A1F62" w:rsidRDefault="002733D6" w:rsidP="00DC2FED">
      <w:pPr>
        <w:tabs>
          <w:tab w:val="left" w:pos="709"/>
        </w:tabs>
      </w:pPr>
    </w:p>
    <w:p w14:paraId="4B5ABC56" w14:textId="77777777" w:rsidR="003E38FC" w:rsidRPr="005A1F62" w:rsidRDefault="003E38FC" w:rsidP="003C5D28">
      <w:pPr>
        <w:pStyle w:val="afb"/>
        <w:numPr>
          <w:ilvl w:val="0"/>
          <w:numId w:val="21"/>
        </w:numPr>
        <w:tabs>
          <w:tab w:val="left" w:pos="709"/>
        </w:tabs>
        <w:ind w:left="0" w:firstLine="567"/>
        <w:jc w:val="both"/>
        <w:rPr>
          <w:bCs/>
        </w:rPr>
      </w:pPr>
      <w:r w:rsidRPr="005A1F62">
        <w:rPr>
          <w:bCs/>
        </w:rPr>
        <w:t>ПРОЧИЕ АКТИВЫ ПОД РИСКОМ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1503"/>
        <w:gridCol w:w="1501"/>
      </w:tblGrid>
      <w:tr w:rsidR="0082636D" w:rsidRPr="005A1F62" w14:paraId="4469FEFC" w14:textId="77777777" w:rsidTr="00AB6DDE">
        <w:trPr>
          <w:trHeight w:val="20"/>
        </w:trPr>
        <w:tc>
          <w:tcPr>
            <w:tcW w:w="3393" w:type="pct"/>
            <w:vMerge w:val="restart"/>
            <w:shd w:val="clear" w:color="auto" w:fill="D9D9D9" w:themeFill="background1" w:themeFillShade="D9"/>
            <w:vAlign w:val="center"/>
            <w:hideMark/>
          </w:tcPr>
          <w:p w14:paraId="72F81A29" w14:textId="391C0326" w:rsidR="0082636D" w:rsidRPr="005A1F62" w:rsidRDefault="0082636D" w:rsidP="0082636D">
            <w:pPr>
              <w:tabs>
                <w:tab w:val="left" w:pos="709"/>
              </w:tabs>
              <w:rPr>
                <w:bCs/>
              </w:rPr>
            </w:pPr>
            <w:r w:rsidRPr="005A1F62">
              <w:t>Показатель</w:t>
            </w:r>
          </w:p>
        </w:tc>
        <w:tc>
          <w:tcPr>
            <w:tcW w:w="804" w:type="pct"/>
            <w:shd w:val="clear" w:color="auto" w:fill="D9D9D9" w:themeFill="background1" w:themeFillShade="D9"/>
            <w:noWrap/>
            <w:vAlign w:val="center"/>
            <w:hideMark/>
          </w:tcPr>
          <w:p w14:paraId="33109ED1" w14:textId="77777777" w:rsidR="0082636D" w:rsidRPr="005A1F62" w:rsidRDefault="0082636D" w:rsidP="0082636D">
            <w:pPr>
              <w:tabs>
                <w:tab w:val="left" w:pos="709"/>
              </w:tabs>
              <w:jc w:val="center"/>
              <w:rPr>
                <w:bCs/>
              </w:rPr>
            </w:pPr>
            <w:r w:rsidRPr="005A1F62">
              <w:rPr>
                <w:bCs/>
              </w:rPr>
              <w:t>-1</w:t>
            </w:r>
          </w:p>
        </w:tc>
        <w:tc>
          <w:tcPr>
            <w:tcW w:w="804" w:type="pct"/>
            <w:shd w:val="clear" w:color="auto" w:fill="D9D9D9" w:themeFill="background1" w:themeFillShade="D9"/>
            <w:noWrap/>
            <w:vAlign w:val="center"/>
            <w:hideMark/>
          </w:tcPr>
          <w:p w14:paraId="1FA97E96" w14:textId="77777777" w:rsidR="0082636D" w:rsidRPr="005A1F62" w:rsidRDefault="0082636D" w:rsidP="0082636D">
            <w:pPr>
              <w:tabs>
                <w:tab w:val="left" w:pos="709"/>
              </w:tabs>
              <w:jc w:val="center"/>
              <w:rPr>
                <w:bCs/>
              </w:rPr>
            </w:pPr>
            <w:r w:rsidRPr="005A1F62">
              <w:rPr>
                <w:bCs/>
              </w:rPr>
              <w:t>1</w:t>
            </w:r>
          </w:p>
        </w:tc>
      </w:tr>
      <w:tr w:rsidR="0082636D" w:rsidRPr="005A1F62" w14:paraId="2558EF7C" w14:textId="77777777" w:rsidTr="00AB6DDE">
        <w:trPr>
          <w:trHeight w:val="20"/>
        </w:trPr>
        <w:tc>
          <w:tcPr>
            <w:tcW w:w="3393" w:type="pct"/>
            <w:vMerge/>
            <w:shd w:val="clear" w:color="auto" w:fill="D9D9D9" w:themeFill="background1" w:themeFillShade="D9"/>
            <w:noWrap/>
            <w:vAlign w:val="bottom"/>
            <w:hideMark/>
          </w:tcPr>
          <w:p w14:paraId="3167CFC2" w14:textId="77777777" w:rsidR="0082636D" w:rsidRPr="005A1F62" w:rsidRDefault="0082636D" w:rsidP="00DC2FED">
            <w:pPr>
              <w:tabs>
                <w:tab w:val="left" w:pos="709"/>
              </w:tabs>
            </w:pPr>
          </w:p>
        </w:tc>
        <w:tc>
          <w:tcPr>
            <w:tcW w:w="804" w:type="pct"/>
            <w:shd w:val="clear" w:color="auto" w:fill="D9D9D9" w:themeFill="background1" w:themeFillShade="D9"/>
            <w:noWrap/>
            <w:vAlign w:val="center"/>
            <w:hideMark/>
          </w:tcPr>
          <w:p w14:paraId="769A0084" w14:textId="38F23BC5" w:rsidR="0082636D" w:rsidRPr="005A1F62" w:rsidRDefault="00A55731" w:rsidP="0082636D">
            <w:pPr>
              <w:tabs>
                <w:tab w:val="left" w:pos="709"/>
              </w:tabs>
              <w:jc w:val="center"/>
              <w:rPr>
                <w:bCs/>
              </w:rPr>
            </w:pPr>
            <w:r w:rsidRPr="005A1F62">
              <w:rPr>
                <w:bCs/>
              </w:rPr>
              <w:t>н</w:t>
            </w:r>
            <w:r w:rsidR="0082636D" w:rsidRPr="005A1F62">
              <w:rPr>
                <w:bCs/>
              </w:rPr>
              <w:t xml:space="preserve">е </w:t>
            </w:r>
            <w:r w:rsidRPr="005A1F62">
              <w:rPr>
                <w:bCs/>
              </w:rPr>
              <w:t>менее</w:t>
            </w:r>
          </w:p>
        </w:tc>
        <w:tc>
          <w:tcPr>
            <w:tcW w:w="804" w:type="pct"/>
            <w:shd w:val="clear" w:color="auto" w:fill="D9D9D9" w:themeFill="background1" w:themeFillShade="D9"/>
            <w:noWrap/>
            <w:vAlign w:val="center"/>
            <w:hideMark/>
          </w:tcPr>
          <w:p w14:paraId="0D12CD41" w14:textId="23D06E9A" w:rsidR="0082636D" w:rsidRPr="005A1F62" w:rsidRDefault="00A55731" w:rsidP="0082636D">
            <w:pPr>
              <w:tabs>
                <w:tab w:val="left" w:pos="709"/>
              </w:tabs>
              <w:jc w:val="center"/>
              <w:rPr>
                <w:bCs/>
              </w:rPr>
            </w:pPr>
            <w:r w:rsidRPr="005A1F62">
              <w:rPr>
                <w:bCs/>
              </w:rPr>
              <w:t>н</w:t>
            </w:r>
            <w:r w:rsidR="0082636D" w:rsidRPr="005A1F62">
              <w:rPr>
                <w:bCs/>
              </w:rPr>
              <w:t xml:space="preserve">е </w:t>
            </w:r>
            <w:r w:rsidRPr="005A1F62">
              <w:rPr>
                <w:bCs/>
              </w:rPr>
              <w:t>более</w:t>
            </w:r>
          </w:p>
        </w:tc>
      </w:tr>
      <w:tr w:rsidR="003E38FC" w:rsidRPr="005A1F62" w14:paraId="37B73F0B" w14:textId="77777777" w:rsidTr="00AB6DDE">
        <w:trPr>
          <w:trHeight w:val="20"/>
        </w:trPr>
        <w:tc>
          <w:tcPr>
            <w:tcW w:w="3393" w:type="pct"/>
            <w:shd w:val="clear" w:color="auto" w:fill="auto"/>
            <w:vAlign w:val="bottom"/>
            <w:hideMark/>
          </w:tcPr>
          <w:p w14:paraId="5FE83CB7" w14:textId="77777777" w:rsidR="003E38FC" w:rsidRPr="005A1F62" w:rsidRDefault="003E38FC" w:rsidP="00A55731">
            <w:pPr>
              <w:tabs>
                <w:tab w:val="left" w:pos="709"/>
              </w:tabs>
              <w:jc w:val="both"/>
            </w:pPr>
            <w:r w:rsidRPr="005A1F62">
              <w:t>Расчетный уровень обесценения прочих активов под стрессом</w:t>
            </w:r>
            <w:r w:rsidR="00F96F08" w:rsidRPr="005A1F62">
              <w:t>, %</w:t>
            </w:r>
          </w:p>
        </w:tc>
        <w:tc>
          <w:tcPr>
            <w:tcW w:w="804" w:type="pct"/>
            <w:shd w:val="clear" w:color="auto" w:fill="auto"/>
            <w:noWrap/>
            <w:vAlign w:val="center"/>
            <w:hideMark/>
          </w:tcPr>
          <w:p w14:paraId="6B6E1C0F" w14:textId="73758E89" w:rsidR="003E38FC" w:rsidRPr="005A1F62" w:rsidRDefault="00A55731" w:rsidP="0082636D">
            <w:pPr>
              <w:tabs>
                <w:tab w:val="left" w:pos="709"/>
              </w:tabs>
              <w:jc w:val="center"/>
            </w:pPr>
            <w:r w:rsidRPr="005A1F62">
              <w:t>30</w:t>
            </w:r>
          </w:p>
        </w:tc>
        <w:tc>
          <w:tcPr>
            <w:tcW w:w="804" w:type="pct"/>
            <w:shd w:val="clear" w:color="auto" w:fill="auto"/>
            <w:noWrap/>
            <w:vAlign w:val="center"/>
            <w:hideMark/>
          </w:tcPr>
          <w:p w14:paraId="7A3754A5" w14:textId="139A36FF" w:rsidR="003E38FC" w:rsidRPr="005A1F62" w:rsidRDefault="00A55731" w:rsidP="0082636D">
            <w:pPr>
              <w:tabs>
                <w:tab w:val="left" w:pos="709"/>
              </w:tabs>
              <w:jc w:val="center"/>
            </w:pPr>
            <w:r w:rsidRPr="005A1F62">
              <w:t>10</w:t>
            </w:r>
          </w:p>
        </w:tc>
      </w:tr>
    </w:tbl>
    <w:p w14:paraId="0BFA61A4" w14:textId="77777777" w:rsidR="003E38FC" w:rsidRPr="005A1F62" w:rsidRDefault="003E38FC" w:rsidP="00DC2FED">
      <w:pPr>
        <w:tabs>
          <w:tab w:val="left" w:pos="709"/>
        </w:tabs>
        <w:rPr>
          <w:bCs/>
        </w:rPr>
      </w:pPr>
    </w:p>
    <w:p w14:paraId="1F807F7C" w14:textId="77777777" w:rsidR="003E38FC" w:rsidRPr="005A1F62" w:rsidRDefault="003E38FC" w:rsidP="003C5D28">
      <w:pPr>
        <w:pStyle w:val="afb"/>
        <w:numPr>
          <w:ilvl w:val="0"/>
          <w:numId w:val="21"/>
        </w:numPr>
        <w:tabs>
          <w:tab w:val="left" w:pos="709"/>
        </w:tabs>
        <w:ind w:left="0" w:firstLine="567"/>
        <w:jc w:val="both"/>
        <w:rPr>
          <w:bCs/>
        </w:rPr>
      </w:pPr>
      <w:r w:rsidRPr="005A1F62">
        <w:rPr>
          <w:bCs/>
        </w:rPr>
        <w:t>ВНЕБАЛАНСОВЫЕ ОБЯЗАТЕЛЬСТВА ПОД СТРЕССОМ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1484"/>
        <w:gridCol w:w="1484"/>
      </w:tblGrid>
      <w:tr w:rsidR="00A55731" w:rsidRPr="005A1F62" w14:paraId="51CE6EB1" w14:textId="77777777" w:rsidTr="00AB6DDE">
        <w:trPr>
          <w:trHeight w:val="20"/>
        </w:trPr>
        <w:tc>
          <w:tcPr>
            <w:tcW w:w="3411" w:type="pct"/>
            <w:vMerge w:val="restart"/>
            <w:shd w:val="clear" w:color="auto" w:fill="D9D9D9" w:themeFill="background1" w:themeFillShade="D9"/>
            <w:vAlign w:val="center"/>
            <w:hideMark/>
          </w:tcPr>
          <w:p w14:paraId="1FA786A6" w14:textId="08DFFE70" w:rsidR="00A55731" w:rsidRPr="005A1F62" w:rsidRDefault="00A55731" w:rsidP="00A55731">
            <w:pPr>
              <w:tabs>
                <w:tab w:val="left" w:pos="709"/>
              </w:tabs>
            </w:pPr>
            <w:r w:rsidRPr="005A1F62">
              <w:t>Показатель</w:t>
            </w:r>
            <w:r w:rsidRPr="005A1F62">
              <w:rPr>
                <w:bCs/>
                <w:color w:val="FFFFFF"/>
              </w:rPr>
              <w:t> </w:t>
            </w:r>
          </w:p>
        </w:tc>
        <w:tc>
          <w:tcPr>
            <w:tcW w:w="794" w:type="pct"/>
            <w:shd w:val="clear" w:color="auto" w:fill="D9D9D9" w:themeFill="background1" w:themeFillShade="D9"/>
            <w:noWrap/>
            <w:vAlign w:val="bottom"/>
            <w:hideMark/>
          </w:tcPr>
          <w:p w14:paraId="78E55688" w14:textId="77777777" w:rsidR="00A55731" w:rsidRPr="005A1F62" w:rsidRDefault="00A55731" w:rsidP="00DC2FED">
            <w:pPr>
              <w:tabs>
                <w:tab w:val="left" w:pos="709"/>
              </w:tabs>
              <w:jc w:val="center"/>
              <w:rPr>
                <w:bCs/>
              </w:rPr>
            </w:pPr>
            <w:r w:rsidRPr="005A1F62">
              <w:rPr>
                <w:bCs/>
              </w:rPr>
              <w:t>-1</w:t>
            </w:r>
          </w:p>
        </w:tc>
        <w:tc>
          <w:tcPr>
            <w:tcW w:w="794" w:type="pct"/>
            <w:shd w:val="clear" w:color="auto" w:fill="D9D9D9" w:themeFill="background1" w:themeFillShade="D9"/>
            <w:noWrap/>
            <w:vAlign w:val="bottom"/>
            <w:hideMark/>
          </w:tcPr>
          <w:p w14:paraId="1135A382" w14:textId="77777777" w:rsidR="00A55731" w:rsidRPr="005A1F62" w:rsidRDefault="00A55731" w:rsidP="00DC2FED">
            <w:pPr>
              <w:tabs>
                <w:tab w:val="left" w:pos="709"/>
              </w:tabs>
              <w:jc w:val="center"/>
              <w:rPr>
                <w:bCs/>
              </w:rPr>
            </w:pPr>
            <w:r w:rsidRPr="005A1F62">
              <w:rPr>
                <w:bCs/>
              </w:rPr>
              <w:t>1</w:t>
            </w:r>
          </w:p>
        </w:tc>
      </w:tr>
      <w:tr w:rsidR="00A55731" w:rsidRPr="005A1F62" w14:paraId="00A896CE" w14:textId="77777777" w:rsidTr="00AB6DDE">
        <w:trPr>
          <w:trHeight w:val="20"/>
        </w:trPr>
        <w:tc>
          <w:tcPr>
            <w:tcW w:w="3411" w:type="pct"/>
            <w:vMerge/>
            <w:shd w:val="clear" w:color="auto" w:fill="D9D9D9" w:themeFill="background1" w:themeFillShade="D9"/>
            <w:vAlign w:val="bottom"/>
            <w:hideMark/>
          </w:tcPr>
          <w:p w14:paraId="77796C8A" w14:textId="77DB2509" w:rsidR="00A55731" w:rsidRPr="005A1F62" w:rsidRDefault="00A55731" w:rsidP="00DC2FED">
            <w:pPr>
              <w:tabs>
                <w:tab w:val="left" w:pos="709"/>
              </w:tabs>
              <w:rPr>
                <w:bCs/>
                <w:color w:val="FFFFFF"/>
              </w:rPr>
            </w:pPr>
          </w:p>
        </w:tc>
        <w:tc>
          <w:tcPr>
            <w:tcW w:w="794" w:type="pct"/>
            <w:shd w:val="clear" w:color="auto" w:fill="D9D9D9" w:themeFill="background1" w:themeFillShade="D9"/>
            <w:noWrap/>
            <w:vAlign w:val="bottom"/>
            <w:hideMark/>
          </w:tcPr>
          <w:p w14:paraId="0845EE16" w14:textId="3C4549BF" w:rsidR="00A55731" w:rsidRPr="005A1F62" w:rsidRDefault="00A55731" w:rsidP="00DC2FED">
            <w:pPr>
              <w:tabs>
                <w:tab w:val="left" w:pos="709"/>
              </w:tabs>
              <w:jc w:val="center"/>
              <w:rPr>
                <w:bCs/>
              </w:rPr>
            </w:pPr>
            <w:r w:rsidRPr="005A1F62">
              <w:rPr>
                <w:bCs/>
              </w:rPr>
              <w:t>не менее</w:t>
            </w:r>
          </w:p>
        </w:tc>
        <w:tc>
          <w:tcPr>
            <w:tcW w:w="794" w:type="pct"/>
            <w:shd w:val="clear" w:color="auto" w:fill="D9D9D9" w:themeFill="background1" w:themeFillShade="D9"/>
            <w:noWrap/>
            <w:vAlign w:val="bottom"/>
            <w:hideMark/>
          </w:tcPr>
          <w:p w14:paraId="7DCB7085" w14:textId="1D773A28" w:rsidR="00A55731" w:rsidRPr="005A1F62" w:rsidRDefault="00A55731" w:rsidP="00DC2FED">
            <w:pPr>
              <w:tabs>
                <w:tab w:val="left" w:pos="709"/>
              </w:tabs>
              <w:jc w:val="center"/>
              <w:rPr>
                <w:bCs/>
              </w:rPr>
            </w:pPr>
            <w:r w:rsidRPr="005A1F62">
              <w:rPr>
                <w:bCs/>
              </w:rPr>
              <w:t>не более</w:t>
            </w:r>
          </w:p>
        </w:tc>
      </w:tr>
      <w:tr w:rsidR="003E38FC" w:rsidRPr="005A1F62" w14:paraId="63E6617C" w14:textId="77777777" w:rsidTr="00AB6DDE">
        <w:trPr>
          <w:trHeight w:val="20"/>
        </w:trPr>
        <w:tc>
          <w:tcPr>
            <w:tcW w:w="3411" w:type="pct"/>
            <w:shd w:val="clear" w:color="auto" w:fill="auto"/>
            <w:vAlign w:val="bottom"/>
            <w:hideMark/>
          </w:tcPr>
          <w:p w14:paraId="5EAE134F" w14:textId="0673D6BD" w:rsidR="003E38FC" w:rsidRPr="005A1F62" w:rsidRDefault="002D0D9A" w:rsidP="00A55731">
            <w:pPr>
              <w:tabs>
                <w:tab w:val="left" w:pos="709"/>
              </w:tabs>
              <w:jc w:val="both"/>
            </w:pPr>
            <w:r w:rsidRPr="005A1F62">
              <w:t>Отношение суммы выплат по выданным гарантиям и поручительствам к совокупному объему выданных гарантий и поручительств за последние 12 месяцев</w:t>
            </w:r>
            <w:r w:rsidR="00F96F08" w:rsidRPr="005A1F62">
              <w:t>, %</w:t>
            </w:r>
          </w:p>
        </w:tc>
        <w:tc>
          <w:tcPr>
            <w:tcW w:w="794" w:type="pct"/>
            <w:shd w:val="clear" w:color="auto" w:fill="auto"/>
            <w:noWrap/>
            <w:vAlign w:val="bottom"/>
            <w:hideMark/>
          </w:tcPr>
          <w:p w14:paraId="57279990" w14:textId="42585635" w:rsidR="003E38FC" w:rsidRPr="005A1F62" w:rsidRDefault="00303EB0" w:rsidP="00DC2FED">
            <w:pPr>
              <w:tabs>
                <w:tab w:val="left" w:pos="709"/>
              </w:tabs>
              <w:jc w:val="center"/>
            </w:pPr>
            <w:r w:rsidRPr="005A1F62">
              <w:t>2,</w:t>
            </w:r>
            <w:r w:rsidR="00367FEA" w:rsidRPr="005A1F62">
              <w:t>00</w:t>
            </w:r>
          </w:p>
        </w:tc>
        <w:tc>
          <w:tcPr>
            <w:tcW w:w="794" w:type="pct"/>
            <w:shd w:val="clear" w:color="auto" w:fill="auto"/>
            <w:noWrap/>
            <w:vAlign w:val="bottom"/>
            <w:hideMark/>
          </w:tcPr>
          <w:p w14:paraId="253B02C7" w14:textId="51F006C5" w:rsidR="003E38FC" w:rsidRPr="005A1F62" w:rsidRDefault="00303EB0" w:rsidP="00DC2FED">
            <w:pPr>
              <w:tabs>
                <w:tab w:val="left" w:pos="709"/>
              </w:tabs>
              <w:jc w:val="center"/>
            </w:pPr>
            <w:r w:rsidRPr="005A1F62">
              <w:t>0,</w:t>
            </w:r>
            <w:r w:rsidR="00A73F32" w:rsidRPr="005A1F62">
              <w:t>3</w:t>
            </w:r>
            <w:r w:rsidR="00367FEA" w:rsidRPr="005A1F62">
              <w:t>5</w:t>
            </w:r>
          </w:p>
        </w:tc>
      </w:tr>
    </w:tbl>
    <w:p w14:paraId="1836C00B" w14:textId="77777777" w:rsidR="003E38FC" w:rsidRPr="005A1F62" w:rsidRDefault="003E38FC" w:rsidP="00DC2FED">
      <w:pPr>
        <w:tabs>
          <w:tab w:val="left" w:pos="709"/>
        </w:tabs>
        <w:rPr>
          <w:bCs/>
        </w:rPr>
      </w:pPr>
    </w:p>
    <w:p w14:paraId="0772325A" w14:textId="77777777" w:rsidR="003E38FC" w:rsidRPr="005A1F62" w:rsidRDefault="003E38FC" w:rsidP="003C5D28">
      <w:pPr>
        <w:pStyle w:val="afb"/>
        <w:numPr>
          <w:ilvl w:val="0"/>
          <w:numId w:val="21"/>
        </w:numPr>
        <w:tabs>
          <w:tab w:val="left" w:pos="709"/>
        </w:tabs>
        <w:ind w:left="0" w:firstLine="567"/>
        <w:jc w:val="both"/>
        <w:rPr>
          <w:bCs/>
        </w:rPr>
      </w:pPr>
      <w:r w:rsidRPr="005A1F62">
        <w:rPr>
          <w:bCs/>
        </w:rPr>
        <w:t>ПРИБЫЛЬНОСТЬ ПО РСБУ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241"/>
        <w:gridCol w:w="1503"/>
        <w:gridCol w:w="1503"/>
      </w:tblGrid>
      <w:tr w:rsidR="00A55731" w:rsidRPr="005A1F62" w14:paraId="7A8F2AF6" w14:textId="77777777" w:rsidTr="00AB6DDE">
        <w:trPr>
          <w:trHeight w:val="20"/>
        </w:trPr>
        <w:tc>
          <w:tcPr>
            <w:tcW w:w="5000" w:type="pct"/>
            <w:gridSpan w:val="4"/>
            <w:shd w:val="clear" w:color="auto" w:fill="D9D9D9" w:themeFill="background1" w:themeFillShade="D9"/>
            <w:vAlign w:val="center"/>
            <w:hideMark/>
          </w:tcPr>
          <w:p w14:paraId="78F217FD" w14:textId="05D0F406" w:rsidR="00A55731" w:rsidRPr="005A1F62" w:rsidRDefault="00A55731" w:rsidP="00A55731">
            <w:pPr>
              <w:tabs>
                <w:tab w:val="left" w:pos="709"/>
              </w:tabs>
              <w:jc w:val="center"/>
              <w:rPr>
                <w:bCs/>
              </w:rPr>
            </w:pPr>
            <w:bookmarkStart w:id="246" w:name="_Hlk508813863"/>
            <w:r w:rsidRPr="005A1F62">
              <w:rPr>
                <w:bCs/>
              </w:rPr>
              <w:t>СИСТЕМНО ЗНАЧИМЫЙ БАНК</w:t>
            </w:r>
          </w:p>
        </w:tc>
      </w:tr>
      <w:tr w:rsidR="00A55731" w:rsidRPr="005A1F62" w14:paraId="3BB5D0D6" w14:textId="77777777" w:rsidTr="00AB6DDE">
        <w:trPr>
          <w:trHeight w:val="20"/>
        </w:trPr>
        <w:tc>
          <w:tcPr>
            <w:tcW w:w="2728" w:type="pct"/>
            <w:vMerge w:val="restart"/>
            <w:shd w:val="clear" w:color="auto" w:fill="D9D9D9" w:themeFill="background1" w:themeFillShade="D9"/>
            <w:vAlign w:val="center"/>
            <w:hideMark/>
          </w:tcPr>
          <w:p w14:paraId="6170087D" w14:textId="3D8AA805" w:rsidR="00A55731" w:rsidRPr="005A1F62" w:rsidRDefault="00A55731" w:rsidP="00A55731">
            <w:pPr>
              <w:tabs>
                <w:tab w:val="left" w:pos="709"/>
              </w:tabs>
              <w:rPr>
                <w:bCs/>
              </w:rPr>
            </w:pPr>
            <w:r w:rsidRPr="005A1F62">
              <w:t>Показатель</w:t>
            </w:r>
            <w:r w:rsidRPr="005A1F62">
              <w:rPr>
                <w:bCs/>
              </w:rPr>
              <w:t> </w:t>
            </w:r>
          </w:p>
        </w:tc>
        <w:tc>
          <w:tcPr>
            <w:tcW w:w="664" w:type="pct"/>
            <w:vMerge w:val="restart"/>
            <w:shd w:val="clear" w:color="auto" w:fill="D9D9D9" w:themeFill="background1" w:themeFillShade="D9"/>
            <w:noWrap/>
            <w:vAlign w:val="center"/>
            <w:hideMark/>
          </w:tcPr>
          <w:p w14:paraId="22029D9F" w14:textId="16F2E01C" w:rsidR="00A55731" w:rsidRPr="005A1F62" w:rsidRDefault="00A55731" w:rsidP="00A55731">
            <w:pPr>
              <w:tabs>
                <w:tab w:val="left" w:pos="709"/>
              </w:tabs>
              <w:jc w:val="center"/>
              <w:rPr>
                <w:bCs/>
              </w:rPr>
            </w:pPr>
            <w:r w:rsidRPr="005A1F62">
              <w:rPr>
                <w:bCs/>
              </w:rPr>
              <w:t>Вес, %</w:t>
            </w:r>
          </w:p>
        </w:tc>
        <w:tc>
          <w:tcPr>
            <w:tcW w:w="804" w:type="pct"/>
            <w:shd w:val="clear" w:color="auto" w:fill="D9D9D9" w:themeFill="background1" w:themeFillShade="D9"/>
            <w:noWrap/>
            <w:vAlign w:val="center"/>
            <w:hideMark/>
          </w:tcPr>
          <w:p w14:paraId="3E9B0572" w14:textId="77777777" w:rsidR="00A55731" w:rsidRPr="005A1F62" w:rsidRDefault="00A55731" w:rsidP="00A55731">
            <w:pPr>
              <w:tabs>
                <w:tab w:val="left" w:pos="709"/>
              </w:tabs>
              <w:jc w:val="center"/>
              <w:rPr>
                <w:bCs/>
              </w:rPr>
            </w:pPr>
            <w:r w:rsidRPr="005A1F62">
              <w:rPr>
                <w:bCs/>
              </w:rPr>
              <w:t>-1</w:t>
            </w:r>
          </w:p>
        </w:tc>
        <w:tc>
          <w:tcPr>
            <w:tcW w:w="804" w:type="pct"/>
            <w:shd w:val="clear" w:color="auto" w:fill="D9D9D9" w:themeFill="background1" w:themeFillShade="D9"/>
            <w:noWrap/>
            <w:vAlign w:val="center"/>
            <w:hideMark/>
          </w:tcPr>
          <w:p w14:paraId="5C2CBF5A" w14:textId="77777777" w:rsidR="00A55731" w:rsidRPr="005A1F62" w:rsidRDefault="00A55731" w:rsidP="00A55731">
            <w:pPr>
              <w:tabs>
                <w:tab w:val="left" w:pos="709"/>
              </w:tabs>
              <w:jc w:val="center"/>
              <w:rPr>
                <w:bCs/>
              </w:rPr>
            </w:pPr>
            <w:r w:rsidRPr="005A1F62">
              <w:rPr>
                <w:bCs/>
              </w:rPr>
              <w:t>1</w:t>
            </w:r>
          </w:p>
        </w:tc>
      </w:tr>
      <w:tr w:rsidR="00A55731" w:rsidRPr="005A1F62" w14:paraId="3CF11002" w14:textId="77777777" w:rsidTr="00AB6DDE">
        <w:trPr>
          <w:trHeight w:val="20"/>
        </w:trPr>
        <w:tc>
          <w:tcPr>
            <w:tcW w:w="2728" w:type="pct"/>
            <w:vMerge/>
            <w:shd w:val="clear" w:color="auto" w:fill="D9D9D9" w:themeFill="background1" w:themeFillShade="D9"/>
            <w:vAlign w:val="bottom"/>
            <w:hideMark/>
          </w:tcPr>
          <w:p w14:paraId="49198639" w14:textId="0C550BCD" w:rsidR="00A55731" w:rsidRPr="005A1F62" w:rsidRDefault="00A55731" w:rsidP="00A55731">
            <w:pPr>
              <w:tabs>
                <w:tab w:val="left" w:pos="709"/>
              </w:tabs>
              <w:rPr>
                <w:bCs/>
              </w:rPr>
            </w:pPr>
          </w:p>
        </w:tc>
        <w:tc>
          <w:tcPr>
            <w:tcW w:w="664" w:type="pct"/>
            <w:vMerge/>
            <w:shd w:val="clear" w:color="auto" w:fill="D9D9D9" w:themeFill="background1" w:themeFillShade="D9"/>
            <w:noWrap/>
            <w:vAlign w:val="center"/>
          </w:tcPr>
          <w:p w14:paraId="733F026F" w14:textId="187ADB01" w:rsidR="00A55731" w:rsidRPr="005A1F62" w:rsidRDefault="00A55731" w:rsidP="00A55731">
            <w:pPr>
              <w:tabs>
                <w:tab w:val="left" w:pos="709"/>
              </w:tabs>
              <w:jc w:val="center"/>
              <w:rPr>
                <w:bCs/>
              </w:rPr>
            </w:pPr>
          </w:p>
        </w:tc>
        <w:tc>
          <w:tcPr>
            <w:tcW w:w="804" w:type="pct"/>
            <w:shd w:val="clear" w:color="auto" w:fill="D9D9D9" w:themeFill="background1" w:themeFillShade="D9"/>
            <w:noWrap/>
            <w:vAlign w:val="center"/>
            <w:hideMark/>
          </w:tcPr>
          <w:p w14:paraId="71357C9C" w14:textId="45BD6E03" w:rsidR="00A55731" w:rsidRPr="005A1F62" w:rsidRDefault="00A55731" w:rsidP="00A55731">
            <w:pPr>
              <w:tabs>
                <w:tab w:val="left" w:pos="709"/>
              </w:tabs>
              <w:jc w:val="center"/>
              <w:rPr>
                <w:bCs/>
              </w:rPr>
            </w:pPr>
            <w:r w:rsidRPr="005A1F62">
              <w:rPr>
                <w:bCs/>
              </w:rPr>
              <w:t>не более</w:t>
            </w:r>
          </w:p>
        </w:tc>
        <w:tc>
          <w:tcPr>
            <w:tcW w:w="804" w:type="pct"/>
            <w:shd w:val="clear" w:color="auto" w:fill="D9D9D9" w:themeFill="background1" w:themeFillShade="D9"/>
            <w:noWrap/>
            <w:vAlign w:val="center"/>
            <w:hideMark/>
          </w:tcPr>
          <w:p w14:paraId="2BFA508E" w14:textId="575C151D" w:rsidR="00A55731" w:rsidRPr="005A1F62" w:rsidRDefault="00A55731" w:rsidP="00A55731">
            <w:pPr>
              <w:tabs>
                <w:tab w:val="left" w:pos="709"/>
              </w:tabs>
              <w:jc w:val="center"/>
              <w:rPr>
                <w:bCs/>
              </w:rPr>
            </w:pPr>
            <w:r w:rsidRPr="005A1F62">
              <w:rPr>
                <w:bCs/>
              </w:rPr>
              <w:t xml:space="preserve">не </w:t>
            </w:r>
            <w:r w:rsidR="007F5797" w:rsidRPr="005A1F62">
              <w:rPr>
                <w:bCs/>
              </w:rPr>
              <w:t>менее</w:t>
            </w:r>
          </w:p>
        </w:tc>
      </w:tr>
      <w:tr w:rsidR="00A55731" w:rsidRPr="005A1F62" w14:paraId="2E2A9AA5" w14:textId="77777777" w:rsidTr="00AB6DDE">
        <w:trPr>
          <w:trHeight w:val="20"/>
        </w:trPr>
        <w:tc>
          <w:tcPr>
            <w:tcW w:w="2728" w:type="pct"/>
            <w:shd w:val="clear" w:color="auto" w:fill="auto"/>
            <w:vAlign w:val="bottom"/>
            <w:hideMark/>
          </w:tcPr>
          <w:p w14:paraId="06FFEDF4" w14:textId="2CD23E47" w:rsidR="00A55731" w:rsidRPr="005A1F62" w:rsidRDefault="00A55731" w:rsidP="00A55731">
            <w:pPr>
              <w:tabs>
                <w:tab w:val="left" w:pos="709"/>
              </w:tabs>
              <w:jc w:val="both"/>
            </w:pPr>
            <w:r w:rsidRPr="005A1F62">
              <w:t>Рентабельность балансового капитала без учета волатильных компонентов, %</w:t>
            </w:r>
          </w:p>
        </w:tc>
        <w:tc>
          <w:tcPr>
            <w:tcW w:w="664" w:type="pct"/>
            <w:shd w:val="clear" w:color="auto" w:fill="auto"/>
            <w:noWrap/>
            <w:vAlign w:val="center"/>
            <w:hideMark/>
          </w:tcPr>
          <w:p w14:paraId="23585939" w14:textId="77777777" w:rsidR="00A55731" w:rsidRPr="005A1F62" w:rsidRDefault="00A55731" w:rsidP="00A55731">
            <w:pPr>
              <w:tabs>
                <w:tab w:val="left" w:pos="709"/>
              </w:tabs>
              <w:jc w:val="center"/>
            </w:pPr>
            <w:r w:rsidRPr="005A1F62">
              <w:t>10</w:t>
            </w:r>
          </w:p>
        </w:tc>
        <w:tc>
          <w:tcPr>
            <w:tcW w:w="804" w:type="pct"/>
            <w:shd w:val="clear" w:color="auto" w:fill="auto"/>
            <w:noWrap/>
            <w:vAlign w:val="center"/>
          </w:tcPr>
          <w:p w14:paraId="0BE032A5" w14:textId="7EB9298E" w:rsidR="00A55731" w:rsidRPr="005A1F62" w:rsidRDefault="00A55731" w:rsidP="00A55731">
            <w:pPr>
              <w:tabs>
                <w:tab w:val="left" w:pos="709"/>
              </w:tabs>
              <w:jc w:val="center"/>
            </w:pPr>
            <w:r w:rsidRPr="005A1F62">
              <w:t>4,5</w:t>
            </w:r>
          </w:p>
        </w:tc>
        <w:tc>
          <w:tcPr>
            <w:tcW w:w="804" w:type="pct"/>
            <w:shd w:val="clear" w:color="auto" w:fill="auto"/>
            <w:noWrap/>
            <w:vAlign w:val="center"/>
          </w:tcPr>
          <w:p w14:paraId="3303A701" w14:textId="10DFE6B6" w:rsidR="00A55731" w:rsidRPr="005A1F62" w:rsidRDefault="00A55731" w:rsidP="00A55731">
            <w:pPr>
              <w:tabs>
                <w:tab w:val="left" w:pos="709"/>
              </w:tabs>
              <w:jc w:val="center"/>
            </w:pPr>
            <w:r w:rsidRPr="005A1F62">
              <w:t>12,0</w:t>
            </w:r>
          </w:p>
        </w:tc>
      </w:tr>
      <w:tr w:rsidR="00A55731" w:rsidRPr="005A1F62" w14:paraId="6FBCFCAA" w14:textId="77777777" w:rsidTr="00AB6DDE">
        <w:trPr>
          <w:trHeight w:val="20"/>
        </w:trPr>
        <w:tc>
          <w:tcPr>
            <w:tcW w:w="2728" w:type="pct"/>
            <w:shd w:val="clear" w:color="auto" w:fill="auto"/>
            <w:vAlign w:val="bottom"/>
            <w:hideMark/>
          </w:tcPr>
          <w:p w14:paraId="337B7825" w14:textId="28840FA7" w:rsidR="00A55731" w:rsidRPr="005A1F62" w:rsidRDefault="00A55731" w:rsidP="00A55731">
            <w:pPr>
              <w:tabs>
                <w:tab w:val="left" w:pos="709"/>
              </w:tabs>
              <w:jc w:val="both"/>
            </w:pPr>
            <w:r w:rsidRPr="005A1F62">
              <w:t>Рентабельность балансового капитала, %</w:t>
            </w:r>
          </w:p>
        </w:tc>
        <w:tc>
          <w:tcPr>
            <w:tcW w:w="664" w:type="pct"/>
            <w:shd w:val="clear" w:color="auto" w:fill="auto"/>
            <w:vAlign w:val="center"/>
            <w:hideMark/>
          </w:tcPr>
          <w:p w14:paraId="22BCF2DE" w14:textId="77777777" w:rsidR="00A55731" w:rsidRPr="005A1F62" w:rsidRDefault="00A55731" w:rsidP="00A55731">
            <w:pPr>
              <w:tabs>
                <w:tab w:val="left" w:pos="709"/>
              </w:tabs>
              <w:jc w:val="center"/>
            </w:pPr>
            <w:r w:rsidRPr="005A1F62">
              <w:t>90</w:t>
            </w:r>
          </w:p>
        </w:tc>
        <w:tc>
          <w:tcPr>
            <w:tcW w:w="804" w:type="pct"/>
            <w:shd w:val="clear" w:color="auto" w:fill="auto"/>
            <w:noWrap/>
            <w:vAlign w:val="center"/>
          </w:tcPr>
          <w:p w14:paraId="01A6E1D3" w14:textId="4B06720E" w:rsidR="00A55731" w:rsidRPr="005A1F62" w:rsidRDefault="00A55731" w:rsidP="00A55731">
            <w:pPr>
              <w:tabs>
                <w:tab w:val="left" w:pos="709"/>
              </w:tabs>
              <w:jc w:val="center"/>
            </w:pPr>
            <w:r w:rsidRPr="005A1F62">
              <w:t>2,0</w:t>
            </w:r>
          </w:p>
        </w:tc>
        <w:tc>
          <w:tcPr>
            <w:tcW w:w="804" w:type="pct"/>
            <w:shd w:val="clear" w:color="auto" w:fill="auto"/>
            <w:noWrap/>
            <w:vAlign w:val="center"/>
          </w:tcPr>
          <w:p w14:paraId="7A321E2F" w14:textId="3C5E2FF8" w:rsidR="00A55731" w:rsidRPr="005A1F62" w:rsidRDefault="00A55731" w:rsidP="00A55731">
            <w:pPr>
              <w:tabs>
                <w:tab w:val="left" w:pos="709"/>
              </w:tabs>
              <w:jc w:val="center"/>
            </w:pPr>
            <w:r w:rsidRPr="005A1F62">
              <w:t>9,0</w:t>
            </w:r>
          </w:p>
        </w:tc>
      </w:tr>
      <w:bookmarkEnd w:id="246"/>
    </w:tbl>
    <w:p w14:paraId="4035FA6C" w14:textId="77777777" w:rsidR="003E38FC" w:rsidRPr="005A1F62" w:rsidRDefault="003E38FC" w:rsidP="00DC2FED">
      <w:pPr>
        <w:pStyle w:val="afb"/>
        <w:tabs>
          <w:tab w:val="left" w:pos="709"/>
        </w:tabs>
        <w:ind w:left="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277"/>
        <w:gridCol w:w="1420"/>
        <w:gridCol w:w="1549"/>
      </w:tblGrid>
      <w:tr w:rsidR="00A55731" w:rsidRPr="005A1F62" w14:paraId="34AA2864" w14:textId="77777777" w:rsidTr="00AB6DDE">
        <w:trPr>
          <w:trHeight w:val="20"/>
        </w:trPr>
        <w:tc>
          <w:tcPr>
            <w:tcW w:w="5000" w:type="pct"/>
            <w:gridSpan w:val="4"/>
            <w:shd w:val="clear" w:color="auto" w:fill="D9D9D9" w:themeFill="background1" w:themeFillShade="D9"/>
            <w:vAlign w:val="bottom"/>
            <w:hideMark/>
          </w:tcPr>
          <w:p w14:paraId="7810B985" w14:textId="1B746ABC" w:rsidR="00A55731" w:rsidRPr="005A1F62" w:rsidRDefault="00A55731" w:rsidP="00DC2FED">
            <w:pPr>
              <w:tabs>
                <w:tab w:val="left" w:pos="709"/>
              </w:tabs>
              <w:jc w:val="center"/>
              <w:rPr>
                <w:bCs/>
              </w:rPr>
            </w:pPr>
            <w:bookmarkStart w:id="247" w:name="_Hlk508813881"/>
            <w:r w:rsidRPr="005A1F62">
              <w:rPr>
                <w:bCs/>
              </w:rPr>
              <w:t>БАНК, НЕ ЯВЛЯЮЩИЙСЯ СИСТЕМНО ЗНАЧИМЫМ</w:t>
            </w:r>
          </w:p>
        </w:tc>
      </w:tr>
      <w:tr w:rsidR="00A55731" w:rsidRPr="005A1F62" w14:paraId="589A98ED" w14:textId="77777777" w:rsidTr="00AB6DDE">
        <w:trPr>
          <w:trHeight w:val="20"/>
        </w:trPr>
        <w:tc>
          <w:tcPr>
            <w:tcW w:w="2728" w:type="pct"/>
            <w:vMerge w:val="restart"/>
            <w:shd w:val="clear" w:color="auto" w:fill="D9D9D9" w:themeFill="background1" w:themeFillShade="D9"/>
            <w:vAlign w:val="center"/>
            <w:hideMark/>
          </w:tcPr>
          <w:p w14:paraId="7EDC4E94" w14:textId="3A776558" w:rsidR="00A55731" w:rsidRPr="005A1F62" w:rsidRDefault="00A55731" w:rsidP="00A55731">
            <w:pPr>
              <w:tabs>
                <w:tab w:val="left" w:pos="709"/>
              </w:tabs>
              <w:rPr>
                <w:bCs/>
              </w:rPr>
            </w:pPr>
            <w:r w:rsidRPr="005A1F62">
              <w:t>Показатель</w:t>
            </w:r>
            <w:r w:rsidRPr="005A1F62">
              <w:rPr>
                <w:bCs/>
              </w:rPr>
              <w:t> </w:t>
            </w:r>
          </w:p>
        </w:tc>
        <w:tc>
          <w:tcPr>
            <w:tcW w:w="683" w:type="pct"/>
            <w:vMerge w:val="restart"/>
            <w:shd w:val="clear" w:color="auto" w:fill="D9D9D9" w:themeFill="background1" w:themeFillShade="D9"/>
            <w:noWrap/>
            <w:vAlign w:val="center"/>
            <w:hideMark/>
          </w:tcPr>
          <w:p w14:paraId="64BF8431" w14:textId="1AFFC9E6" w:rsidR="00A55731" w:rsidRPr="005A1F62" w:rsidRDefault="00A55731" w:rsidP="00A55731">
            <w:pPr>
              <w:tabs>
                <w:tab w:val="left" w:pos="709"/>
              </w:tabs>
              <w:jc w:val="center"/>
              <w:rPr>
                <w:bCs/>
              </w:rPr>
            </w:pPr>
            <w:r w:rsidRPr="005A1F62">
              <w:rPr>
                <w:bCs/>
              </w:rPr>
              <w:t>Вес, %</w:t>
            </w:r>
          </w:p>
        </w:tc>
        <w:tc>
          <w:tcPr>
            <w:tcW w:w="760" w:type="pct"/>
            <w:shd w:val="clear" w:color="auto" w:fill="D9D9D9" w:themeFill="background1" w:themeFillShade="D9"/>
            <w:noWrap/>
            <w:vAlign w:val="center"/>
            <w:hideMark/>
          </w:tcPr>
          <w:p w14:paraId="38DE53D6" w14:textId="77777777" w:rsidR="00A55731" w:rsidRPr="005A1F62" w:rsidRDefault="00A55731" w:rsidP="00A55731">
            <w:pPr>
              <w:tabs>
                <w:tab w:val="left" w:pos="709"/>
              </w:tabs>
              <w:jc w:val="center"/>
              <w:rPr>
                <w:bCs/>
              </w:rPr>
            </w:pPr>
            <w:r w:rsidRPr="005A1F62">
              <w:rPr>
                <w:bCs/>
              </w:rPr>
              <w:t>-1</w:t>
            </w:r>
          </w:p>
        </w:tc>
        <w:tc>
          <w:tcPr>
            <w:tcW w:w="829" w:type="pct"/>
            <w:shd w:val="clear" w:color="auto" w:fill="D9D9D9" w:themeFill="background1" w:themeFillShade="D9"/>
            <w:noWrap/>
            <w:vAlign w:val="center"/>
            <w:hideMark/>
          </w:tcPr>
          <w:p w14:paraId="4442FAC1" w14:textId="77777777" w:rsidR="00A55731" w:rsidRPr="005A1F62" w:rsidRDefault="00A55731" w:rsidP="00A55731">
            <w:pPr>
              <w:tabs>
                <w:tab w:val="left" w:pos="709"/>
              </w:tabs>
              <w:jc w:val="center"/>
              <w:rPr>
                <w:bCs/>
              </w:rPr>
            </w:pPr>
            <w:r w:rsidRPr="005A1F62">
              <w:rPr>
                <w:bCs/>
              </w:rPr>
              <w:t>1</w:t>
            </w:r>
          </w:p>
        </w:tc>
      </w:tr>
      <w:tr w:rsidR="00A55731" w:rsidRPr="005A1F62" w14:paraId="314EB86C" w14:textId="77777777" w:rsidTr="00AB6DDE">
        <w:trPr>
          <w:trHeight w:val="20"/>
        </w:trPr>
        <w:tc>
          <w:tcPr>
            <w:tcW w:w="2728" w:type="pct"/>
            <w:vMerge/>
            <w:shd w:val="clear" w:color="auto" w:fill="D9D9D9" w:themeFill="background1" w:themeFillShade="D9"/>
            <w:vAlign w:val="bottom"/>
            <w:hideMark/>
          </w:tcPr>
          <w:p w14:paraId="3DE99BA2" w14:textId="16B8A167" w:rsidR="00A55731" w:rsidRPr="005A1F62" w:rsidRDefault="00A55731" w:rsidP="00A55731">
            <w:pPr>
              <w:tabs>
                <w:tab w:val="left" w:pos="709"/>
              </w:tabs>
              <w:rPr>
                <w:bCs/>
              </w:rPr>
            </w:pPr>
          </w:p>
        </w:tc>
        <w:tc>
          <w:tcPr>
            <w:tcW w:w="683" w:type="pct"/>
            <w:vMerge/>
            <w:shd w:val="clear" w:color="auto" w:fill="D9D9D9" w:themeFill="background1" w:themeFillShade="D9"/>
            <w:noWrap/>
            <w:vAlign w:val="center"/>
            <w:hideMark/>
          </w:tcPr>
          <w:p w14:paraId="46046008" w14:textId="58BED2A4" w:rsidR="00A55731" w:rsidRPr="005A1F62" w:rsidRDefault="00A55731" w:rsidP="00A55731">
            <w:pPr>
              <w:tabs>
                <w:tab w:val="left" w:pos="709"/>
              </w:tabs>
              <w:jc w:val="center"/>
              <w:rPr>
                <w:bCs/>
              </w:rPr>
            </w:pPr>
          </w:p>
        </w:tc>
        <w:tc>
          <w:tcPr>
            <w:tcW w:w="760" w:type="pct"/>
            <w:shd w:val="clear" w:color="auto" w:fill="D9D9D9" w:themeFill="background1" w:themeFillShade="D9"/>
            <w:noWrap/>
            <w:vAlign w:val="center"/>
            <w:hideMark/>
          </w:tcPr>
          <w:p w14:paraId="551B37AE" w14:textId="658D364C" w:rsidR="00A55731" w:rsidRPr="005A1F62" w:rsidRDefault="00A55731" w:rsidP="00A55731">
            <w:pPr>
              <w:tabs>
                <w:tab w:val="left" w:pos="709"/>
              </w:tabs>
              <w:jc w:val="center"/>
              <w:rPr>
                <w:bCs/>
              </w:rPr>
            </w:pPr>
            <w:r w:rsidRPr="005A1F62">
              <w:rPr>
                <w:bCs/>
              </w:rPr>
              <w:t>не более</w:t>
            </w:r>
          </w:p>
        </w:tc>
        <w:tc>
          <w:tcPr>
            <w:tcW w:w="829" w:type="pct"/>
            <w:shd w:val="clear" w:color="auto" w:fill="D9D9D9" w:themeFill="background1" w:themeFillShade="D9"/>
            <w:noWrap/>
            <w:vAlign w:val="center"/>
            <w:hideMark/>
          </w:tcPr>
          <w:p w14:paraId="1033E116" w14:textId="5907F203" w:rsidR="00A55731" w:rsidRPr="005A1F62" w:rsidRDefault="00A55731" w:rsidP="00A55731">
            <w:pPr>
              <w:tabs>
                <w:tab w:val="left" w:pos="709"/>
              </w:tabs>
              <w:jc w:val="center"/>
              <w:rPr>
                <w:bCs/>
              </w:rPr>
            </w:pPr>
            <w:r w:rsidRPr="005A1F62">
              <w:rPr>
                <w:bCs/>
              </w:rPr>
              <w:t>не менее</w:t>
            </w:r>
          </w:p>
        </w:tc>
      </w:tr>
      <w:tr w:rsidR="00A55731" w:rsidRPr="005A1F62" w14:paraId="50403167" w14:textId="77777777" w:rsidTr="00AB6DDE">
        <w:trPr>
          <w:trHeight w:val="20"/>
        </w:trPr>
        <w:tc>
          <w:tcPr>
            <w:tcW w:w="2728" w:type="pct"/>
            <w:shd w:val="clear" w:color="auto" w:fill="auto"/>
            <w:vAlign w:val="bottom"/>
            <w:hideMark/>
          </w:tcPr>
          <w:p w14:paraId="3405E040" w14:textId="306DCEDB" w:rsidR="00A55731" w:rsidRPr="005A1F62" w:rsidRDefault="00A55731" w:rsidP="00A55731">
            <w:pPr>
              <w:tabs>
                <w:tab w:val="left" w:pos="709"/>
              </w:tabs>
              <w:jc w:val="both"/>
            </w:pPr>
            <w:r w:rsidRPr="005A1F62">
              <w:t>Рентабельность балансового капитала без учета волатильных компонентов, %</w:t>
            </w:r>
          </w:p>
        </w:tc>
        <w:tc>
          <w:tcPr>
            <w:tcW w:w="683" w:type="pct"/>
            <w:shd w:val="clear" w:color="auto" w:fill="auto"/>
            <w:noWrap/>
            <w:vAlign w:val="center"/>
            <w:hideMark/>
          </w:tcPr>
          <w:p w14:paraId="6078C8FF" w14:textId="77777777" w:rsidR="00A55731" w:rsidRPr="005A1F62" w:rsidRDefault="00A55731" w:rsidP="00A55731">
            <w:pPr>
              <w:tabs>
                <w:tab w:val="left" w:pos="709"/>
              </w:tabs>
              <w:jc w:val="center"/>
            </w:pPr>
            <w:r w:rsidRPr="005A1F62">
              <w:t>10</w:t>
            </w:r>
          </w:p>
        </w:tc>
        <w:tc>
          <w:tcPr>
            <w:tcW w:w="760" w:type="pct"/>
            <w:shd w:val="clear" w:color="auto" w:fill="auto"/>
            <w:noWrap/>
            <w:vAlign w:val="center"/>
          </w:tcPr>
          <w:p w14:paraId="21A67327" w14:textId="42BF705C" w:rsidR="00A55731" w:rsidRPr="005A1F62" w:rsidRDefault="00A55731" w:rsidP="00A55731">
            <w:pPr>
              <w:tabs>
                <w:tab w:val="left" w:pos="709"/>
              </w:tabs>
              <w:jc w:val="center"/>
            </w:pPr>
            <w:r w:rsidRPr="005A1F62">
              <w:t>3,0</w:t>
            </w:r>
          </w:p>
        </w:tc>
        <w:tc>
          <w:tcPr>
            <w:tcW w:w="829" w:type="pct"/>
            <w:shd w:val="clear" w:color="auto" w:fill="auto"/>
            <w:noWrap/>
            <w:vAlign w:val="center"/>
          </w:tcPr>
          <w:p w14:paraId="099C67A1" w14:textId="62C81F92" w:rsidR="00A55731" w:rsidRPr="005A1F62" w:rsidRDefault="00A55731" w:rsidP="00A55731">
            <w:pPr>
              <w:tabs>
                <w:tab w:val="left" w:pos="709"/>
              </w:tabs>
              <w:jc w:val="center"/>
            </w:pPr>
            <w:r w:rsidRPr="005A1F62">
              <w:t>10,0</w:t>
            </w:r>
          </w:p>
        </w:tc>
      </w:tr>
      <w:tr w:rsidR="00A55731" w:rsidRPr="005A1F62" w14:paraId="3B0E4D96" w14:textId="77777777" w:rsidTr="00AB6DDE">
        <w:trPr>
          <w:trHeight w:val="20"/>
        </w:trPr>
        <w:tc>
          <w:tcPr>
            <w:tcW w:w="2728" w:type="pct"/>
            <w:shd w:val="clear" w:color="auto" w:fill="auto"/>
            <w:vAlign w:val="bottom"/>
            <w:hideMark/>
          </w:tcPr>
          <w:p w14:paraId="49B412CF" w14:textId="1BD0A476" w:rsidR="00A55731" w:rsidRPr="005A1F62" w:rsidRDefault="00A55731" w:rsidP="00A55731">
            <w:pPr>
              <w:tabs>
                <w:tab w:val="left" w:pos="709"/>
              </w:tabs>
              <w:jc w:val="both"/>
            </w:pPr>
            <w:r w:rsidRPr="005A1F62">
              <w:t>Рентабельность балансового капитала, %</w:t>
            </w:r>
          </w:p>
        </w:tc>
        <w:tc>
          <w:tcPr>
            <w:tcW w:w="683" w:type="pct"/>
            <w:shd w:val="clear" w:color="auto" w:fill="auto"/>
            <w:vAlign w:val="center"/>
            <w:hideMark/>
          </w:tcPr>
          <w:p w14:paraId="1C42799A" w14:textId="77777777" w:rsidR="00A55731" w:rsidRPr="005A1F62" w:rsidRDefault="00A55731" w:rsidP="00A55731">
            <w:pPr>
              <w:tabs>
                <w:tab w:val="left" w:pos="709"/>
              </w:tabs>
              <w:jc w:val="center"/>
            </w:pPr>
            <w:r w:rsidRPr="005A1F62">
              <w:t>90</w:t>
            </w:r>
          </w:p>
        </w:tc>
        <w:tc>
          <w:tcPr>
            <w:tcW w:w="760" w:type="pct"/>
            <w:shd w:val="clear" w:color="auto" w:fill="auto"/>
            <w:noWrap/>
            <w:vAlign w:val="center"/>
          </w:tcPr>
          <w:p w14:paraId="29A8559C" w14:textId="01A8E0A5" w:rsidR="00A55731" w:rsidRPr="005A1F62" w:rsidRDefault="00A55731" w:rsidP="00A55731">
            <w:pPr>
              <w:tabs>
                <w:tab w:val="left" w:pos="709"/>
              </w:tabs>
              <w:jc w:val="center"/>
            </w:pPr>
            <w:r w:rsidRPr="005A1F62">
              <w:t>1,0</w:t>
            </w:r>
          </w:p>
        </w:tc>
        <w:tc>
          <w:tcPr>
            <w:tcW w:w="829" w:type="pct"/>
            <w:shd w:val="clear" w:color="auto" w:fill="auto"/>
            <w:noWrap/>
            <w:vAlign w:val="center"/>
          </w:tcPr>
          <w:p w14:paraId="39E90269" w14:textId="515AFC5E" w:rsidR="00A55731" w:rsidRPr="005A1F62" w:rsidRDefault="00A55731" w:rsidP="00A55731">
            <w:pPr>
              <w:tabs>
                <w:tab w:val="left" w:pos="709"/>
              </w:tabs>
              <w:jc w:val="center"/>
            </w:pPr>
            <w:r w:rsidRPr="005A1F62">
              <w:t>7,0</w:t>
            </w:r>
          </w:p>
        </w:tc>
      </w:tr>
      <w:bookmarkEnd w:id="247"/>
    </w:tbl>
    <w:p w14:paraId="2EC34C5C" w14:textId="5B73B92D" w:rsidR="003E38FC" w:rsidRPr="005A1F62" w:rsidRDefault="003E38FC" w:rsidP="00DC2FED">
      <w:pPr>
        <w:tabs>
          <w:tab w:val="left" w:pos="709"/>
        </w:tabs>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277"/>
        <w:gridCol w:w="1420"/>
        <w:gridCol w:w="1549"/>
      </w:tblGrid>
      <w:tr w:rsidR="001202D5" w:rsidRPr="005A1F62" w14:paraId="283B4869" w14:textId="77777777" w:rsidTr="00612403">
        <w:trPr>
          <w:trHeight w:val="20"/>
        </w:trPr>
        <w:tc>
          <w:tcPr>
            <w:tcW w:w="5000" w:type="pct"/>
            <w:gridSpan w:val="4"/>
            <w:shd w:val="clear" w:color="auto" w:fill="D9D9D9" w:themeFill="background1" w:themeFillShade="D9"/>
            <w:vAlign w:val="bottom"/>
            <w:hideMark/>
          </w:tcPr>
          <w:p w14:paraId="1F58AEEC" w14:textId="36756472" w:rsidR="001202D5" w:rsidRPr="005A1F62" w:rsidRDefault="001202D5" w:rsidP="00612403">
            <w:pPr>
              <w:tabs>
                <w:tab w:val="left" w:pos="709"/>
              </w:tabs>
              <w:jc w:val="center"/>
              <w:rPr>
                <w:bCs/>
              </w:rPr>
            </w:pPr>
            <w:r w:rsidRPr="005A1F62">
              <w:rPr>
                <w:bCs/>
              </w:rPr>
              <w:t>БАНК НА САНАЦИИ, НЕ СОБЛЮДАЮЩИЙ НОРМАТИВ</w:t>
            </w:r>
            <w:r w:rsidR="00534F0B" w:rsidRPr="005A1F62">
              <w:rPr>
                <w:bCs/>
              </w:rPr>
              <w:t xml:space="preserve"> Н1.0</w:t>
            </w:r>
          </w:p>
        </w:tc>
      </w:tr>
      <w:tr w:rsidR="001202D5" w:rsidRPr="005A1F62" w14:paraId="41106BDB" w14:textId="77777777" w:rsidTr="00612403">
        <w:trPr>
          <w:trHeight w:val="20"/>
        </w:trPr>
        <w:tc>
          <w:tcPr>
            <w:tcW w:w="2728" w:type="pct"/>
            <w:vMerge w:val="restart"/>
            <w:shd w:val="clear" w:color="auto" w:fill="D9D9D9" w:themeFill="background1" w:themeFillShade="D9"/>
            <w:vAlign w:val="center"/>
            <w:hideMark/>
          </w:tcPr>
          <w:p w14:paraId="0555BDBA" w14:textId="77777777" w:rsidR="001202D5" w:rsidRPr="005A1F62" w:rsidRDefault="001202D5" w:rsidP="00612403">
            <w:pPr>
              <w:tabs>
                <w:tab w:val="left" w:pos="709"/>
              </w:tabs>
              <w:rPr>
                <w:bCs/>
              </w:rPr>
            </w:pPr>
            <w:r w:rsidRPr="005A1F62">
              <w:t>Показатель</w:t>
            </w:r>
            <w:r w:rsidRPr="005A1F62">
              <w:rPr>
                <w:bCs/>
              </w:rPr>
              <w:t> </w:t>
            </w:r>
          </w:p>
        </w:tc>
        <w:tc>
          <w:tcPr>
            <w:tcW w:w="683" w:type="pct"/>
            <w:vMerge w:val="restart"/>
            <w:shd w:val="clear" w:color="auto" w:fill="D9D9D9" w:themeFill="background1" w:themeFillShade="D9"/>
            <w:noWrap/>
            <w:vAlign w:val="center"/>
            <w:hideMark/>
          </w:tcPr>
          <w:p w14:paraId="455C2EAC" w14:textId="77777777" w:rsidR="001202D5" w:rsidRPr="005A1F62" w:rsidRDefault="001202D5" w:rsidP="00612403">
            <w:pPr>
              <w:tabs>
                <w:tab w:val="left" w:pos="709"/>
              </w:tabs>
              <w:jc w:val="center"/>
              <w:rPr>
                <w:bCs/>
              </w:rPr>
            </w:pPr>
            <w:r w:rsidRPr="005A1F62">
              <w:rPr>
                <w:bCs/>
              </w:rPr>
              <w:t>Вес, %</w:t>
            </w:r>
          </w:p>
        </w:tc>
        <w:tc>
          <w:tcPr>
            <w:tcW w:w="760" w:type="pct"/>
            <w:shd w:val="clear" w:color="auto" w:fill="D9D9D9" w:themeFill="background1" w:themeFillShade="D9"/>
            <w:noWrap/>
            <w:vAlign w:val="center"/>
            <w:hideMark/>
          </w:tcPr>
          <w:p w14:paraId="7C77511D" w14:textId="77777777" w:rsidR="001202D5" w:rsidRPr="005A1F62" w:rsidRDefault="001202D5" w:rsidP="00612403">
            <w:pPr>
              <w:tabs>
                <w:tab w:val="left" w:pos="709"/>
              </w:tabs>
              <w:jc w:val="center"/>
              <w:rPr>
                <w:bCs/>
              </w:rPr>
            </w:pPr>
            <w:r w:rsidRPr="005A1F62">
              <w:rPr>
                <w:bCs/>
              </w:rPr>
              <w:t>-1</w:t>
            </w:r>
          </w:p>
        </w:tc>
        <w:tc>
          <w:tcPr>
            <w:tcW w:w="829" w:type="pct"/>
            <w:shd w:val="clear" w:color="auto" w:fill="D9D9D9" w:themeFill="background1" w:themeFillShade="D9"/>
            <w:noWrap/>
            <w:vAlign w:val="center"/>
            <w:hideMark/>
          </w:tcPr>
          <w:p w14:paraId="086FB8C7" w14:textId="77777777" w:rsidR="001202D5" w:rsidRPr="005A1F62" w:rsidRDefault="001202D5" w:rsidP="00612403">
            <w:pPr>
              <w:tabs>
                <w:tab w:val="left" w:pos="709"/>
              </w:tabs>
              <w:jc w:val="center"/>
              <w:rPr>
                <w:bCs/>
              </w:rPr>
            </w:pPr>
            <w:r w:rsidRPr="005A1F62">
              <w:rPr>
                <w:bCs/>
              </w:rPr>
              <w:t>1</w:t>
            </w:r>
          </w:p>
        </w:tc>
      </w:tr>
      <w:tr w:rsidR="001202D5" w:rsidRPr="005A1F62" w14:paraId="0A5E92CC" w14:textId="77777777" w:rsidTr="00612403">
        <w:trPr>
          <w:trHeight w:val="20"/>
        </w:trPr>
        <w:tc>
          <w:tcPr>
            <w:tcW w:w="2728" w:type="pct"/>
            <w:vMerge/>
            <w:shd w:val="clear" w:color="auto" w:fill="D9D9D9" w:themeFill="background1" w:themeFillShade="D9"/>
            <w:vAlign w:val="bottom"/>
            <w:hideMark/>
          </w:tcPr>
          <w:p w14:paraId="2E0687ED" w14:textId="77777777" w:rsidR="001202D5" w:rsidRPr="005A1F62" w:rsidRDefault="001202D5" w:rsidP="00612403">
            <w:pPr>
              <w:tabs>
                <w:tab w:val="left" w:pos="709"/>
              </w:tabs>
              <w:rPr>
                <w:bCs/>
              </w:rPr>
            </w:pPr>
          </w:p>
        </w:tc>
        <w:tc>
          <w:tcPr>
            <w:tcW w:w="683" w:type="pct"/>
            <w:vMerge/>
            <w:shd w:val="clear" w:color="auto" w:fill="D9D9D9" w:themeFill="background1" w:themeFillShade="D9"/>
            <w:noWrap/>
            <w:vAlign w:val="center"/>
            <w:hideMark/>
          </w:tcPr>
          <w:p w14:paraId="4B9960FE" w14:textId="77777777" w:rsidR="001202D5" w:rsidRPr="005A1F62" w:rsidRDefault="001202D5" w:rsidP="00612403">
            <w:pPr>
              <w:tabs>
                <w:tab w:val="left" w:pos="709"/>
              </w:tabs>
              <w:jc w:val="center"/>
              <w:rPr>
                <w:bCs/>
              </w:rPr>
            </w:pPr>
          </w:p>
        </w:tc>
        <w:tc>
          <w:tcPr>
            <w:tcW w:w="760" w:type="pct"/>
            <w:shd w:val="clear" w:color="auto" w:fill="D9D9D9" w:themeFill="background1" w:themeFillShade="D9"/>
            <w:noWrap/>
            <w:vAlign w:val="center"/>
            <w:hideMark/>
          </w:tcPr>
          <w:p w14:paraId="562ADE91" w14:textId="77777777" w:rsidR="001202D5" w:rsidRPr="005A1F62" w:rsidRDefault="001202D5" w:rsidP="00612403">
            <w:pPr>
              <w:tabs>
                <w:tab w:val="left" w:pos="709"/>
              </w:tabs>
              <w:jc w:val="center"/>
              <w:rPr>
                <w:bCs/>
              </w:rPr>
            </w:pPr>
            <w:r w:rsidRPr="005A1F62">
              <w:rPr>
                <w:bCs/>
              </w:rPr>
              <w:t>не более</w:t>
            </w:r>
          </w:p>
        </w:tc>
        <w:tc>
          <w:tcPr>
            <w:tcW w:w="829" w:type="pct"/>
            <w:shd w:val="clear" w:color="auto" w:fill="D9D9D9" w:themeFill="background1" w:themeFillShade="D9"/>
            <w:noWrap/>
            <w:vAlign w:val="center"/>
            <w:hideMark/>
          </w:tcPr>
          <w:p w14:paraId="45A948E7" w14:textId="77777777" w:rsidR="001202D5" w:rsidRPr="005A1F62" w:rsidRDefault="001202D5" w:rsidP="00612403">
            <w:pPr>
              <w:tabs>
                <w:tab w:val="left" w:pos="709"/>
              </w:tabs>
              <w:jc w:val="center"/>
              <w:rPr>
                <w:bCs/>
              </w:rPr>
            </w:pPr>
            <w:r w:rsidRPr="005A1F62">
              <w:rPr>
                <w:bCs/>
              </w:rPr>
              <w:t>не менее</w:t>
            </w:r>
          </w:p>
        </w:tc>
      </w:tr>
      <w:tr w:rsidR="001202D5" w:rsidRPr="005A1F62" w14:paraId="5F091CCB" w14:textId="77777777" w:rsidTr="00612403">
        <w:trPr>
          <w:trHeight w:val="20"/>
        </w:trPr>
        <w:tc>
          <w:tcPr>
            <w:tcW w:w="2728" w:type="pct"/>
            <w:shd w:val="clear" w:color="auto" w:fill="auto"/>
            <w:vAlign w:val="bottom"/>
            <w:hideMark/>
          </w:tcPr>
          <w:p w14:paraId="69325D85" w14:textId="34BC0088" w:rsidR="001202D5" w:rsidRPr="005A1F62" w:rsidRDefault="001202D5" w:rsidP="00612403">
            <w:pPr>
              <w:tabs>
                <w:tab w:val="left" w:pos="709"/>
              </w:tabs>
              <w:jc w:val="both"/>
            </w:pPr>
            <w:r w:rsidRPr="005A1F62">
              <w:t>Рентабельность активо</w:t>
            </w:r>
            <w:r w:rsidR="008558BA" w:rsidRPr="005A1F62">
              <w:t>в</w:t>
            </w:r>
            <w:r w:rsidRPr="005A1F62">
              <w:t xml:space="preserve"> без учета волатильных компонентов, %</w:t>
            </w:r>
          </w:p>
        </w:tc>
        <w:tc>
          <w:tcPr>
            <w:tcW w:w="683" w:type="pct"/>
            <w:shd w:val="clear" w:color="auto" w:fill="auto"/>
            <w:noWrap/>
            <w:vAlign w:val="center"/>
            <w:hideMark/>
          </w:tcPr>
          <w:p w14:paraId="4C3AA71C" w14:textId="77777777" w:rsidR="001202D5" w:rsidRPr="005A1F62" w:rsidRDefault="001202D5" w:rsidP="00612403">
            <w:pPr>
              <w:tabs>
                <w:tab w:val="left" w:pos="709"/>
              </w:tabs>
              <w:jc w:val="center"/>
            </w:pPr>
            <w:r w:rsidRPr="005A1F62">
              <w:t>10</w:t>
            </w:r>
          </w:p>
        </w:tc>
        <w:tc>
          <w:tcPr>
            <w:tcW w:w="760" w:type="pct"/>
            <w:shd w:val="clear" w:color="auto" w:fill="auto"/>
            <w:noWrap/>
            <w:vAlign w:val="center"/>
          </w:tcPr>
          <w:p w14:paraId="0129B751" w14:textId="5A73ED29" w:rsidR="001202D5" w:rsidRPr="005A1F62" w:rsidRDefault="005C32CF" w:rsidP="00612403">
            <w:pPr>
              <w:tabs>
                <w:tab w:val="left" w:pos="709"/>
              </w:tabs>
              <w:jc w:val="center"/>
              <w:rPr>
                <w:lang w:val="en-US"/>
              </w:rPr>
            </w:pPr>
            <w:r w:rsidRPr="005A1F62">
              <w:rPr>
                <w:lang w:val="en-US"/>
              </w:rPr>
              <w:t>0,5</w:t>
            </w:r>
          </w:p>
        </w:tc>
        <w:tc>
          <w:tcPr>
            <w:tcW w:w="829" w:type="pct"/>
            <w:shd w:val="clear" w:color="auto" w:fill="auto"/>
            <w:noWrap/>
            <w:vAlign w:val="center"/>
          </w:tcPr>
          <w:p w14:paraId="386A3F3F" w14:textId="6CCF846B" w:rsidR="001202D5" w:rsidRPr="005A1F62" w:rsidRDefault="005C32CF" w:rsidP="00612403">
            <w:pPr>
              <w:tabs>
                <w:tab w:val="left" w:pos="709"/>
              </w:tabs>
              <w:jc w:val="center"/>
            </w:pPr>
            <w:r w:rsidRPr="005A1F62">
              <w:t>2,0</w:t>
            </w:r>
          </w:p>
        </w:tc>
      </w:tr>
      <w:tr w:rsidR="001202D5" w:rsidRPr="005A1F62" w14:paraId="70B588CC" w14:textId="77777777" w:rsidTr="00612403">
        <w:trPr>
          <w:trHeight w:val="20"/>
        </w:trPr>
        <w:tc>
          <w:tcPr>
            <w:tcW w:w="2728" w:type="pct"/>
            <w:shd w:val="clear" w:color="auto" w:fill="auto"/>
            <w:vAlign w:val="bottom"/>
            <w:hideMark/>
          </w:tcPr>
          <w:p w14:paraId="7BA272EE" w14:textId="2D41B2B5" w:rsidR="001202D5" w:rsidRPr="005A1F62" w:rsidRDefault="001202D5" w:rsidP="00612403">
            <w:pPr>
              <w:tabs>
                <w:tab w:val="left" w:pos="709"/>
              </w:tabs>
              <w:jc w:val="both"/>
            </w:pPr>
            <w:r w:rsidRPr="005A1F62">
              <w:t>Рентабельность активов, %</w:t>
            </w:r>
          </w:p>
        </w:tc>
        <w:tc>
          <w:tcPr>
            <w:tcW w:w="683" w:type="pct"/>
            <w:shd w:val="clear" w:color="auto" w:fill="auto"/>
            <w:vAlign w:val="center"/>
            <w:hideMark/>
          </w:tcPr>
          <w:p w14:paraId="222016D7" w14:textId="77777777" w:rsidR="001202D5" w:rsidRPr="005A1F62" w:rsidRDefault="001202D5" w:rsidP="00612403">
            <w:pPr>
              <w:tabs>
                <w:tab w:val="left" w:pos="709"/>
              </w:tabs>
              <w:jc w:val="center"/>
            </w:pPr>
            <w:r w:rsidRPr="005A1F62">
              <w:t>90</w:t>
            </w:r>
          </w:p>
        </w:tc>
        <w:tc>
          <w:tcPr>
            <w:tcW w:w="760" w:type="pct"/>
            <w:shd w:val="clear" w:color="auto" w:fill="auto"/>
            <w:noWrap/>
            <w:vAlign w:val="center"/>
          </w:tcPr>
          <w:p w14:paraId="4418EBAE" w14:textId="648B3211" w:rsidR="001202D5" w:rsidRPr="005A1F62" w:rsidRDefault="005C32CF" w:rsidP="00612403">
            <w:pPr>
              <w:tabs>
                <w:tab w:val="left" w:pos="709"/>
              </w:tabs>
              <w:jc w:val="center"/>
              <w:rPr>
                <w:lang w:val="en-US"/>
              </w:rPr>
            </w:pPr>
            <w:r w:rsidRPr="005A1F62">
              <w:rPr>
                <w:lang w:val="en-US"/>
              </w:rPr>
              <w:t>0,2</w:t>
            </w:r>
          </w:p>
        </w:tc>
        <w:tc>
          <w:tcPr>
            <w:tcW w:w="829" w:type="pct"/>
            <w:shd w:val="clear" w:color="auto" w:fill="auto"/>
            <w:noWrap/>
            <w:vAlign w:val="center"/>
          </w:tcPr>
          <w:p w14:paraId="0B16472F" w14:textId="674017D0" w:rsidR="001202D5" w:rsidRPr="005A1F62" w:rsidRDefault="005C32CF" w:rsidP="00612403">
            <w:pPr>
              <w:tabs>
                <w:tab w:val="left" w:pos="709"/>
              </w:tabs>
              <w:jc w:val="center"/>
              <w:rPr>
                <w:lang w:val="en-US"/>
              </w:rPr>
            </w:pPr>
            <w:r w:rsidRPr="005A1F62">
              <w:rPr>
                <w:lang w:val="en-US"/>
              </w:rPr>
              <w:t>1,</w:t>
            </w:r>
            <w:r w:rsidR="00124794" w:rsidRPr="005A1F62">
              <w:rPr>
                <w:lang w:val="en-US"/>
              </w:rPr>
              <w:t>5</w:t>
            </w:r>
          </w:p>
        </w:tc>
      </w:tr>
    </w:tbl>
    <w:p w14:paraId="0193D4D5" w14:textId="77777777" w:rsidR="001202D5" w:rsidRPr="005A1F62" w:rsidRDefault="001202D5" w:rsidP="00DC2FED">
      <w:pPr>
        <w:tabs>
          <w:tab w:val="left" w:pos="709"/>
        </w:tabs>
        <w:rPr>
          <w:bCs/>
        </w:rPr>
      </w:pPr>
    </w:p>
    <w:p w14:paraId="1555293C" w14:textId="28771987" w:rsidR="003E38FC" w:rsidRPr="005A1F62" w:rsidRDefault="003E38FC" w:rsidP="003C5D28">
      <w:pPr>
        <w:pStyle w:val="afb"/>
        <w:numPr>
          <w:ilvl w:val="0"/>
          <w:numId w:val="21"/>
        </w:numPr>
        <w:tabs>
          <w:tab w:val="left" w:pos="709"/>
        </w:tabs>
        <w:ind w:left="0" w:firstLine="567"/>
        <w:jc w:val="both"/>
        <w:rPr>
          <w:bCs/>
        </w:rPr>
      </w:pPr>
      <w:r w:rsidRPr="005A1F62">
        <w:rPr>
          <w:bCs/>
        </w:rPr>
        <w:t>ПРИБЫЛЬНОСТЬ ПО МСФО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1503"/>
        <w:gridCol w:w="1503"/>
      </w:tblGrid>
      <w:tr w:rsidR="00A55731" w:rsidRPr="005A1F62" w14:paraId="770096B4" w14:textId="77777777" w:rsidTr="00AB6DDE">
        <w:trPr>
          <w:trHeight w:val="20"/>
        </w:trPr>
        <w:tc>
          <w:tcPr>
            <w:tcW w:w="5000" w:type="pct"/>
            <w:gridSpan w:val="3"/>
            <w:shd w:val="clear" w:color="auto" w:fill="D9D9D9" w:themeFill="background1" w:themeFillShade="D9"/>
            <w:vAlign w:val="center"/>
            <w:hideMark/>
          </w:tcPr>
          <w:p w14:paraId="02865892" w14:textId="77777777" w:rsidR="00A55731" w:rsidRPr="005A1F62" w:rsidRDefault="00A55731" w:rsidP="00D07979">
            <w:pPr>
              <w:tabs>
                <w:tab w:val="left" w:pos="709"/>
              </w:tabs>
              <w:jc w:val="center"/>
              <w:rPr>
                <w:bCs/>
              </w:rPr>
            </w:pPr>
            <w:r w:rsidRPr="005A1F62">
              <w:rPr>
                <w:bCs/>
              </w:rPr>
              <w:t>СИСТЕМНО ЗНАЧИМЫЙ БАНК</w:t>
            </w:r>
          </w:p>
        </w:tc>
      </w:tr>
      <w:tr w:rsidR="007F5797" w:rsidRPr="005A1F62" w14:paraId="52316ED3" w14:textId="77777777" w:rsidTr="00AB6DDE">
        <w:trPr>
          <w:trHeight w:val="20"/>
        </w:trPr>
        <w:tc>
          <w:tcPr>
            <w:tcW w:w="3392" w:type="pct"/>
            <w:vMerge w:val="restart"/>
            <w:shd w:val="clear" w:color="auto" w:fill="D9D9D9" w:themeFill="background1" w:themeFillShade="D9"/>
            <w:vAlign w:val="center"/>
            <w:hideMark/>
          </w:tcPr>
          <w:p w14:paraId="2CE4ACB9" w14:textId="46CE54B4" w:rsidR="007F5797" w:rsidRPr="005A1F62" w:rsidRDefault="007F5797" w:rsidP="007F5797">
            <w:pPr>
              <w:tabs>
                <w:tab w:val="left" w:pos="709"/>
              </w:tabs>
              <w:jc w:val="both"/>
              <w:rPr>
                <w:bCs/>
              </w:rPr>
            </w:pPr>
            <w:r w:rsidRPr="005A1F62">
              <w:t>Показатель</w:t>
            </w:r>
            <w:r w:rsidRPr="005A1F62">
              <w:rPr>
                <w:bCs/>
              </w:rPr>
              <w:t> </w:t>
            </w:r>
          </w:p>
        </w:tc>
        <w:tc>
          <w:tcPr>
            <w:tcW w:w="804" w:type="pct"/>
            <w:shd w:val="clear" w:color="auto" w:fill="D9D9D9" w:themeFill="background1" w:themeFillShade="D9"/>
            <w:noWrap/>
            <w:vAlign w:val="center"/>
            <w:hideMark/>
          </w:tcPr>
          <w:p w14:paraId="5BC30DFF" w14:textId="77777777" w:rsidR="007F5797" w:rsidRPr="005A1F62" w:rsidRDefault="007F5797" w:rsidP="00D07979">
            <w:pPr>
              <w:tabs>
                <w:tab w:val="left" w:pos="709"/>
              </w:tabs>
              <w:jc w:val="center"/>
              <w:rPr>
                <w:bCs/>
              </w:rPr>
            </w:pPr>
            <w:r w:rsidRPr="005A1F62">
              <w:rPr>
                <w:bCs/>
              </w:rPr>
              <w:t>-1</w:t>
            </w:r>
          </w:p>
        </w:tc>
        <w:tc>
          <w:tcPr>
            <w:tcW w:w="804" w:type="pct"/>
            <w:shd w:val="clear" w:color="auto" w:fill="D9D9D9" w:themeFill="background1" w:themeFillShade="D9"/>
            <w:noWrap/>
            <w:vAlign w:val="center"/>
            <w:hideMark/>
          </w:tcPr>
          <w:p w14:paraId="64FCD2D7" w14:textId="77777777" w:rsidR="007F5797" w:rsidRPr="005A1F62" w:rsidRDefault="007F5797" w:rsidP="00D07979">
            <w:pPr>
              <w:tabs>
                <w:tab w:val="left" w:pos="709"/>
              </w:tabs>
              <w:jc w:val="center"/>
              <w:rPr>
                <w:bCs/>
              </w:rPr>
            </w:pPr>
            <w:r w:rsidRPr="005A1F62">
              <w:rPr>
                <w:bCs/>
              </w:rPr>
              <w:t>1</w:t>
            </w:r>
          </w:p>
        </w:tc>
      </w:tr>
      <w:tr w:rsidR="007F5797" w:rsidRPr="005A1F62" w14:paraId="69B9A877" w14:textId="77777777" w:rsidTr="00AB6DDE">
        <w:trPr>
          <w:trHeight w:val="20"/>
        </w:trPr>
        <w:tc>
          <w:tcPr>
            <w:tcW w:w="3392" w:type="pct"/>
            <w:vMerge/>
            <w:shd w:val="clear" w:color="auto" w:fill="D9D9D9" w:themeFill="background1" w:themeFillShade="D9"/>
            <w:vAlign w:val="bottom"/>
            <w:hideMark/>
          </w:tcPr>
          <w:p w14:paraId="3055A454" w14:textId="77777777" w:rsidR="007F5797" w:rsidRPr="005A1F62" w:rsidRDefault="007F5797" w:rsidP="007F5797">
            <w:pPr>
              <w:tabs>
                <w:tab w:val="left" w:pos="709"/>
              </w:tabs>
              <w:jc w:val="both"/>
              <w:rPr>
                <w:bCs/>
              </w:rPr>
            </w:pPr>
          </w:p>
        </w:tc>
        <w:tc>
          <w:tcPr>
            <w:tcW w:w="804" w:type="pct"/>
            <w:shd w:val="clear" w:color="auto" w:fill="D9D9D9" w:themeFill="background1" w:themeFillShade="D9"/>
            <w:noWrap/>
            <w:vAlign w:val="center"/>
            <w:hideMark/>
          </w:tcPr>
          <w:p w14:paraId="608E0A6C" w14:textId="77777777" w:rsidR="007F5797" w:rsidRPr="005A1F62" w:rsidRDefault="007F5797" w:rsidP="00D07979">
            <w:pPr>
              <w:tabs>
                <w:tab w:val="left" w:pos="709"/>
              </w:tabs>
              <w:jc w:val="center"/>
              <w:rPr>
                <w:bCs/>
              </w:rPr>
            </w:pPr>
            <w:r w:rsidRPr="005A1F62">
              <w:rPr>
                <w:bCs/>
              </w:rPr>
              <w:t>не более</w:t>
            </w:r>
          </w:p>
        </w:tc>
        <w:tc>
          <w:tcPr>
            <w:tcW w:w="804" w:type="pct"/>
            <w:shd w:val="clear" w:color="auto" w:fill="D9D9D9" w:themeFill="background1" w:themeFillShade="D9"/>
            <w:noWrap/>
            <w:vAlign w:val="center"/>
            <w:hideMark/>
          </w:tcPr>
          <w:p w14:paraId="4432BE41" w14:textId="4095E1B6" w:rsidR="007F5797" w:rsidRPr="005A1F62" w:rsidRDefault="007F5797" w:rsidP="00D07979">
            <w:pPr>
              <w:tabs>
                <w:tab w:val="left" w:pos="709"/>
              </w:tabs>
              <w:jc w:val="center"/>
              <w:rPr>
                <w:bCs/>
              </w:rPr>
            </w:pPr>
            <w:r w:rsidRPr="005A1F62">
              <w:rPr>
                <w:bCs/>
              </w:rPr>
              <w:t>не менее</w:t>
            </w:r>
          </w:p>
        </w:tc>
      </w:tr>
      <w:tr w:rsidR="007F5797" w:rsidRPr="005A1F62" w14:paraId="19673484" w14:textId="77777777" w:rsidTr="00AB6DDE">
        <w:trPr>
          <w:trHeight w:val="20"/>
        </w:trPr>
        <w:tc>
          <w:tcPr>
            <w:tcW w:w="3392" w:type="pct"/>
            <w:shd w:val="clear" w:color="auto" w:fill="auto"/>
            <w:vAlign w:val="bottom"/>
            <w:hideMark/>
          </w:tcPr>
          <w:p w14:paraId="71CA9EE0" w14:textId="13A03852" w:rsidR="007F5797" w:rsidRPr="005A1F62" w:rsidRDefault="007F5797" w:rsidP="007F5797">
            <w:pPr>
              <w:tabs>
                <w:tab w:val="left" w:pos="709"/>
              </w:tabs>
              <w:jc w:val="both"/>
            </w:pPr>
            <w:r w:rsidRPr="005A1F62">
              <w:rPr>
                <w:bCs/>
              </w:rPr>
              <w:t>Рентабельность балансового капитала (по прибыли после налогообложения)</w:t>
            </w:r>
            <w:r w:rsidRPr="005A1F62">
              <w:t>, %</w:t>
            </w:r>
          </w:p>
        </w:tc>
        <w:tc>
          <w:tcPr>
            <w:tcW w:w="804" w:type="pct"/>
            <w:shd w:val="clear" w:color="auto" w:fill="auto"/>
            <w:noWrap/>
            <w:vAlign w:val="center"/>
          </w:tcPr>
          <w:p w14:paraId="053DFCAD" w14:textId="59BF6AA5" w:rsidR="007F5797" w:rsidRPr="005A1F62" w:rsidRDefault="007F5797" w:rsidP="007F5797">
            <w:pPr>
              <w:tabs>
                <w:tab w:val="left" w:pos="709"/>
              </w:tabs>
              <w:jc w:val="center"/>
            </w:pPr>
            <w:r w:rsidRPr="005A1F62">
              <w:t>4</w:t>
            </w:r>
            <w:r w:rsidR="005C32CF" w:rsidRPr="005A1F62">
              <w:t>,0</w:t>
            </w:r>
          </w:p>
        </w:tc>
        <w:tc>
          <w:tcPr>
            <w:tcW w:w="804" w:type="pct"/>
            <w:shd w:val="clear" w:color="auto" w:fill="auto"/>
            <w:noWrap/>
            <w:vAlign w:val="center"/>
          </w:tcPr>
          <w:p w14:paraId="361331B8" w14:textId="6DBBC275" w:rsidR="007F5797" w:rsidRPr="005A1F62" w:rsidRDefault="007F5797" w:rsidP="007F5797">
            <w:pPr>
              <w:tabs>
                <w:tab w:val="left" w:pos="709"/>
              </w:tabs>
              <w:jc w:val="center"/>
            </w:pPr>
            <w:r w:rsidRPr="005A1F62">
              <w:t>12</w:t>
            </w:r>
            <w:r w:rsidR="005C32CF" w:rsidRPr="005A1F62">
              <w:t>,0</w:t>
            </w:r>
          </w:p>
        </w:tc>
      </w:tr>
    </w:tbl>
    <w:p w14:paraId="7C1B0B9C" w14:textId="64D95448" w:rsidR="00A55731" w:rsidRPr="005A1F62" w:rsidRDefault="00A55731" w:rsidP="00A55731">
      <w:pPr>
        <w:tabs>
          <w:tab w:val="left" w:pos="709"/>
        </w:tabs>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1503"/>
        <w:gridCol w:w="1503"/>
      </w:tblGrid>
      <w:tr w:rsidR="007F5797" w:rsidRPr="005A1F62" w14:paraId="5AFC1E68" w14:textId="77777777" w:rsidTr="00AB6DDE">
        <w:trPr>
          <w:trHeight w:val="20"/>
        </w:trPr>
        <w:tc>
          <w:tcPr>
            <w:tcW w:w="5000" w:type="pct"/>
            <w:gridSpan w:val="3"/>
            <w:shd w:val="clear" w:color="auto" w:fill="D9D9D9" w:themeFill="background1" w:themeFillShade="D9"/>
            <w:vAlign w:val="center"/>
            <w:hideMark/>
          </w:tcPr>
          <w:p w14:paraId="1F31F7CC" w14:textId="78680E03" w:rsidR="007F5797" w:rsidRPr="005A1F62" w:rsidRDefault="007F5797" w:rsidP="00D07979">
            <w:pPr>
              <w:tabs>
                <w:tab w:val="left" w:pos="709"/>
              </w:tabs>
              <w:jc w:val="center"/>
              <w:rPr>
                <w:bCs/>
              </w:rPr>
            </w:pPr>
            <w:r w:rsidRPr="005A1F62">
              <w:rPr>
                <w:bCs/>
              </w:rPr>
              <w:t>БАНК, НЕ ЯВЛЯЮЩИЙСЯ СИСТЕМНО ЗНАЧИМЫМ</w:t>
            </w:r>
          </w:p>
        </w:tc>
      </w:tr>
      <w:tr w:rsidR="007F5797" w:rsidRPr="005A1F62" w14:paraId="081BF806" w14:textId="77777777" w:rsidTr="00AB6DDE">
        <w:trPr>
          <w:trHeight w:val="20"/>
        </w:trPr>
        <w:tc>
          <w:tcPr>
            <w:tcW w:w="3392" w:type="pct"/>
            <w:vMerge w:val="restart"/>
            <w:shd w:val="clear" w:color="auto" w:fill="D9D9D9" w:themeFill="background1" w:themeFillShade="D9"/>
            <w:vAlign w:val="center"/>
            <w:hideMark/>
          </w:tcPr>
          <w:p w14:paraId="152758B2" w14:textId="77777777" w:rsidR="007F5797" w:rsidRPr="005A1F62" w:rsidRDefault="007F5797" w:rsidP="00D07979">
            <w:pPr>
              <w:tabs>
                <w:tab w:val="left" w:pos="709"/>
              </w:tabs>
              <w:jc w:val="both"/>
              <w:rPr>
                <w:bCs/>
              </w:rPr>
            </w:pPr>
            <w:r w:rsidRPr="005A1F62">
              <w:t>Показатель</w:t>
            </w:r>
            <w:r w:rsidRPr="005A1F62">
              <w:rPr>
                <w:bCs/>
              </w:rPr>
              <w:t> </w:t>
            </w:r>
          </w:p>
        </w:tc>
        <w:tc>
          <w:tcPr>
            <w:tcW w:w="804" w:type="pct"/>
            <w:shd w:val="clear" w:color="auto" w:fill="D9D9D9" w:themeFill="background1" w:themeFillShade="D9"/>
            <w:noWrap/>
            <w:vAlign w:val="center"/>
            <w:hideMark/>
          </w:tcPr>
          <w:p w14:paraId="21826122" w14:textId="77777777" w:rsidR="007F5797" w:rsidRPr="005A1F62" w:rsidRDefault="007F5797" w:rsidP="00D07979">
            <w:pPr>
              <w:tabs>
                <w:tab w:val="left" w:pos="709"/>
              </w:tabs>
              <w:jc w:val="center"/>
              <w:rPr>
                <w:bCs/>
              </w:rPr>
            </w:pPr>
            <w:r w:rsidRPr="005A1F62">
              <w:rPr>
                <w:bCs/>
              </w:rPr>
              <w:t>-1</w:t>
            </w:r>
          </w:p>
        </w:tc>
        <w:tc>
          <w:tcPr>
            <w:tcW w:w="804" w:type="pct"/>
            <w:shd w:val="clear" w:color="auto" w:fill="D9D9D9" w:themeFill="background1" w:themeFillShade="D9"/>
            <w:noWrap/>
            <w:vAlign w:val="center"/>
            <w:hideMark/>
          </w:tcPr>
          <w:p w14:paraId="21D51F3C" w14:textId="77777777" w:rsidR="007F5797" w:rsidRPr="005A1F62" w:rsidRDefault="007F5797" w:rsidP="00D07979">
            <w:pPr>
              <w:tabs>
                <w:tab w:val="left" w:pos="709"/>
              </w:tabs>
              <w:jc w:val="center"/>
              <w:rPr>
                <w:bCs/>
              </w:rPr>
            </w:pPr>
            <w:r w:rsidRPr="005A1F62">
              <w:rPr>
                <w:bCs/>
              </w:rPr>
              <w:t>1</w:t>
            </w:r>
          </w:p>
        </w:tc>
      </w:tr>
      <w:tr w:rsidR="007F5797" w:rsidRPr="005A1F62" w14:paraId="0598F673" w14:textId="77777777" w:rsidTr="00AB6DDE">
        <w:trPr>
          <w:trHeight w:val="20"/>
        </w:trPr>
        <w:tc>
          <w:tcPr>
            <w:tcW w:w="3392" w:type="pct"/>
            <w:vMerge/>
            <w:shd w:val="clear" w:color="auto" w:fill="D9D9D9" w:themeFill="background1" w:themeFillShade="D9"/>
            <w:vAlign w:val="bottom"/>
            <w:hideMark/>
          </w:tcPr>
          <w:p w14:paraId="3406ACA3" w14:textId="77777777" w:rsidR="007F5797" w:rsidRPr="005A1F62" w:rsidRDefault="007F5797" w:rsidP="00D07979">
            <w:pPr>
              <w:tabs>
                <w:tab w:val="left" w:pos="709"/>
              </w:tabs>
              <w:jc w:val="both"/>
              <w:rPr>
                <w:bCs/>
              </w:rPr>
            </w:pPr>
          </w:p>
        </w:tc>
        <w:tc>
          <w:tcPr>
            <w:tcW w:w="804" w:type="pct"/>
            <w:shd w:val="clear" w:color="auto" w:fill="D9D9D9" w:themeFill="background1" w:themeFillShade="D9"/>
            <w:noWrap/>
            <w:vAlign w:val="center"/>
            <w:hideMark/>
          </w:tcPr>
          <w:p w14:paraId="7F19B45D" w14:textId="77777777" w:rsidR="007F5797" w:rsidRPr="005A1F62" w:rsidRDefault="007F5797" w:rsidP="00D07979">
            <w:pPr>
              <w:tabs>
                <w:tab w:val="left" w:pos="709"/>
              </w:tabs>
              <w:jc w:val="center"/>
              <w:rPr>
                <w:bCs/>
              </w:rPr>
            </w:pPr>
            <w:r w:rsidRPr="005A1F62">
              <w:rPr>
                <w:bCs/>
              </w:rPr>
              <w:t>не более</w:t>
            </w:r>
          </w:p>
        </w:tc>
        <w:tc>
          <w:tcPr>
            <w:tcW w:w="804" w:type="pct"/>
            <w:shd w:val="clear" w:color="auto" w:fill="D9D9D9" w:themeFill="background1" w:themeFillShade="D9"/>
            <w:noWrap/>
            <w:vAlign w:val="center"/>
            <w:hideMark/>
          </w:tcPr>
          <w:p w14:paraId="18295B1C" w14:textId="2618B7FC" w:rsidR="007F5797" w:rsidRPr="005A1F62" w:rsidRDefault="007F5797" w:rsidP="00D07979">
            <w:pPr>
              <w:tabs>
                <w:tab w:val="left" w:pos="709"/>
              </w:tabs>
              <w:jc w:val="center"/>
              <w:rPr>
                <w:bCs/>
              </w:rPr>
            </w:pPr>
            <w:r w:rsidRPr="005A1F62">
              <w:rPr>
                <w:bCs/>
              </w:rPr>
              <w:t>не менее</w:t>
            </w:r>
          </w:p>
        </w:tc>
      </w:tr>
      <w:tr w:rsidR="007F5797" w:rsidRPr="005A1F62" w14:paraId="53770514" w14:textId="77777777" w:rsidTr="00AB6DDE">
        <w:trPr>
          <w:trHeight w:val="20"/>
        </w:trPr>
        <w:tc>
          <w:tcPr>
            <w:tcW w:w="3392" w:type="pct"/>
            <w:shd w:val="clear" w:color="auto" w:fill="auto"/>
            <w:vAlign w:val="bottom"/>
            <w:hideMark/>
          </w:tcPr>
          <w:p w14:paraId="583352DF" w14:textId="77777777" w:rsidR="007F5797" w:rsidRPr="005A1F62" w:rsidRDefault="007F5797" w:rsidP="00D07979">
            <w:pPr>
              <w:tabs>
                <w:tab w:val="left" w:pos="709"/>
              </w:tabs>
              <w:jc w:val="both"/>
            </w:pPr>
            <w:r w:rsidRPr="005A1F62">
              <w:rPr>
                <w:bCs/>
              </w:rPr>
              <w:lastRenderedPageBreak/>
              <w:t>Рентабельность балансового капитала (по прибыли после налогообложения)</w:t>
            </w:r>
            <w:r w:rsidRPr="005A1F62">
              <w:t>, %</w:t>
            </w:r>
          </w:p>
        </w:tc>
        <w:tc>
          <w:tcPr>
            <w:tcW w:w="804" w:type="pct"/>
            <w:shd w:val="clear" w:color="auto" w:fill="auto"/>
            <w:noWrap/>
            <w:vAlign w:val="center"/>
          </w:tcPr>
          <w:p w14:paraId="43FF1E96" w14:textId="79EEFF7C" w:rsidR="007F5797" w:rsidRPr="005A1F62" w:rsidRDefault="007F5797" w:rsidP="00D07979">
            <w:pPr>
              <w:tabs>
                <w:tab w:val="left" w:pos="709"/>
              </w:tabs>
              <w:jc w:val="center"/>
            </w:pPr>
            <w:r w:rsidRPr="005A1F62">
              <w:t>3</w:t>
            </w:r>
            <w:r w:rsidR="005C32CF" w:rsidRPr="005A1F62">
              <w:t>,0</w:t>
            </w:r>
          </w:p>
        </w:tc>
        <w:tc>
          <w:tcPr>
            <w:tcW w:w="804" w:type="pct"/>
            <w:shd w:val="clear" w:color="auto" w:fill="auto"/>
            <w:noWrap/>
            <w:vAlign w:val="center"/>
          </w:tcPr>
          <w:p w14:paraId="2D4537B6" w14:textId="16DE7242" w:rsidR="007F5797" w:rsidRPr="005A1F62" w:rsidRDefault="007F5797" w:rsidP="00D07979">
            <w:pPr>
              <w:tabs>
                <w:tab w:val="left" w:pos="709"/>
              </w:tabs>
              <w:jc w:val="center"/>
            </w:pPr>
            <w:r w:rsidRPr="005A1F62">
              <w:t>10</w:t>
            </w:r>
            <w:r w:rsidR="005C32CF" w:rsidRPr="005A1F62">
              <w:t>,0</w:t>
            </w:r>
          </w:p>
        </w:tc>
      </w:tr>
    </w:tbl>
    <w:p w14:paraId="42457AE5" w14:textId="273AB13A" w:rsidR="003E38FC" w:rsidRPr="005A1F62" w:rsidRDefault="003E38FC" w:rsidP="00DC2FED">
      <w:pPr>
        <w:pStyle w:val="afb"/>
        <w:tabs>
          <w:tab w:val="left" w:pos="709"/>
        </w:tabs>
        <w:ind w:left="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1503"/>
        <w:gridCol w:w="1503"/>
      </w:tblGrid>
      <w:tr w:rsidR="001202D5" w:rsidRPr="005A1F62" w14:paraId="654D6956" w14:textId="77777777" w:rsidTr="001202D5">
        <w:trPr>
          <w:trHeight w:val="20"/>
        </w:trPr>
        <w:tc>
          <w:tcPr>
            <w:tcW w:w="5000" w:type="pct"/>
            <w:gridSpan w:val="3"/>
            <w:shd w:val="clear" w:color="auto" w:fill="D9D9D9" w:themeFill="background1" w:themeFillShade="D9"/>
            <w:vAlign w:val="bottom"/>
            <w:hideMark/>
          </w:tcPr>
          <w:p w14:paraId="5238BA3C" w14:textId="61A35E89" w:rsidR="001202D5" w:rsidRPr="005A1F62" w:rsidRDefault="001202D5" w:rsidP="001202D5">
            <w:pPr>
              <w:tabs>
                <w:tab w:val="left" w:pos="709"/>
              </w:tabs>
              <w:jc w:val="center"/>
              <w:rPr>
                <w:bCs/>
              </w:rPr>
            </w:pPr>
            <w:r w:rsidRPr="005A1F62">
              <w:rPr>
                <w:bCs/>
              </w:rPr>
              <w:t>БАНК НА САНАЦИИ, НЕ СОБЛЮДАЮЩИЙ НОРМАТИВ</w:t>
            </w:r>
            <w:r w:rsidR="00534F0B" w:rsidRPr="005A1F62">
              <w:rPr>
                <w:bCs/>
              </w:rPr>
              <w:t xml:space="preserve"> Н1.0</w:t>
            </w:r>
          </w:p>
        </w:tc>
      </w:tr>
      <w:tr w:rsidR="001202D5" w:rsidRPr="005A1F62" w14:paraId="2D64C44C" w14:textId="77777777" w:rsidTr="00612403">
        <w:trPr>
          <w:trHeight w:val="20"/>
        </w:trPr>
        <w:tc>
          <w:tcPr>
            <w:tcW w:w="3392" w:type="pct"/>
            <w:vMerge w:val="restart"/>
            <w:shd w:val="clear" w:color="auto" w:fill="D9D9D9" w:themeFill="background1" w:themeFillShade="D9"/>
            <w:vAlign w:val="center"/>
            <w:hideMark/>
          </w:tcPr>
          <w:p w14:paraId="65CEE467" w14:textId="77777777" w:rsidR="001202D5" w:rsidRPr="005A1F62" w:rsidRDefault="001202D5" w:rsidP="00612403">
            <w:pPr>
              <w:tabs>
                <w:tab w:val="left" w:pos="709"/>
              </w:tabs>
              <w:jc w:val="both"/>
              <w:rPr>
                <w:bCs/>
              </w:rPr>
            </w:pPr>
            <w:r w:rsidRPr="005A1F62">
              <w:t>Показатель</w:t>
            </w:r>
            <w:r w:rsidRPr="005A1F62">
              <w:rPr>
                <w:bCs/>
              </w:rPr>
              <w:t> </w:t>
            </w:r>
          </w:p>
        </w:tc>
        <w:tc>
          <w:tcPr>
            <w:tcW w:w="804" w:type="pct"/>
            <w:shd w:val="clear" w:color="auto" w:fill="D9D9D9" w:themeFill="background1" w:themeFillShade="D9"/>
            <w:noWrap/>
            <w:vAlign w:val="center"/>
            <w:hideMark/>
          </w:tcPr>
          <w:p w14:paraId="4D1D2D4B" w14:textId="77777777" w:rsidR="001202D5" w:rsidRPr="005A1F62" w:rsidRDefault="001202D5" w:rsidP="00612403">
            <w:pPr>
              <w:tabs>
                <w:tab w:val="left" w:pos="709"/>
              </w:tabs>
              <w:jc w:val="center"/>
              <w:rPr>
                <w:bCs/>
              </w:rPr>
            </w:pPr>
            <w:r w:rsidRPr="005A1F62">
              <w:rPr>
                <w:bCs/>
              </w:rPr>
              <w:t>-1</w:t>
            </w:r>
          </w:p>
        </w:tc>
        <w:tc>
          <w:tcPr>
            <w:tcW w:w="804" w:type="pct"/>
            <w:shd w:val="clear" w:color="auto" w:fill="D9D9D9" w:themeFill="background1" w:themeFillShade="D9"/>
            <w:noWrap/>
            <w:vAlign w:val="center"/>
            <w:hideMark/>
          </w:tcPr>
          <w:p w14:paraId="735F62F8" w14:textId="77777777" w:rsidR="001202D5" w:rsidRPr="005A1F62" w:rsidRDefault="001202D5" w:rsidP="00612403">
            <w:pPr>
              <w:tabs>
                <w:tab w:val="left" w:pos="709"/>
              </w:tabs>
              <w:jc w:val="center"/>
              <w:rPr>
                <w:bCs/>
              </w:rPr>
            </w:pPr>
            <w:r w:rsidRPr="005A1F62">
              <w:rPr>
                <w:bCs/>
              </w:rPr>
              <w:t>1</w:t>
            </w:r>
          </w:p>
        </w:tc>
      </w:tr>
      <w:tr w:rsidR="001202D5" w:rsidRPr="005A1F62" w14:paraId="0D5F74F3" w14:textId="77777777" w:rsidTr="00612403">
        <w:trPr>
          <w:trHeight w:val="20"/>
        </w:trPr>
        <w:tc>
          <w:tcPr>
            <w:tcW w:w="3392" w:type="pct"/>
            <w:vMerge/>
            <w:shd w:val="clear" w:color="auto" w:fill="D9D9D9" w:themeFill="background1" w:themeFillShade="D9"/>
            <w:vAlign w:val="bottom"/>
            <w:hideMark/>
          </w:tcPr>
          <w:p w14:paraId="0DCB695C" w14:textId="77777777" w:rsidR="001202D5" w:rsidRPr="005A1F62" w:rsidRDefault="001202D5" w:rsidP="00612403">
            <w:pPr>
              <w:tabs>
                <w:tab w:val="left" w:pos="709"/>
              </w:tabs>
              <w:jc w:val="both"/>
              <w:rPr>
                <w:bCs/>
              </w:rPr>
            </w:pPr>
          </w:p>
        </w:tc>
        <w:tc>
          <w:tcPr>
            <w:tcW w:w="804" w:type="pct"/>
            <w:shd w:val="clear" w:color="auto" w:fill="D9D9D9" w:themeFill="background1" w:themeFillShade="D9"/>
            <w:noWrap/>
            <w:vAlign w:val="center"/>
            <w:hideMark/>
          </w:tcPr>
          <w:p w14:paraId="4F95A86A" w14:textId="77777777" w:rsidR="001202D5" w:rsidRPr="005A1F62" w:rsidRDefault="001202D5" w:rsidP="00612403">
            <w:pPr>
              <w:tabs>
                <w:tab w:val="left" w:pos="709"/>
              </w:tabs>
              <w:jc w:val="center"/>
              <w:rPr>
                <w:bCs/>
              </w:rPr>
            </w:pPr>
            <w:r w:rsidRPr="005A1F62">
              <w:rPr>
                <w:bCs/>
              </w:rPr>
              <w:t>не более</w:t>
            </w:r>
          </w:p>
        </w:tc>
        <w:tc>
          <w:tcPr>
            <w:tcW w:w="804" w:type="pct"/>
            <w:shd w:val="clear" w:color="auto" w:fill="D9D9D9" w:themeFill="background1" w:themeFillShade="D9"/>
            <w:noWrap/>
            <w:vAlign w:val="center"/>
            <w:hideMark/>
          </w:tcPr>
          <w:p w14:paraId="3B6ADAFA" w14:textId="77777777" w:rsidR="001202D5" w:rsidRPr="005A1F62" w:rsidRDefault="001202D5" w:rsidP="00612403">
            <w:pPr>
              <w:tabs>
                <w:tab w:val="left" w:pos="709"/>
              </w:tabs>
              <w:jc w:val="center"/>
              <w:rPr>
                <w:bCs/>
              </w:rPr>
            </w:pPr>
            <w:r w:rsidRPr="005A1F62">
              <w:rPr>
                <w:bCs/>
              </w:rPr>
              <w:t>не менее</w:t>
            </w:r>
          </w:p>
        </w:tc>
      </w:tr>
      <w:tr w:rsidR="001202D5" w:rsidRPr="005A1F62" w14:paraId="3D860525" w14:textId="77777777" w:rsidTr="00612403">
        <w:trPr>
          <w:trHeight w:val="20"/>
        </w:trPr>
        <w:tc>
          <w:tcPr>
            <w:tcW w:w="3392" w:type="pct"/>
            <w:shd w:val="clear" w:color="auto" w:fill="auto"/>
            <w:vAlign w:val="bottom"/>
            <w:hideMark/>
          </w:tcPr>
          <w:p w14:paraId="221656BC" w14:textId="5E7D25B4" w:rsidR="001202D5" w:rsidRPr="005A1F62" w:rsidRDefault="001202D5" w:rsidP="00612403">
            <w:pPr>
              <w:tabs>
                <w:tab w:val="left" w:pos="709"/>
              </w:tabs>
              <w:jc w:val="both"/>
            </w:pPr>
            <w:r w:rsidRPr="005A1F62">
              <w:rPr>
                <w:bCs/>
              </w:rPr>
              <w:t>Рентабельность активов (по прибыли после налогообложения)</w:t>
            </w:r>
            <w:r w:rsidRPr="005A1F62">
              <w:t>, %</w:t>
            </w:r>
          </w:p>
        </w:tc>
        <w:tc>
          <w:tcPr>
            <w:tcW w:w="804" w:type="pct"/>
            <w:shd w:val="clear" w:color="auto" w:fill="auto"/>
            <w:noWrap/>
            <w:vAlign w:val="center"/>
          </w:tcPr>
          <w:p w14:paraId="4E0A3693" w14:textId="30DAFB28" w:rsidR="001202D5" w:rsidRPr="005A1F62" w:rsidRDefault="005C32CF" w:rsidP="00612403">
            <w:pPr>
              <w:tabs>
                <w:tab w:val="left" w:pos="709"/>
              </w:tabs>
              <w:jc w:val="center"/>
              <w:rPr>
                <w:lang w:val="en-US"/>
              </w:rPr>
            </w:pPr>
            <w:r w:rsidRPr="005A1F62">
              <w:rPr>
                <w:lang w:val="en-US"/>
              </w:rPr>
              <w:t>0,5</w:t>
            </w:r>
          </w:p>
        </w:tc>
        <w:tc>
          <w:tcPr>
            <w:tcW w:w="804" w:type="pct"/>
            <w:shd w:val="clear" w:color="auto" w:fill="auto"/>
            <w:noWrap/>
            <w:vAlign w:val="center"/>
          </w:tcPr>
          <w:p w14:paraId="78DC7BCB" w14:textId="1B6E5BFE" w:rsidR="001202D5" w:rsidRPr="005A1F62" w:rsidRDefault="005C32CF" w:rsidP="00612403">
            <w:pPr>
              <w:tabs>
                <w:tab w:val="left" w:pos="709"/>
              </w:tabs>
              <w:jc w:val="center"/>
            </w:pPr>
            <w:r w:rsidRPr="005A1F62">
              <w:t>2</w:t>
            </w:r>
            <w:r w:rsidRPr="005A1F62">
              <w:rPr>
                <w:lang w:val="en-US"/>
              </w:rPr>
              <w:t>,</w:t>
            </w:r>
            <w:r w:rsidRPr="005A1F62">
              <w:t>0</w:t>
            </w:r>
          </w:p>
        </w:tc>
      </w:tr>
    </w:tbl>
    <w:p w14:paraId="11ADC3AF" w14:textId="77777777" w:rsidR="001202D5" w:rsidRPr="005A1F62" w:rsidRDefault="001202D5" w:rsidP="00DC2FED">
      <w:pPr>
        <w:pStyle w:val="afb"/>
        <w:tabs>
          <w:tab w:val="left" w:pos="709"/>
        </w:tabs>
        <w:ind w:left="0"/>
        <w:rPr>
          <w:bCs/>
        </w:rPr>
      </w:pPr>
    </w:p>
    <w:p w14:paraId="7E886A25" w14:textId="77777777" w:rsidR="003E38FC" w:rsidRPr="005A1F62" w:rsidRDefault="003E38FC" w:rsidP="003C5D28">
      <w:pPr>
        <w:pStyle w:val="afb"/>
        <w:numPr>
          <w:ilvl w:val="0"/>
          <w:numId w:val="21"/>
        </w:numPr>
        <w:tabs>
          <w:tab w:val="left" w:pos="709"/>
        </w:tabs>
        <w:ind w:left="0" w:firstLine="567"/>
        <w:jc w:val="both"/>
        <w:rPr>
          <w:bCs/>
        </w:rPr>
      </w:pPr>
      <w:bookmarkStart w:id="248" w:name="_Hlk43308767"/>
      <w:r w:rsidRPr="005A1F62">
        <w:rPr>
          <w:bCs/>
        </w:rPr>
        <w:t>СТРУКТУРНЫЕ КОЭФФИЦИЕНТЫ ФИНАНСОВОГО РЕЗУЛЬТАТА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1416"/>
        <w:gridCol w:w="736"/>
        <w:gridCol w:w="727"/>
      </w:tblGrid>
      <w:tr w:rsidR="007F5797" w:rsidRPr="005A1F62" w14:paraId="02E85966" w14:textId="77777777" w:rsidTr="00AB6DDE">
        <w:trPr>
          <w:trHeight w:val="20"/>
        </w:trPr>
        <w:tc>
          <w:tcPr>
            <w:tcW w:w="5000" w:type="pct"/>
            <w:gridSpan w:val="4"/>
            <w:shd w:val="clear" w:color="auto" w:fill="D9D9D9" w:themeFill="background1" w:themeFillShade="D9"/>
            <w:vAlign w:val="bottom"/>
            <w:hideMark/>
          </w:tcPr>
          <w:p w14:paraId="13496D07" w14:textId="397D0EDA" w:rsidR="007F5797" w:rsidRPr="005A1F62" w:rsidRDefault="007F5797" w:rsidP="007F5797">
            <w:pPr>
              <w:tabs>
                <w:tab w:val="left" w:pos="709"/>
              </w:tabs>
              <w:jc w:val="center"/>
            </w:pPr>
            <w:r w:rsidRPr="005A1F62">
              <w:rPr>
                <w:bCs/>
              </w:rPr>
              <w:t>СИСТЕМНО ЗНАЧИМЫЙ БАНК</w:t>
            </w:r>
          </w:p>
        </w:tc>
      </w:tr>
      <w:tr w:rsidR="007F5797" w:rsidRPr="005A1F62" w14:paraId="1EAC559A" w14:textId="77777777" w:rsidTr="00AB6DDE">
        <w:trPr>
          <w:trHeight w:val="562"/>
        </w:trPr>
        <w:tc>
          <w:tcPr>
            <w:tcW w:w="3469" w:type="pct"/>
            <w:shd w:val="clear" w:color="auto" w:fill="D9D9D9" w:themeFill="background1" w:themeFillShade="D9"/>
            <w:vAlign w:val="center"/>
            <w:hideMark/>
          </w:tcPr>
          <w:p w14:paraId="26BA45D8" w14:textId="3122E02E" w:rsidR="007F5797" w:rsidRPr="005A1F62" w:rsidRDefault="007F5797" w:rsidP="007F5797">
            <w:pPr>
              <w:tabs>
                <w:tab w:val="left" w:pos="709"/>
              </w:tabs>
            </w:pPr>
            <w:r w:rsidRPr="005A1F62">
              <w:t>Показатель</w:t>
            </w:r>
            <w:r w:rsidRPr="005A1F62">
              <w:rPr>
                <w:bCs/>
              </w:rPr>
              <w:t>  </w:t>
            </w:r>
          </w:p>
        </w:tc>
        <w:tc>
          <w:tcPr>
            <w:tcW w:w="767" w:type="pct"/>
            <w:shd w:val="clear" w:color="auto" w:fill="D9D9D9" w:themeFill="background1" w:themeFillShade="D9"/>
            <w:noWrap/>
            <w:vAlign w:val="center"/>
          </w:tcPr>
          <w:p w14:paraId="53163441" w14:textId="47A9AF68" w:rsidR="007F5797" w:rsidRPr="005A1F62" w:rsidRDefault="007F5797" w:rsidP="007F5797">
            <w:pPr>
              <w:tabs>
                <w:tab w:val="left" w:pos="709"/>
              </w:tabs>
              <w:jc w:val="center"/>
              <w:rPr>
                <w:bCs/>
              </w:rPr>
            </w:pPr>
            <w:r w:rsidRPr="005A1F62">
              <w:rPr>
                <w:bCs/>
              </w:rPr>
              <w:t>Вес, %</w:t>
            </w:r>
          </w:p>
        </w:tc>
        <w:tc>
          <w:tcPr>
            <w:tcW w:w="366" w:type="pct"/>
            <w:shd w:val="clear" w:color="auto" w:fill="D9D9D9" w:themeFill="background1" w:themeFillShade="D9"/>
            <w:noWrap/>
            <w:vAlign w:val="center"/>
            <w:hideMark/>
          </w:tcPr>
          <w:p w14:paraId="15DF88B8" w14:textId="77777777" w:rsidR="007F5797" w:rsidRPr="005A1F62" w:rsidRDefault="007F5797" w:rsidP="007F5797">
            <w:pPr>
              <w:tabs>
                <w:tab w:val="left" w:pos="709"/>
              </w:tabs>
              <w:jc w:val="center"/>
              <w:rPr>
                <w:bCs/>
              </w:rPr>
            </w:pPr>
            <w:r w:rsidRPr="005A1F62">
              <w:rPr>
                <w:bCs/>
              </w:rPr>
              <w:t>-1</w:t>
            </w:r>
          </w:p>
        </w:tc>
        <w:tc>
          <w:tcPr>
            <w:tcW w:w="398" w:type="pct"/>
            <w:shd w:val="clear" w:color="auto" w:fill="D9D9D9" w:themeFill="background1" w:themeFillShade="D9"/>
            <w:noWrap/>
            <w:vAlign w:val="center"/>
            <w:hideMark/>
          </w:tcPr>
          <w:p w14:paraId="3B8CABEC" w14:textId="77777777" w:rsidR="007F5797" w:rsidRPr="005A1F62" w:rsidRDefault="007F5797" w:rsidP="007F5797">
            <w:pPr>
              <w:tabs>
                <w:tab w:val="left" w:pos="709"/>
              </w:tabs>
              <w:jc w:val="center"/>
              <w:rPr>
                <w:bCs/>
              </w:rPr>
            </w:pPr>
            <w:r w:rsidRPr="005A1F62">
              <w:rPr>
                <w:bCs/>
              </w:rPr>
              <w:t>1</w:t>
            </w:r>
          </w:p>
        </w:tc>
      </w:tr>
      <w:tr w:rsidR="007F5797" w:rsidRPr="005A1F62" w14:paraId="062CD10E" w14:textId="77777777" w:rsidTr="00AB6DDE">
        <w:trPr>
          <w:trHeight w:val="20"/>
        </w:trPr>
        <w:tc>
          <w:tcPr>
            <w:tcW w:w="3469" w:type="pct"/>
            <w:shd w:val="clear" w:color="auto" w:fill="auto"/>
            <w:vAlign w:val="bottom"/>
            <w:hideMark/>
          </w:tcPr>
          <w:p w14:paraId="0F502A99" w14:textId="77777777" w:rsidR="007F5797" w:rsidRPr="005A1F62" w:rsidRDefault="007F5797" w:rsidP="007F5797">
            <w:pPr>
              <w:tabs>
                <w:tab w:val="left" w:pos="709"/>
              </w:tabs>
              <w:jc w:val="both"/>
            </w:pPr>
            <w:r w:rsidRPr="005A1F62">
              <w:t>Расходы на обеспечение деятельности к активам, %</w:t>
            </w:r>
          </w:p>
        </w:tc>
        <w:tc>
          <w:tcPr>
            <w:tcW w:w="767" w:type="pct"/>
            <w:shd w:val="clear" w:color="auto" w:fill="auto"/>
            <w:noWrap/>
            <w:vAlign w:val="center"/>
            <w:hideMark/>
          </w:tcPr>
          <w:p w14:paraId="117EDC78" w14:textId="77777777" w:rsidR="007F5797" w:rsidRPr="005A1F62" w:rsidRDefault="007F5797" w:rsidP="007F5797">
            <w:pPr>
              <w:tabs>
                <w:tab w:val="left" w:pos="709"/>
              </w:tabs>
              <w:jc w:val="center"/>
            </w:pPr>
            <w:r w:rsidRPr="005A1F62">
              <w:t>30</w:t>
            </w:r>
          </w:p>
        </w:tc>
        <w:tc>
          <w:tcPr>
            <w:tcW w:w="366" w:type="pct"/>
            <w:shd w:val="clear" w:color="auto" w:fill="auto"/>
            <w:noWrap/>
            <w:vAlign w:val="center"/>
            <w:hideMark/>
          </w:tcPr>
          <w:p w14:paraId="4ADC9380" w14:textId="746CCD6D" w:rsidR="007F5797" w:rsidRPr="005A1F62" w:rsidRDefault="007F5797" w:rsidP="007F5797">
            <w:pPr>
              <w:tabs>
                <w:tab w:val="left" w:pos="709"/>
              </w:tabs>
              <w:jc w:val="center"/>
            </w:pPr>
            <w:r w:rsidRPr="005A1F62">
              <w:rPr>
                <w:sz w:val="20"/>
                <w:szCs w:val="20"/>
                <w:lang w:val="en-US"/>
              </w:rPr>
              <w:t>≥</w:t>
            </w:r>
            <w:r w:rsidRPr="005A1F62">
              <w:rPr>
                <w:sz w:val="20"/>
                <w:szCs w:val="20"/>
              </w:rPr>
              <w:t xml:space="preserve"> </w:t>
            </w:r>
            <w:r w:rsidRPr="005A1F62">
              <w:t>6</w:t>
            </w:r>
          </w:p>
        </w:tc>
        <w:tc>
          <w:tcPr>
            <w:tcW w:w="398" w:type="pct"/>
            <w:shd w:val="clear" w:color="auto" w:fill="auto"/>
            <w:noWrap/>
            <w:vAlign w:val="center"/>
            <w:hideMark/>
          </w:tcPr>
          <w:p w14:paraId="0B138047" w14:textId="6D31191A" w:rsidR="007F5797" w:rsidRPr="005A1F62" w:rsidRDefault="007F5797" w:rsidP="007F5797">
            <w:pPr>
              <w:tabs>
                <w:tab w:val="left" w:pos="709"/>
              </w:tabs>
              <w:jc w:val="center"/>
            </w:pPr>
            <w:r w:rsidRPr="005A1F62">
              <w:rPr>
                <w:sz w:val="20"/>
                <w:szCs w:val="20"/>
              </w:rPr>
              <w:t xml:space="preserve">≤ </w:t>
            </w:r>
            <w:r w:rsidRPr="005A1F62">
              <w:t>2</w:t>
            </w:r>
          </w:p>
        </w:tc>
      </w:tr>
      <w:tr w:rsidR="00E17E78" w:rsidRPr="005A1F62" w14:paraId="61DF01B0" w14:textId="77777777" w:rsidTr="00E17E78">
        <w:trPr>
          <w:trHeight w:val="20"/>
        </w:trPr>
        <w:tc>
          <w:tcPr>
            <w:tcW w:w="3469" w:type="pct"/>
            <w:shd w:val="clear" w:color="auto" w:fill="auto"/>
            <w:vAlign w:val="bottom"/>
            <w:hideMark/>
          </w:tcPr>
          <w:p w14:paraId="005CAE7A" w14:textId="00409367" w:rsidR="00E17E78" w:rsidRPr="005A1F62" w:rsidRDefault="00E17E78" w:rsidP="00E17E78">
            <w:pPr>
              <w:tabs>
                <w:tab w:val="left" w:pos="709"/>
              </w:tabs>
              <w:jc w:val="both"/>
            </w:pPr>
            <w:r w:rsidRPr="005A1F62">
              <w:t>Отношение операционных расходов к чистым доходам (</w:t>
            </w:r>
            <w:r w:rsidRPr="005A1F62">
              <w:rPr>
                <w:lang w:val="en-US"/>
              </w:rPr>
              <w:t>CIR</w:t>
            </w:r>
            <w:r w:rsidRPr="005A1F62">
              <w:t>)</w:t>
            </w:r>
            <w:r w:rsidRPr="005A1F62">
              <w:t>, %</w:t>
            </w:r>
          </w:p>
        </w:tc>
        <w:tc>
          <w:tcPr>
            <w:tcW w:w="767" w:type="pct"/>
            <w:shd w:val="clear" w:color="auto" w:fill="auto"/>
            <w:noWrap/>
            <w:vAlign w:val="center"/>
            <w:hideMark/>
          </w:tcPr>
          <w:p w14:paraId="7E9E2E1F" w14:textId="77777777" w:rsidR="00E17E78" w:rsidRPr="005A1F62" w:rsidRDefault="00E17E78" w:rsidP="00E17E78">
            <w:pPr>
              <w:tabs>
                <w:tab w:val="left" w:pos="709"/>
              </w:tabs>
              <w:jc w:val="center"/>
            </w:pPr>
            <w:r w:rsidRPr="005A1F62">
              <w:t>70</w:t>
            </w:r>
          </w:p>
        </w:tc>
        <w:tc>
          <w:tcPr>
            <w:tcW w:w="366" w:type="pct"/>
            <w:shd w:val="clear" w:color="auto" w:fill="auto"/>
            <w:noWrap/>
            <w:vAlign w:val="center"/>
          </w:tcPr>
          <w:p w14:paraId="53C444BA" w14:textId="77777777" w:rsidR="006F5D57" w:rsidRPr="005A1F62" w:rsidRDefault="00E17E78" w:rsidP="008B25BE">
            <w:pPr>
              <w:tabs>
                <w:tab w:val="left" w:pos="709"/>
              </w:tabs>
              <w:jc w:val="center"/>
            </w:pPr>
            <w:r w:rsidRPr="005A1F62">
              <w:rPr>
                <w:sz w:val="20"/>
                <w:szCs w:val="20"/>
                <w:lang w:val="en-US"/>
              </w:rPr>
              <w:t>≥</w:t>
            </w:r>
            <w:r w:rsidRPr="005A1F62">
              <w:rPr>
                <w:sz w:val="20"/>
                <w:szCs w:val="20"/>
              </w:rPr>
              <w:t xml:space="preserve"> </w:t>
            </w:r>
            <w:r w:rsidR="006F5D57" w:rsidRPr="005A1F62">
              <w:t xml:space="preserve">120 </w:t>
            </w:r>
          </w:p>
          <w:p w14:paraId="155C571F" w14:textId="317F3822" w:rsidR="008B25BE" w:rsidRPr="005A1F62" w:rsidRDefault="008B25BE" w:rsidP="008B25BE">
            <w:pPr>
              <w:tabs>
                <w:tab w:val="left" w:pos="709"/>
              </w:tabs>
              <w:jc w:val="center"/>
              <w:rPr>
                <w:lang w:val="en-US"/>
              </w:rPr>
            </w:pPr>
            <w:r w:rsidRPr="005A1F62">
              <w:rPr>
                <w:lang w:val="en-US"/>
              </w:rPr>
              <w:t>/</w:t>
            </w:r>
            <w:r w:rsidR="006F5D57" w:rsidRPr="005A1F62">
              <w:t xml:space="preserve"> </w:t>
            </w:r>
            <w:r w:rsidRPr="005A1F62">
              <w:t>&lt;</w:t>
            </w:r>
            <w:r w:rsidR="006F5D57" w:rsidRPr="005A1F62">
              <w:t xml:space="preserve"> </w:t>
            </w:r>
            <w:r w:rsidRPr="005A1F62">
              <w:t>0</w:t>
            </w:r>
          </w:p>
        </w:tc>
        <w:tc>
          <w:tcPr>
            <w:tcW w:w="398" w:type="pct"/>
            <w:shd w:val="clear" w:color="auto" w:fill="auto"/>
            <w:noWrap/>
            <w:vAlign w:val="center"/>
          </w:tcPr>
          <w:p w14:paraId="12870BDE" w14:textId="0CCB6F17" w:rsidR="00E17E78" w:rsidRPr="005A1F62" w:rsidRDefault="00E17E78" w:rsidP="00E17E78">
            <w:pPr>
              <w:tabs>
                <w:tab w:val="left" w:pos="709"/>
              </w:tabs>
              <w:jc w:val="center"/>
            </w:pPr>
            <w:r w:rsidRPr="005A1F62">
              <w:rPr>
                <w:sz w:val="20"/>
                <w:szCs w:val="20"/>
              </w:rPr>
              <w:t xml:space="preserve">≤ </w:t>
            </w:r>
            <w:r w:rsidR="00534F0B" w:rsidRPr="005A1F62">
              <w:t>55</w:t>
            </w:r>
          </w:p>
        </w:tc>
      </w:tr>
    </w:tbl>
    <w:p w14:paraId="4350A610" w14:textId="77777777" w:rsidR="003E38FC" w:rsidRPr="005A1F62" w:rsidRDefault="003E38FC" w:rsidP="00DC2FED">
      <w:pPr>
        <w:tabs>
          <w:tab w:val="left" w:pos="709"/>
        </w:tabs>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3"/>
        <w:gridCol w:w="1446"/>
        <w:gridCol w:w="736"/>
        <w:gridCol w:w="750"/>
      </w:tblGrid>
      <w:tr w:rsidR="007F5797" w:rsidRPr="005A1F62" w14:paraId="5FBDEA6D" w14:textId="77777777" w:rsidTr="007F5797">
        <w:trPr>
          <w:trHeight w:val="20"/>
        </w:trPr>
        <w:tc>
          <w:tcPr>
            <w:tcW w:w="5000" w:type="pct"/>
            <w:gridSpan w:val="4"/>
            <w:shd w:val="clear" w:color="auto" w:fill="D9D9D9" w:themeFill="background1" w:themeFillShade="D9"/>
            <w:vAlign w:val="bottom"/>
          </w:tcPr>
          <w:p w14:paraId="3AD02F93" w14:textId="5E9A17E6" w:rsidR="007F5797" w:rsidRPr="005A1F62" w:rsidRDefault="007F5797" w:rsidP="00DC2FED">
            <w:pPr>
              <w:tabs>
                <w:tab w:val="left" w:pos="709"/>
              </w:tabs>
              <w:jc w:val="center"/>
              <w:rPr>
                <w:bCs/>
              </w:rPr>
            </w:pPr>
            <w:r w:rsidRPr="005A1F62">
              <w:rPr>
                <w:bCs/>
              </w:rPr>
              <w:t>БАНК, НЕ ЯВЛЯЮЩИЙСЯ СИСТЕМНО ЗНАЧИМЫМ</w:t>
            </w:r>
          </w:p>
        </w:tc>
      </w:tr>
      <w:tr w:rsidR="007F5797" w:rsidRPr="005A1F62" w14:paraId="29CF976D" w14:textId="77777777" w:rsidTr="00E17E78">
        <w:trPr>
          <w:trHeight w:val="20"/>
        </w:trPr>
        <w:tc>
          <w:tcPr>
            <w:tcW w:w="3447" w:type="pct"/>
            <w:shd w:val="clear" w:color="auto" w:fill="D9D9D9" w:themeFill="background1" w:themeFillShade="D9"/>
            <w:vAlign w:val="bottom"/>
            <w:hideMark/>
          </w:tcPr>
          <w:p w14:paraId="4CD2BFD6" w14:textId="25833AEE" w:rsidR="003E38FC" w:rsidRPr="005A1F62" w:rsidRDefault="007F5797" w:rsidP="00DC2FED">
            <w:pPr>
              <w:tabs>
                <w:tab w:val="left" w:pos="709"/>
              </w:tabs>
              <w:rPr>
                <w:bCs/>
              </w:rPr>
            </w:pPr>
            <w:r w:rsidRPr="005A1F62">
              <w:t>Показатель</w:t>
            </w:r>
            <w:r w:rsidRPr="005A1F62">
              <w:rPr>
                <w:bCs/>
              </w:rPr>
              <w:t>  </w:t>
            </w:r>
          </w:p>
        </w:tc>
        <w:tc>
          <w:tcPr>
            <w:tcW w:w="789" w:type="pct"/>
            <w:shd w:val="clear" w:color="auto" w:fill="D9D9D9" w:themeFill="background1" w:themeFillShade="D9"/>
            <w:noWrap/>
            <w:vAlign w:val="center"/>
            <w:hideMark/>
          </w:tcPr>
          <w:p w14:paraId="4C1646CA" w14:textId="64C5209F" w:rsidR="003E38FC" w:rsidRPr="005A1F62" w:rsidRDefault="007F5797" w:rsidP="007F5797">
            <w:pPr>
              <w:tabs>
                <w:tab w:val="left" w:pos="709"/>
              </w:tabs>
              <w:jc w:val="center"/>
              <w:rPr>
                <w:bCs/>
              </w:rPr>
            </w:pPr>
            <w:r w:rsidRPr="005A1F62">
              <w:rPr>
                <w:bCs/>
              </w:rPr>
              <w:t>Вес, %</w:t>
            </w:r>
          </w:p>
        </w:tc>
        <w:tc>
          <w:tcPr>
            <w:tcW w:w="347" w:type="pct"/>
            <w:shd w:val="clear" w:color="auto" w:fill="D9D9D9" w:themeFill="background1" w:themeFillShade="D9"/>
            <w:noWrap/>
            <w:vAlign w:val="center"/>
            <w:hideMark/>
          </w:tcPr>
          <w:p w14:paraId="0DA68941" w14:textId="77777777" w:rsidR="003E38FC" w:rsidRPr="005A1F62" w:rsidRDefault="003E38FC" w:rsidP="007F5797">
            <w:pPr>
              <w:tabs>
                <w:tab w:val="left" w:pos="709"/>
              </w:tabs>
              <w:jc w:val="center"/>
              <w:rPr>
                <w:bCs/>
              </w:rPr>
            </w:pPr>
            <w:r w:rsidRPr="005A1F62">
              <w:rPr>
                <w:bCs/>
              </w:rPr>
              <w:t>-1</w:t>
            </w:r>
          </w:p>
        </w:tc>
        <w:tc>
          <w:tcPr>
            <w:tcW w:w="416" w:type="pct"/>
            <w:shd w:val="clear" w:color="auto" w:fill="D9D9D9" w:themeFill="background1" w:themeFillShade="D9"/>
            <w:noWrap/>
            <w:vAlign w:val="center"/>
            <w:hideMark/>
          </w:tcPr>
          <w:p w14:paraId="48EC3C3C" w14:textId="77777777" w:rsidR="003E38FC" w:rsidRPr="005A1F62" w:rsidRDefault="003E38FC" w:rsidP="007F5797">
            <w:pPr>
              <w:tabs>
                <w:tab w:val="left" w:pos="709"/>
              </w:tabs>
              <w:jc w:val="center"/>
              <w:rPr>
                <w:bCs/>
              </w:rPr>
            </w:pPr>
            <w:r w:rsidRPr="005A1F62">
              <w:rPr>
                <w:bCs/>
              </w:rPr>
              <w:t>1</w:t>
            </w:r>
          </w:p>
        </w:tc>
      </w:tr>
      <w:tr w:rsidR="007F5797" w:rsidRPr="005A1F62" w14:paraId="4180BF74" w14:textId="77777777" w:rsidTr="00E17E78">
        <w:trPr>
          <w:trHeight w:val="20"/>
        </w:trPr>
        <w:tc>
          <w:tcPr>
            <w:tcW w:w="3447" w:type="pct"/>
            <w:shd w:val="clear" w:color="auto" w:fill="auto"/>
            <w:vAlign w:val="bottom"/>
            <w:hideMark/>
          </w:tcPr>
          <w:p w14:paraId="7F8719FC" w14:textId="77777777" w:rsidR="003E38FC" w:rsidRPr="005A1F62" w:rsidRDefault="003E38FC" w:rsidP="007F5797">
            <w:pPr>
              <w:tabs>
                <w:tab w:val="left" w:pos="709"/>
              </w:tabs>
              <w:jc w:val="both"/>
            </w:pPr>
            <w:r w:rsidRPr="005A1F62">
              <w:t>Расходы на обеспечение деятельности к активам</w:t>
            </w:r>
            <w:r w:rsidR="00F35B36" w:rsidRPr="005A1F62">
              <w:t>, %</w:t>
            </w:r>
          </w:p>
        </w:tc>
        <w:tc>
          <w:tcPr>
            <w:tcW w:w="789" w:type="pct"/>
            <w:shd w:val="clear" w:color="auto" w:fill="auto"/>
            <w:noWrap/>
            <w:vAlign w:val="center"/>
            <w:hideMark/>
          </w:tcPr>
          <w:p w14:paraId="7CFCCC4F" w14:textId="77777777" w:rsidR="003E38FC" w:rsidRPr="005A1F62" w:rsidRDefault="003E38FC" w:rsidP="007F5797">
            <w:pPr>
              <w:tabs>
                <w:tab w:val="left" w:pos="709"/>
              </w:tabs>
              <w:jc w:val="center"/>
            </w:pPr>
            <w:r w:rsidRPr="005A1F62">
              <w:t>30</w:t>
            </w:r>
          </w:p>
        </w:tc>
        <w:tc>
          <w:tcPr>
            <w:tcW w:w="347" w:type="pct"/>
            <w:shd w:val="clear" w:color="auto" w:fill="auto"/>
            <w:noWrap/>
            <w:vAlign w:val="center"/>
            <w:hideMark/>
          </w:tcPr>
          <w:p w14:paraId="0936E4F8" w14:textId="1979BE10" w:rsidR="003E38FC" w:rsidRPr="005A1F62" w:rsidRDefault="007F5797" w:rsidP="007F5797">
            <w:pPr>
              <w:tabs>
                <w:tab w:val="left" w:pos="709"/>
              </w:tabs>
              <w:jc w:val="center"/>
            </w:pPr>
            <w:r w:rsidRPr="005A1F62">
              <w:rPr>
                <w:lang w:val="en-US"/>
              </w:rPr>
              <w:t>≥</w:t>
            </w:r>
            <w:r w:rsidRPr="005A1F62">
              <w:t xml:space="preserve"> 8</w:t>
            </w:r>
          </w:p>
        </w:tc>
        <w:tc>
          <w:tcPr>
            <w:tcW w:w="416" w:type="pct"/>
            <w:shd w:val="clear" w:color="auto" w:fill="auto"/>
            <w:noWrap/>
            <w:vAlign w:val="center"/>
            <w:hideMark/>
          </w:tcPr>
          <w:p w14:paraId="19FAB1B9" w14:textId="4DF9BE3C" w:rsidR="003E38FC" w:rsidRPr="005A1F62" w:rsidRDefault="007F5797" w:rsidP="007F5797">
            <w:pPr>
              <w:tabs>
                <w:tab w:val="left" w:pos="709"/>
              </w:tabs>
              <w:jc w:val="center"/>
            </w:pPr>
            <w:r w:rsidRPr="005A1F62">
              <w:t>≤ 2</w:t>
            </w:r>
          </w:p>
        </w:tc>
      </w:tr>
      <w:tr w:rsidR="00E17E78" w:rsidRPr="005A1F62" w14:paraId="780AF82E" w14:textId="77777777" w:rsidTr="00E17E78">
        <w:trPr>
          <w:trHeight w:val="20"/>
        </w:trPr>
        <w:tc>
          <w:tcPr>
            <w:tcW w:w="3447" w:type="pct"/>
            <w:shd w:val="clear" w:color="auto" w:fill="auto"/>
            <w:vAlign w:val="bottom"/>
            <w:hideMark/>
          </w:tcPr>
          <w:p w14:paraId="033D964B" w14:textId="4863961B" w:rsidR="00E17E78" w:rsidRPr="005A1F62" w:rsidRDefault="00E17E78" w:rsidP="00E17E78">
            <w:pPr>
              <w:tabs>
                <w:tab w:val="left" w:pos="709"/>
              </w:tabs>
              <w:jc w:val="both"/>
            </w:pPr>
            <w:r w:rsidRPr="005A1F62">
              <w:t>Отношение операционных расходов к чистым доходам (</w:t>
            </w:r>
            <w:r w:rsidRPr="005A1F62">
              <w:rPr>
                <w:lang w:val="en-US"/>
              </w:rPr>
              <w:t>CIR</w:t>
            </w:r>
            <w:r w:rsidRPr="005A1F62">
              <w:t>)</w:t>
            </w:r>
            <w:r w:rsidRPr="005A1F62">
              <w:t>, %</w:t>
            </w:r>
          </w:p>
        </w:tc>
        <w:tc>
          <w:tcPr>
            <w:tcW w:w="789" w:type="pct"/>
            <w:shd w:val="clear" w:color="auto" w:fill="auto"/>
            <w:noWrap/>
            <w:vAlign w:val="center"/>
            <w:hideMark/>
          </w:tcPr>
          <w:p w14:paraId="6CBB63DB" w14:textId="77777777" w:rsidR="00E17E78" w:rsidRPr="005A1F62" w:rsidRDefault="00E17E78" w:rsidP="00E17E78">
            <w:pPr>
              <w:tabs>
                <w:tab w:val="left" w:pos="709"/>
              </w:tabs>
              <w:jc w:val="center"/>
            </w:pPr>
            <w:r w:rsidRPr="005A1F62">
              <w:t>70</w:t>
            </w:r>
          </w:p>
        </w:tc>
        <w:tc>
          <w:tcPr>
            <w:tcW w:w="347" w:type="pct"/>
            <w:shd w:val="clear" w:color="auto" w:fill="auto"/>
            <w:noWrap/>
            <w:vAlign w:val="center"/>
          </w:tcPr>
          <w:p w14:paraId="6B7A4903" w14:textId="77777777" w:rsidR="006F5D57" w:rsidRPr="005A1F62" w:rsidRDefault="008B25BE" w:rsidP="00E17E78">
            <w:pPr>
              <w:tabs>
                <w:tab w:val="left" w:pos="709"/>
              </w:tabs>
              <w:jc w:val="center"/>
            </w:pPr>
            <w:r w:rsidRPr="005A1F62">
              <w:rPr>
                <w:sz w:val="20"/>
                <w:szCs w:val="20"/>
                <w:lang w:val="en-US"/>
              </w:rPr>
              <w:t>≥</w:t>
            </w:r>
            <w:r w:rsidRPr="005A1F62">
              <w:rPr>
                <w:sz w:val="20"/>
                <w:szCs w:val="20"/>
              </w:rPr>
              <w:t xml:space="preserve"> </w:t>
            </w:r>
            <w:r w:rsidR="006F5D57" w:rsidRPr="005A1F62">
              <w:t xml:space="preserve">120 </w:t>
            </w:r>
          </w:p>
          <w:p w14:paraId="6BF2B3A2" w14:textId="0357CD4C" w:rsidR="00E17E78" w:rsidRPr="005A1F62" w:rsidRDefault="008B25BE" w:rsidP="00E17E78">
            <w:pPr>
              <w:tabs>
                <w:tab w:val="left" w:pos="709"/>
              </w:tabs>
              <w:jc w:val="center"/>
            </w:pPr>
            <w:r w:rsidRPr="005A1F62">
              <w:rPr>
                <w:lang w:val="en-US"/>
              </w:rPr>
              <w:t>/</w:t>
            </w:r>
            <w:r w:rsidR="006F5D57" w:rsidRPr="005A1F62">
              <w:t xml:space="preserve"> </w:t>
            </w:r>
            <w:r w:rsidRPr="005A1F62">
              <w:t>&lt;</w:t>
            </w:r>
            <w:r w:rsidR="006F5D57" w:rsidRPr="005A1F62">
              <w:t xml:space="preserve"> </w:t>
            </w:r>
            <w:r w:rsidRPr="005A1F62">
              <w:t>0</w:t>
            </w:r>
          </w:p>
        </w:tc>
        <w:tc>
          <w:tcPr>
            <w:tcW w:w="416" w:type="pct"/>
            <w:shd w:val="clear" w:color="auto" w:fill="auto"/>
            <w:noWrap/>
            <w:vAlign w:val="center"/>
          </w:tcPr>
          <w:p w14:paraId="58E22DFC" w14:textId="5EAC4019" w:rsidR="00E17E78" w:rsidRPr="005A1F62" w:rsidRDefault="00E17E78" w:rsidP="00E17E78">
            <w:pPr>
              <w:tabs>
                <w:tab w:val="left" w:pos="709"/>
              </w:tabs>
              <w:jc w:val="center"/>
            </w:pPr>
            <w:r w:rsidRPr="005A1F62">
              <w:t xml:space="preserve">≤ </w:t>
            </w:r>
            <w:r w:rsidR="00534F0B" w:rsidRPr="005A1F62">
              <w:t>55</w:t>
            </w:r>
          </w:p>
        </w:tc>
      </w:tr>
      <w:bookmarkEnd w:id="248"/>
    </w:tbl>
    <w:p w14:paraId="0EE1F427" w14:textId="76898D0B" w:rsidR="00680DB5" w:rsidRPr="005A1F62" w:rsidRDefault="00680DB5" w:rsidP="00DC2FED">
      <w:pPr>
        <w:tabs>
          <w:tab w:val="left" w:pos="709"/>
        </w:tabs>
        <w:rPr>
          <w:bCs/>
        </w:rPr>
      </w:pPr>
    </w:p>
    <w:p w14:paraId="47CE0521" w14:textId="77777777" w:rsidR="003E38FC" w:rsidRPr="005A1F62" w:rsidRDefault="003E38FC" w:rsidP="003C5D28">
      <w:pPr>
        <w:pStyle w:val="afb"/>
        <w:numPr>
          <w:ilvl w:val="0"/>
          <w:numId w:val="21"/>
        </w:numPr>
        <w:tabs>
          <w:tab w:val="left" w:pos="709"/>
        </w:tabs>
        <w:ind w:left="0" w:firstLine="567"/>
        <w:jc w:val="both"/>
        <w:rPr>
          <w:bCs/>
        </w:rPr>
      </w:pPr>
      <w:r w:rsidRPr="005A1F62">
        <w:rPr>
          <w:bCs/>
        </w:rPr>
        <w:t>ЛИКВИДНОСТЬ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851"/>
        <w:gridCol w:w="778"/>
        <w:gridCol w:w="779"/>
        <w:gridCol w:w="779"/>
        <w:gridCol w:w="778"/>
        <w:gridCol w:w="779"/>
        <w:gridCol w:w="778"/>
      </w:tblGrid>
      <w:tr w:rsidR="007308F6" w:rsidRPr="005A1F62" w14:paraId="7181BCB3" w14:textId="77777777" w:rsidTr="00D07979">
        <w:trPr>
          <w:trHeight w:val="315"/>
        </w:trPr>
        <w:tc>
          <w:tcPr>
            <w:tcW w:w="2045" w:type="pct"/>
            <w:vMerge w:val="restart"/>
            <w:shd w:val="clear" w:color="auto" w:fill="D9D9D9" w:themeFill="background1" w:themeFillShade="D9"/>
            <w:noWrap/>
            <w:vAlign w:val="center"/>
          </w:tcPr>
          <w:p w14:paraId="33C2BF38" w14:textId="77777777" w:rsidR="007308F6" w:rsidRPr="005A1F62" w:rsidRDefault="007308F6" w:rsidP="00D07979">
            <w:pPr>
              <w:rPr>
                <w:sz w:val="20"/>
                <w:szCs w:val="20"/>
              </w:rPr>
            </w:pPr>
            <w:r w:rsidRPr="005A1F62">
              <w:rPr>
                <w:sz w:val="20"/>
                <w:szCs w:val="20"/>
              </w:rPr>
              <w:t>Показатель</w:t>
            </w:r>
          </w:p>
        </w:tc>
        <w:tc>
          <w:tcPr>
            <w:tcW w:w="455" w:type="pct"/>
            <w:vMerge w:val="restart"/>
            <w:shd w:val="clear" w:color="auto" w:fill="D9D9D9" w:themeFill="background1" w:themeFillShade="D9"/>
            <w:noWrap/>
            <w:vAlign w:val="center"/>
          </w:tcPr>
          <w:p w14:paraId="512E9318" w14:textId="17B9D606" w:rsidR="007308F6" w:rsidRPr="005A1F62" w:rsidRDefault="007308F6" w:rsidP="00D07979">
            <w:pPr>
              <w:jc w:val="center"/>
              <w:rPr>
                <w:bCs/>
                <w:sz w:val="20"/>
                <w:szCs w:val="20"/>
              </w:rPr>
            </w:pPr>
            <w:r w:rsidRPr="005A1F62">
              <w:rPr>
                <w:bCs/>
                <w:sz w:val="20"/>
                <w:szCs w:val="20"/>
              </w:rPr>
              <w:t>Вес,</w:t>
            </w:r>
            <w:r w:rsidR="00C7612B" w:rsidRPr="005A1F62">
              <w:rPr>
                <w:bCs/>
                <w:sz w:val="20"/>
                <w:szCs w:val="20"/>
              </w:rPr>
              <w:t xml:space="preserve"> </w:t>
            </w:r>
            <w:r w:rsidRPr="005A1F62">
              <w:rPr>
                <w:bCs/>
                <w:sz w:val="20"/>
                <w:szCs w:val="20"/>
              </w:rPr>
              <w:t>%</w:t>
            </w:r>
          </w:p>
        </w:tc>
        <w:tc>
          <w:tcPr>
            <w:tcW w:w="833" w:type="pct"/>
            <w:gridSpan w:val="2"/>
            <w:shd w:val="clear" w:color="auto" w:fill="D9D9D9" w:themeFill="background1" w:themeFillShade="D9"/>
            <w:noWrap/>
            <w:vAlign w:val="center"/>
          </w:tcPr>
          <w:p w14:paraId="02CDF210" w14:textId="77777777" w:rsidR="007308F6" w:rsidRPr="005A1F62" w:rsidRDefault="007308F6" w:rsidP="00D07979">
            <w:pPr>
              <w:jc w:val="center"/>
              <w:rPr>
                <w:bCs/>
                <w:sz w:val="20"/>
                <w:szCs w:val="20"/>
              </w:rPr>
            </w:pPr>
            <w:r w:rsidRPr="005A1F62">
              <w:rPr>
                <w:bCs/>
                <w:sz w:val="20"/>
                <w:szCs w:val="20"/>
              </w:rPr>
              <w:t>Системно значимый банк</w:t>
            </w:r>
          </w:p>
        </w:tc>
        <w:tc>
          <w:tcPr>
            <w:tcW w:w="833" w:type="pct"/>
            <w:gridSpan w:val="2"/>
            <w:shd w:val="clear" w:color="auto" w:fill="D9D9D9" w:themeFill="background1" w:themeFillShade="D9"/>
            <w:noWrap/>
            <w:vAlign w:val="center"/>
          </w:tcPr>
          <w:p w14:paraId="31CC0A55" w14:textId="77777777" w:rsidR="007308F6" w:rsidRPr="005A1F62" w:rsidRDefault="007308F6" w:rsidP="00D07979">
            <w:pPr>
              <w:jc w:val="center"/>
              <w:rPr>
                <w:bCs/>
                <w:sz w:val="20"/>
                <w:szCs w:val="20"/>
              </w:rPr>
            </w:pPr>
            <w:r w:rsidRPr="005A1F62">
              <w:rPr>
                <w:bCs/>
                <w:sz w:val="20"/>
                <w:szCs w:val="20"/>
              </w:rPr>
              <w:t>Банк, не являющийся системно значимым, с универсальной лицензией</w:t>
            </w:r>
          </w:p>
        </w:tc>
        <w:tc>
          <w:tcPr>
            <w:tcW w:w="833" w:type="pct"/>
            <w:gridSpan w:val="2"/>
            <w:shd w:val="clear" w:color="auto" w:fill="D9D9D9" w:themeFill="background1" w:themeFillShade="D9"/>
            <w:noWrap/>
            <w:vAlign w:val="center"/>
          </w:tcPr>
          <w:p w14:paraId="7BB53366" w14:textId="77777777" w:rsidR="007308F6" w:rsidRPr="005A1F62" w:rsidRDefault="007308F6" w:rsidP="00D07979">
            <w:pPr>
              <w:jc w:val="center"/>
              <w:rPr>
                <w:bCs/>
                <w:sz w:val="20"/>
                <w:szCs w:val="20"/>
              </w:rPr>
            </w:pPr>
            <w:r w:rsidRPr="005A1F62">
              <w:rPr>
                <w:bCs/>
                <w:sz w:val="20"/>
                <w:szCs w:val="20"/>
              </w:rPr>
              <w:t>Банк с базовой лицензией</w:t>
            </w:r>
          </w:p>
        </w:tc>
      </w:tr>
      <w:tr w:rsidR="007308F6" w:rsidRPr="005A1F62" w14:paraId="71303556" w14:textId="77777777" w:rsidTr="00D07979">
        <w:trPr>
          <w:trHeight w:val="315"/>
        </w:trPr>
        <w:tc>
          <w:tcPr>
            <w:tcW w:w="2045" w:type="pct"/>
            <w:vMerge/>
            <w:shd w:val="clear" w:color="auto" w:fill="D9D9D9" w:themeFill="background1" w:themeFillShade="D9"/>
            <w:noWrap/>
            <w:vAlign w:val="bottom"/>
            <w:hideMark/>
          </w:tcPr>
          <w:p w14:paraId="1931078E" w14:textId="77777777" w:rsidR="007308F6" w:rsidRPr="005A1F62" w:rsidRDefault="007308F6" w:rsidP="00D07979">
            <w:pPr>
              <w:jc w:val="both"/>
              <w:rPr>
                <w:sz w:val="20"/>
                <w:szCs w:val="20"/>
              </w:rPr>
            </w:pPr>
          </w:p>
        </w:tc>
        <w:tc>
          <w:tcPr>
            <w:tcW w:w="455" w:type="pct"/>
            <w:vMerge/>
            <w:shd w:val="clear" w:color="auto" w:fill="D9D9D9" w:themeFill="background1" w:themeFillShade="D9"/>
            <w:noWrap/>
            <w:vAlign w:val="center"/>
            <w:hideMark/>
          </w:tcPr>
          <w:p w14:paraId="08FB950D" w14:textId="77777777" w:rsidR="007308F6" w:rsidRPr="005A1F62" w:rsidRDefault="007308F6" w:rsidP="00D07979">
            <w:pPr>
              <w:jc w:val="center"/>
              <w:rPr>
                <w:bCs/>
                <w:sz w:val="20"/>
                <w:szCs w:val="20"/>
              </w:rPr>
            </w:pPr>
          </w:p>
        </w:tc>
        <w:tc>
          <w:tcPr>
            <w:tcW w:w="416" w:type="pct"/>
            <w:shd w:val="clear" w:color="auto" w:fill="D9D9D9" w:themeFill="background1" w:themeFillShade="D9"/>
            <w:noWrap/>
            <w:vAlign w:val="center"/>
            <w:hideMark/>
          </w:tcPr>
          <w:p w14:paraId="3691CB9F" w14:textId="77777777" w:rsidR="007308F6" w:rsidRPr="005A1F62" w:rsidRDefault="007308F6" w:rsidP="00D07979">
            <w:pPr>
              <w:jc w:val="center"/>
              <w:rPr>
                <w:bCs/>
                <w:sz w:val="20"/>
                <w:szCs w:val="20"/>
              </w:rPr>
            </w:pPr>
            <w:r w:rsidRPr="005A1F62">
              <w:rPr>
                <w:bCs/>
                <w:sz w:val="20"/>
                <w:szCs w:val="20"/>
              </w:rPr>
              <w:t>-1</w:t>
            </w:r>
          </w:p>
        </w:tc>
        <w:tc>
          <w:tcPr>
            <w:tcW w:w="417" w:type="pct"/>
            <w:shd w:val="clear" w:color="auto" w:fill="D9D9D9" w:themeFill="background1" w:themeFillShade="D9"/>
            <w:noWrap/>
            <w:vAlign w:val="center"/>
            <w:hideMark/>
          </w:tcPr>
          <w:p w14:paraId="123D5992" w14:textId="77777777" w:rsidR="007308F6" w:rsidRPr="005A1F62" w:rsidRDefault="007308F6" w:rsidP="00D07979">
            <w:pPr>
              <w:jc w:val="center"/>
              <w:rPr>
                <w:bCs/>
                <w:sz w:val="20"/>
                <w:szCs w:val="20"/>
              </w:rPr>
            </w:pPr>
            <w:r w:rsidRPr="005A1F62">
              <w:rPr>
                <w:bCs/>
                <w:sz w:val="20"/>
                <w:szCs w:val="20"/>
              </w:rPr>
              <w:t>1</w:t>
            </w:r>
          </w:p>
        </w:tc>
        <w:tc>
          <w:tcPr>
            <w:tcW w:w="417" w:type="pct"/>
            <w:shd w:val="clear" w:color="auto" w:fill="D9D9D9" w:themeFill="background1" w:themeFillShade="D9"/>
            <w:noWrap/>
            <w:vAlign w:val="center"/>
            <w:hideMark/>
          </w:tcPr>
          <w:p w14:paraId="56A20277" w14:textId="77777777" w:rsidR="007308F6" w:rsidRPr="005A1F62" w:rsidRDefault="007308F6" w:rsidP="00D07979">
            <w:pPr>
              <w:jc w:val="center"/>
              <w:rPr>
                <w:bCs/>
                <w:sz w:val="20"/>
                <w:szCs w:val="20"/>
              </w:rPr>
            </w:pPr>
            <w:r w:rsidRPr="005A1F62">
              <w:rPr>
                <w:bCs/>
                <w:sz w:val="20"/>
                <w:szCs w:val="20"/>
              </w:rPr>
              <w:t>-1</w:t>
            </w:r>
          </w:p>
        </w:tc>
        <w:tc>
          <w:tcPr>
            <w:tcW w:w="416" w:type="pct"/>
            <w:shd w:val="clear" w:color="auto" w:fill="D9D9D9" w:themeFill="background1" w:themeFillShade="D9"/>
            <w:noWrap/>
            <w:vAlign w:val="center"/>
            <w:hideMark/>
          </w:tcPr>
          <w:p w14:paraId="20457390" w14:textId="77777777" w:rsidR="007308F6" w:rsidRPr="005A1F62" w:rsidRDefault="007308F6" w:rsidP="00D07979">
            <w:pPr>
              <w:jc w:val="center"/>
              <w:rPr>
                <w:bCs/>
                <w:sz w:val="20"/>
                <w:szCs w:val="20"/>
              </w:rPr>
            </w:pPr>
            <w:r w:rsidRPr="005A1F62">
              <w:rPr>
                <w:bCs/>
                <w:sz w:val="20"/>
                <w:szCs w:val="20"/>
              </w:rPr>
              <w:t>1</w:t>
            </w:r>
          </w:p>
        </w:tc>
        <w:tc>
          <w:tcPr>
            <w:tcW w:w="417" w:type="pct"/>
            <w:shd w:val="clear" w:color="auto" w:fill="D9D9D9" w:themeFill="background1" w:themeFillShade="D9"/>
            <w:noWrap/>
            <w:vAlign w:val="center"/>
            <w:hideMark/>
          </w:tcPr>
          <w:p w14:paraId="236F171B" w14:textId="77777777" w:rsidR="007308F6" w:rsidRPr="005A1F62" w:rsidRDefault="007308F6" w:rsidP="00D07979">
            <w:pPr>
              <w:jc w:val="center"/>
              <w:rPr>
                <w:bCs/>
                <w:sz w:val="20"/>
                <w:szCs w:val="20"/>
              </w:rPr>
            </w:pPr>
            <w:r w:rsidRPr="005A1F62">
              <w:rPr>
                <w:bCs/>
                <w:sz w:val="20"/>
                <w:szCs w:val="20"/>
              </w:rPr>
              <w:t>-1</w:t>
            </w:r>
          </w:p>
        </w:tc>
        <w:tc>
          <w:tcPr>
            <w:tcW w:w="416" w:type="pct"/>
            <w:shd w:val="clear" w:color="auto" w:fill="D9D9D9" w:themeFill="background1" w:themeFillShade="D9"/>
            <w:noWrap/>
            <w:vAlign w:val="center"/>
            <w:hideMark/>
          </w:tcPr>
          <w:p w14:paraId="77D63EB2" w14:textId="77777777" w:rsidR="007308F6" w:rsidRPr="005A1F62" w:rsidRDefault="007308F6" w:rsidP="00D07979">
            <w:pPr>
              <w:jc w:val="center"/>
              <w:rPr>
                <w:bCs/>
                <w:sz w:val="20"/>
                <w:szCs w:val="20"/>
              </w:rPr>
            </w:pPr>
            <w:r w:rsidRPr="005A1F62">
              <w:rPr>
                <w:bCs/>
                <w:sz w:val="20"/>
                <w:szCs w:val="20"/>
              </w:rPr>
              <w:t>1</w:t>
            </w:r>
          </w:p>
        </w:tc>
      </w:tr>
      <w:tr w:rsidR="007308F6" w:rsidRPr="005A1F62" w14:paraId="5DE283DF" w14:textId="77777777" w:rsidTr="00D07979">
        <w:trPr>
          <w:trHeight w:val="465"/>
        </w:trPr>
        <w:tc>
          <w:tcPr>
            <w:tcW w:w="2045" w:type="pct"/>
            <w:shd w:val="clear" w:color="auto" w:fill="auto"/>
            <w:vAlign w:val="center"/>
            <w:hideMark/>
          </w:tcPr>
          <w:p w14:paraId="617B1C0D" w14:textId="77777777" w:rsidR="007308F6" w:rsidRPr="005A1F62" w:rsidRDefault="007308F6" w:rsidP="00D07979">
            <w:pPr>
              <w:jc w:val="both"/>
              <w:rPr>
                <w:color w:val="000000"/>
                <w:sz w:val="20"/>
                <w:szCs w:val="20"/>
              </w:rPr>
            </w:pPr>
            <w:r w:rsidRPr="005A1F62">
              <w:rPr>
                <w:color w:val="000000"/>
                <w:sz w:val="20"/>
                <w:szCs w:val="20"/>
              </w:rPr>
              <w:t>Норматив мгновенной ликвидности (Н2) - для банка с универсальной лицензией / соотношение высоколиквидных активов и обязательств по счетам до востребования - для банка с базовой лицензией</w:t>
            </w:r>
          </w:p>
        </w:tc>
        <w:tc>
          <w:tcPr>
            <w:tcW w:w="455" w:type="pct"/>
            <w:vMerge w:val="restart"/>
            <w:shd w:val="clear" w:color="auto" w:fill="auto"/>
            <w:noWrap/>
            <w:vAlign w:val="center"/>
            <w:hideMark/>
          </w:tcPr>
          <w:p w14:paraId="4AF009A5" w14:textId="77777777" w:rsidR="007308F6" w:rsidRPr="005A1F62" w:rsidRDefault="007308F6" w:rsidP="00D07979">
            <w:pPr>
              <w:jc w:val="center"/>
              <w:rPr>
                <w:color w:val="000000"/>
                <w:sz w:val="20"/>
                <w:szCs w:val="20"/>
              </w:rPr>
            </w:pPr>
            <w:r w:rsidRPr="005A1F62">
              <w:rPr>
                <w:color w:val="000000"/>
                <w:sz w:val="20"/>
                <w:szCs w:val="20"/>
              </w:rPr>
              <w:t>50*</w:t>
            </w:r>
          </w:p>
          <w:p w14:paraId="75AEE07F" w14:textId="77777777" w:rsidR="007308F6" w:rsidRPr="005A1F62" w:rsidRDefault="007308F6" w:rsidP="00D07979">
            <w:pPr>
              <w:jc w:val="center"/>
              <w:rPr>
                <w:color w:val="000000"/>
                <w:sz w:val="20"/>
                <w:szCs w:val="20"/>
              </w:rPr>
            </w:pPr>
            <w:r w:rsidRPr="005A1F62">
              <w:rPr>
                <w:color w:val="000000"/>
                <w:sz w:val="20"/>
                <w:szCs w:val="20"/>
              </w:rPr>
              <w:t>минимум</w:t>
            </w:r>
          </w:p>
        </w:tc>
        <w:tc>
          <w:tcPr>
            <w:tcW w:w="416" w:type="pct"/>
            <w:shd w:val="clear" w:color="auto" w:fill="auto"/>
            <w:noWrap/>
            <w:vAlign w:val="center"/>
            <w:hideMark/>
          </w:tcPr>
          <w:p w14:paraId="50E75502" w14:textId="77777777" w:rsidR="007308F6" w:rsidRPr="005A1F62" w:rsidRDefault="007308F6" w:rsidP="00D07979">
            <w:pPr>
              <w:jc w:val="center"/>
              <w:rPr>
                <w:color w:val="000000"/>
                <w:sz w:val="20"/>
                <w:szCs w:val="20"/>
              </w:rPr>
            </w:pPr>
            <w:r w:rsidRPr="005A1F62">
              <w:rPr>
                <w:color w:val="000000"/>
                <w:sz w:val="20"/>
                <w:szCs w:val="20"/>
              </w:rPr>
              <w:t>≤ 18</w:t>
            </w:r>
          </w:p>
        </w:tc>
        <w:tc>
          <w:tcPr>
            <w:tcW w:w="417" w:type="pct"/>
            <w:shd w:val="clear" w:color="auto" w:fill="auto"/>
            <w:noWrap/>
            <w:vAlign w:val="center"/>
            <w:hideMark/>
          </w:tcPr>
          <w:p w14:paraId="55B504B8" w14:textId="77777777" w:rsidR="007308F6" w:rsidRPr="005A1F62" w:rsidRDefault="007308F6" w:rsidP="00D07979">
            <w:pPr>
              <w:jc w:val="center"/>
              <w:rPr>
                <w:color w:val="000000"/>
                <w:sz w:val="20"/>
                <w:szCs w:val="20"/>
              </w:rPr>
            </w:pPr>
            <w:r w:rsidRPr="005A1F62">
              <w:rPr>
                <w:color w:val="000000"/>
                <w:sz w:val="20"/>
                <w:szCs w:val="20"/>
              </w:rPr>
              <w:t>≥ 54</w:t>
            </w:r>
          </w:p>
        </w:tc>
        <w:tc>
          <w:tcPr>
            <w:tcW w:w="417" w:type="pct"/>
            <w:shd w:val="clear" w:color="auto" w:fill="auto"/>
            <w:noWrap/>
            <w:vAlign w:val="center"/>
            <w:hideMark/>
          </w:tcPr>
          <w:p w14:paraId="1C82DC44" w14:textId="77777777" w:rsidR="007308F6" w:rsidRPr="005A1F62" w:rsidRDefault="007308F6" w:rsidP="00D07979">
            <w:pPr>
              <w:jc w:val="center"/>
              <w:rPr>
                <w:color w:val="000000"/>
                <w:sz w:val="20"/>
                <w:szCs w:val="20"/>
              </w:rPr>
            </w:pPr>
            <w:r w:rsidRPr="005A1F62">
              <w:rPr>
                <w:color w:val="000000"/>
                <w:sz w:val="20"/>
                <w:szCs w:val="20"/>
              </w:rPr>
              <w:t>≤ 20</w:t>
            </w:r>
          </w:p>
        </w:tc>
        <w:tc>
          <w:tcPr>
            <w:tcW w:w="416" w:type="pct"/>
            <w:shd w:val="clear" w:color="auto" w:fill="auto"/>
            <w:noWrap/>
            <w:vAlign w:val="center"/>
            <w:hideMark/>
          </w:tcPr>
          <w:p w14:paraId="6348D2E0" w14:textId="77777777" w:rsidR="007308F6" w:rsidRPr="005A1F62" w:rsidRDefault="007308F6" w:rsidP="00D07979">
            <w:pPr>
              <w:jc w:val="center"/>
              <w:rPr>
                <w:color w:val="000000"/>
                <w:sz w:val="20"/>
                <w:szCs w:val="20"/>
              </w:rPr>
            </w:pPr>
            <w:r w:rsidRPr="005A1F62">
              <w:rPr>
                <w:color w:val="000000"/>
                <w:sz w:val="20"/>
                <w:szCs w:val="20"/>
              </w:rPr>
              <w:t>≥ 60</w:t>
            </w:r>
          </w:p>
        </w:tc>
        <w:tc>
          <w:tcPr>
            <w:tcW w:w="417" w:type="pct"/>
            <w:shd w:val="clear" w:color="auto" w:fill="auto"/>
            <w:noWrap/>
            <w:vAlign w:val="center"/>
            <w:hideMark/>
          </w:tcPr>
          <w:p w14:paraId="7BCEC1B9" w14:textId="77777777" w:rsidR="007308F6" w:rsidRPr="005A1F62" w:rsidRDefault="007308F6" w:rsidP="00D07979">
            <w:pPr>
              <w:jc w:val="center"/>
              <w:rPr>
                <w:color w:val="000000"/>
                <w:sz w:val="20"/>
                <w:szCs w:val="20"/>
              </w:rPr>
            </w:pPr>
            <w:r w:rsidRPr="005A1F62">
              <w:rPr>
                <w:color w:val="000000"/>
                <w:sz w:val="20"/>
                <w:szCs w:val="20"/>
              </w:rPr>
              <w:t>≤ 20</w:t>
            </w:r>
          </w:p>
        </w:tc>
        <w:tc>
          <w:tcPr>
            <w:tcW w:w="416" w:type="pct"/>
            <w:shd w:val="clear" w:color="auto" w:fill="auto"/>
            <w:noWrap/>
            <w:vAlign w:val="center"/>
            <w:hideMark/>
          </w:tcPr>
          <w:p w14:paraId="45EADB0E" w14:textId="77777777" w:rsidR="007308F6" w:rsidRPr="005A1F62" w:rsidRDefault="007308F6" w:rsidP="00D07979">
            <w:pPr>
              <w:jc w:val="center"/>
              <w:rPr>
                <w:color w:val="000000"/>
                <w:sz w:val="20"/>
                <w:szCs w:val="20"/>
              </w:rPr>
            </w:pPr>
            <w:r w:rsidRPr="005A1F62">
              <w:rPr>
                <w:color w:val="000000"/>
                <w:sz w:val="20"/>
                <w:szCs w:val="20"/>
              </w:rPr>
              <w:t>≥ 60</w:t>
            </w:r>
          </w:p>
        </w:tc>
      </w:tr>
      <w:tr w:rsidR="007308F6" w:rsidRPr="005A1F62" w14:paraId="37C05ED0" w14:textId="77777777" w:rsidTr="00D07979">
        <w:trPr>
          <w:trHeight w:val="315"/>
        </w:trPr>
        <w:tc>
          <w:tcPr>
            <w:tcW w:w="2045" w:type="pct"/>
            <w:shd w:val="clear" w:color="auto" w:fill="auto"/>
            <w:vAlign w:val="center"/>
            <w:hideMark/>
          </w:tcPr>
          <w:p w14:paraId="55E9EF68" w14:textId="77777777" w:rsidR="007308F6" w:rsidRPr="005A1F62" w:rsidRDefault="007308F6" w:rsidP="00D07979">
            <w:pPr>
              <w:jc w:val="both"/>
              <w:rPr>
                <w:color w:val="000000"/>
                <w:sz w:val="20"/>
                <w:szCs w:val="20"/>
              </w:rPr>
            </w:pPr>
            <w:r w:rsidRPr="005A1F62">
              <w:rPr>
                <w:color w:val="000000"/>
                <w:sz w:val="20"/>
                <w:szCs w:val="20"/>
              </w:rPr>
              <w:t>Скорректированный норматив мгновенной ликвидности (Н2 без учета Овм*)</w:t>
            </w:r>
          </w:p>
        </w:tc>
        <w:tc>
          <w:tcPr>
            <w:tcW w:w="455" w:type="pct"/>
            <w:vMerge/>
            <w:vAlign w:val="center"/>
            <w:hideMark/>
          </w:tcPr>
          <w:p w14:paraId="0A924A1E" w14:textId="77777777" w:rsidR="007308F6" w:rsidRPr="005A1F62" w:rsidRDefault="007308F6" w:rsidP="00D07979">
            <w:pPr>
              <w:jc w:val="center"/>
              <w:rPr>
                <w:color w:val="000000"/>
                <w:sz w:val="20"/>
                <w:szCs w:val="20"/>
              </w:rPr>
            </w:pPr>
          </w:p>
        </w:tc>
        <w:tc>
          <w:tcPr>
            <w:tcW w:w="416" w:type="pct"/>
            <w:shd w:val="clear" w:color="auto" w:fill="auto"/>
            <w:noWrap/>
            <w:vAlign w:val="center"/>
            <w:hideMark/>
          </w:tcPr>
          <w:p w14:paraId="29321281" w14:textId="77777777" w:rsidR="007308F6" w:rsidRPr="005A1F62" w:rsidRDefault="007308F6" w:rsidP="00D07979">
            <w:pPr>
              <w:jc w:val="center"/>
              <w:rPr>
                <w:color w:val="000000"/>
                <w:sz w:val="20"/>
                <w:szCs w:val="20"/>
              </w:rPr>
            </w:pPr>
            <w:r w:rsidRPr="005A1F62">
              <w:rPr>
                <w:color w:val="000000"/>
                <w:sz w:val="20"/>
                <w:szCs w:val="20"/>
              </w:rPr>
              <w:t>≤ 14</w:t>
            </w:r>
          </w:p>
        </w:tc>
        <w:tc>
          <w:tcPr>
            <w:tcW w:w="417" w:type="pct"/>
            <w:shd w:val="clear" w:color="auto" w:fill="auto"/>
            <w:noWrap/>
            <w:vAlign w:val="center"/>
            <w:hideMark/>
          </w:tcPr>
          <w:p w14:paraId="00FC9BC9" w14:textId="77777777" w:rsidR="007308F6" w:rsidRPr="005A1F62" w:rsidRDefault="007308F6" w:rsidP="00D07979">
            <w:pPr>
              <w:jc w:val="center"/>
              <w:rPr>
                <w:color w:val="000000"/>
                <w:sz w:val="20"/>
                <w:szCs w:val="20"/>
              </w:rPr>
            </w:pPr>
            <w:r w:rsidRPr="005A1F62">
              <w:rPr>
                <w:color w:val="000000"/>
                <w:sz w:val="20"/>
                <w:szCs w:val="20"/>
              </w:rPr>
              <w:t>≥ 42</w:t>
            </w:r>
          </w:p>
        </w:tc>
        <w:tc>
          <w:tcPr>
            <w:tcW w:w="417" w:type="pct"/>
            <w:shd w:val="clear" w:color="auto" w:fill="auto"/>
            <w:noWrap/>
            <w:vAlign w:val="center"/>
            <w:hideMark/>
          </w:tcPr>
          <w:p w14:paraId="75F114FB" w14:textId="77777777" w:rsidR="007308F6" w:rsidRPr="005A1F62" w:rsidRDefault="007308F6" w:rsidP="00D07979">
            <w:pPr>
              <w:jc w:val="center"/>
              <w:rPr>
                <w:color w:val="000000"/>
                <w:sz w:val="20"/>
                <w:szCs w:val="20"/>
              </w:rPr>
            </w:pPr>
            <w:r w:rsidRPr="005A1F62">
              <w:rPr>
                <w:color w:val="000000"/>
                <w:sz w:val="20"/>
                <w:szCs w:val="20"/>
              </w:rPr>
              <w:t>≤ 18</w:t>
            </w:r>
          </w:p>
        </w:tc>
        <w:tc>
          <w:tcPr>
            <w:tcW w:w="416" w:type="pct"/>
            <w:shd w:val="clear" w:color="auto" w:fill="auto"/>
            <w:noWrap/>
            <w:vAlign w:val="center"/>
            <w:hideMark/>
          </w:tcPr>
          <w:p w14:paraId="3CBECC68" w14:textId="77777777" w:rsidR="007308F6" w:rsidRPr="005A1F62" w:rsidRDefault="007308F6" w:rsidP="00D07979">
            <w:pPr>
              <w:jc w:val="center"/>
              <w:rPr>
                <w:color w:val="000000"/>
                <w:sz w:val="20"/>
                <w:szCs w:val="20"/>
              </w:rPr>
            </w:pPr>
            <w:r w:rsidRPr="005A1F62">
              <w:rPr>
                <w:color w:val="000000"/>
                <w:sz w:val="20"/>
                <w:szCs w:val="20"/>
              </w:rPr>
              <w:t>≥ 55</w:t>
            </w:r>
          </w:p>
        </w:tc>
        <w:tc>
          <w:tcPr>
            <w:tcW w:w="417" w:type="pct"/>
            <w:shd w:val="clear" w:color="auto" w:fill="auto"/>
            <w:noWrap/>
            <w:vAlign w:val="center"/>
            <w:hideMark/>
          </w:tcPr>
          <w:p w14:paraId="7EB49475"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70B0552C" w14:textId="77777777" w:rsidR="007308F6" w:rsidRPr="005A1F62" w:rsidRDefault="007308F6" w:rsidP="00D07979">
            <w:pPr>
              <w:jc w:val="center"/>
              <w:rPr>
                <w:color w:val="000000"/>
                <w:sz w:val="20"/>
                <w:szCs w:val="20"/>
              </w:rPr>
            </w:pPr>
            <w:r w:rsidRPr="005A1F62">
              <w:rPr>
                <w:color w:val="000000"/>
                <w:sz w:val="20"/>
                <w:szCs w:val="20"/>
              </w:rPr>
              <w:t>не оцен.</w:t>
            </w:r>
          </w:p>
        </w:tc>
      </w:tr>
      <w:tr w:rsidR="007308F6" w:rsidRPr="005A1F62" w14:paraId="0AA8027A" w14:textId="77777777" w:rsidTr="00D07979">
        <w:trPr>
          <w:trHeight w:val="1590"/>
        </w:trPr>
        <w:tc>
          <w:tcPr>
            <w:tcW w:w="2045" w:type="pct"/>
            <w:shd w:val="clear" w:color="auto" w:fill="auto"/>
            <w:vAlign w:val="center"/>
            <w:hideMark/>
          </w:tcPr>
          <w:p w14:paraId="6A0225B4" w14:textId="77777777" w:rsidR="007308F6" w:rsidRPr="005A1F62" w:rsidRDefault="007308F6" w:rsidP="00D07979">
            <w:pPr>
              <w:jc w:val="both"/>
              <w:rPr>
                <w:color w:val="000000"/>
                <w:sz w:val="20"/>
                <w:szCs w:val="20"/>
              </w:rPr>
            </w:pPr>
            <w:r w:rsidRPr="005A1F62">
              <w:rPr>
                <w:color w:val="000000"/>
                <w:sz w:val="20"/>
                <w:szCs w:val="20"/>
              </w:rPr>
              <w:t xml:space="preserve">Устойчивость запаса ликвидности к досрочному изъятию средств (доля привлеченных средств срочностью свыше 1 дня за исключением субординированных депозитов (кредитов) и иных средств без возможности досрочного изъятия на оцениваемом горизонте, досрочное изъятие которой за 1 день приведет к нарушению норматива Н2) - для банка с универсальной лицензией / устойчивость запаса ликвидности к досрочному изъятию средств (доля привлеченных средств срочностью свыше 1 дня за исключением субординированных депозитов </w:t>
            </w:r>
            <w:r w:rsidRPr="005A1F62">
              <w:rPr>
                <w:color w:val="000000"/>
                <w:sz w:val="20"/>
                <w:szCs w:val="20"/>
              </w:rPr>
              <w:lastRenderedPageBreak/>
              <w:t>(кредитов), и иных средств без возможности досрочного изъятия на оцениваемом горизонте, досрочное изъятие которой за 1 день приведет к полному истощению запаса высоколиквидных активов) - для банка с базовой лицензией</w:t>
            </w:r>
          </w:p>
        </w:tc>
        <w:tc>
          <w:tcPr>
            <w:tcW w:w="455" w:type="pct"/>
            <w:vMerge/>
            <w:vAlign w:val="center"/>
            <w:hideMark/>
          </w:tcPr>
          <w:p w14:paraId="6F6D69EA" w14:textId="77777777" w:rsidR="007308F6" w:rsidRPr="005A1F62" w:rsidRDefault="007308F6" w:rsidP="00D07979">
            <w:pPr>
              <w:jc w:val="center"/>
              <w:rPr>
                <w:color w:val="000000"/>
                <w:sz w:val="20"/>
                <w:szCs w:val="20"/>
              </w:rPr>
            </w:pPr>
          </w:p>
        </w:tc>
        <w:tc>
          <w:tcPr>
            <w:tcW w:w="416" w:type="pct"/>
            <w:shd w:val="clear" w:color="auto" w:fill="auto"/>
            <w:noWrap/>
            <w:vAlign w:val="center"/>
            <w:hideMark/>
          </w:tcPr>
          <w:p w14:paraId="53853C0E" w14:textId="77777777" w:rsidR="007308F6" w:rsidRPr="005A1F62" w:rsidRDefault="007308F6" w:rsidP="00D07979">
            <w:pPr>
              <w:jc w:val="center"/>
              <w:rPr>
                <w:color w:val="000000"/>
                <w:sz w:val="20"/>
                <w:szCs w:val="20"/>
              </w:rPr>
            </w:pPr>
            <w:r w:rsidRPr="005A1F62">
              <w:rPr>
                <w:color w:val="000000"/>
                <w:sz w:val="20"/>
                <w:szCs w:val="20"/>
              </w:rPr>
              <w:t>≤ 12</w:t>
            </w:r>
          </w:p>
        </w:tc>
        <w:tc>
          <w:tcPr>
            <w:tcW w:w="417" w:type="pct"/>
            <w:shd w:val="clear" w:color="auto" w:fill="auto"/>
            <w:noWrap/>
            <w:vAlign w:val="center"/>
            <w:hideMark/>
          </w:tcPr>
          <w:p w14:paraId="395DBD47" w14:textId="77777777" w:rsidR="007308F6" w:rsidRPr="005A1F62" w:rsidRDefault="007308F6" w:rsidP="00D07979">
            <w:pPr>
              <w:jc w:val="center"/>
              <w:rPr>
                <w:color w:val="000000"/>
                <w:sz w:val="20"/>
                <w:szCs w:val="20"/>
              </w:rPr>
            </w:pPr>
            <w:r w:rsidRPr="005A1F62">
              <w:rPr>
                <w:color w:val="000000"/>
                <w:sz w:val="20"/>
                <w:szCs w:val="20"/>
              </w:rPr>
              <w:t>≥ 25</w:t>
            </w:r>
          </w:p>
        </w:tc>
        <w:tc>
          <w:tcPr>
            <w:tcW w:w="417" w:type="pct"/>
            <w:shd w:val="clear" w:color="auto" w:fill="auto"/>
            <w:noWrap/>
            <w:vAlign w:val="center"/>
            <w:hideMark/>
          </w:tcPr>
          <w:p w14:paraId="5C331E9D" w14:textId="77777777" w:rsidR="007308F6" w:rsidRPr="005A1F62" w:rsidRDefault="007308F6" w:rsidP="00D07979">
            <w:pPr>
              <w:jc w:val="center"/>
              <w:rPr>
                <w:color w:val="000000"/>
                <w:sz w:val="20"/>
                <w:szCs w:val="20"/>
              </w:rPr>
            </w:pPr>
            <w:r w:rsidRPr="005A1F62">
              <w:rPr>
                <w:color w:val="000000"/>
                <w:sz w:val="20"/>
                <w:szCs w:val="20"/>
              </w:rPr>
              <w:t>≤ 12</w:t>
            </w:r>
          </w:p>
        </w:tc>
        <w:tc>
          <w:tcPr>
            <w:tcW w:w="416" w:type="pct"/>
            <w:shd w:val="clear" w:color="auto" w:fill="auto"/>
            <w:noWrap/>
            <w:vAlign w:val="center"/>
            <w:hideMark/>
          </w:tcPr>
          <w:p w14:paraId="302A545D" w14:textId="77777777" w:rsidR="007308F6" w:rsidRPr="005A1F62" w:rsidRDefault="007308F6" w:rsidP="00D07979">
            <w:pPr>
              <w:jc w:val="center"/>
              <w:rPr>
                <w:color w:val="000000"/>
                <w:sz w:val="20"/>
                <w:szCs w:val="20"/>
              </w:rPr>
            </w:pPr>
            <w:r w:rsidRPr="005A1F62">
              <w:rPr>
                <w:color w:val="000000"/>
                <w:sz w:val="20"/>
                <w:szCs w:val="20"/>
              </w:rPr>
              <w:t>≥ 25</w:t>
            </w:r>
          </w:p>
        </w:tc>
        <w:tc>
          <w:tcPr>
            <w:tcW w:w="417" w:type="pct"/>
            <w:shd w:val="clear" w:color="auto" w:fill="auto"/>
            <w:noWrap/>
            <w:vAlign w:val="center"/>
            <w:hideMark/>
          </w:tcPr>
          <w:p w14:paraId="62F339C4" w14:textId="77777777" w:rsidR="007308F6" w:rsidRPr="005A1F62" w:rsidRDefault="007308F6" w:rsidP="00D07979">
            <w:pPr>
              <w:jc w:val="center"/>
              <w:rPr>
                <w:color w:val="000000"/>
                <w:sz w:val="20"/>
                <w:szCs w:val="20"/>
              </w:rPr>
            </w:pPr>
            <w:r w:rsidRPr="005A1F62">
              <w:rPr>
                <w:color w:val="000000"/>
                <w:sz w:val="20"/>
                <w:szCs w:val="20"/>
              </w:rPr>
              <w:t>≤ 12</w:t>
            </w:r>
          </w:p>
        </w:tc>
        <w:tc>
          <w:tcPr>
            <w:tcW w:w="416" w:type="pct"/>
            <w:shd w:val="clear" w:color="auto" w:fill="auto"/>
            <w:noWrap/>
            <w:vAlign w:val="center"/>
            <w:hideMark/>
          </w:tcPr>
          <w:p w14:paraId="27FC0712" w14:textId="77777777" w:rsidR="007308F6" w:rsidRPr="005A1F62" w:rsidRDefault="007308F6" w:rsidP="00D07979">
            <w:pPr>
              <w:jc w:val="center"/>
              <w:rPr>
                <w:color w:val="000000"/>
                <w:sz w:val="20"/>
                <w:szCs w:val="20"/>
              </w:rPr>
            </w:pPr>
            <w:r w:rsidRPr="005A1F62">
              <w:rPr>
                <w:color w:val="000000"/>
                <w:sz w:val="20"/>
                <w:szCs w:val="20"/>
              </w:rPr>
              <w:t>≥ 25</w:t>
            </w:r>
          </w:p>
        </w:tc>
      </w:tr>
      <w:tr w:rsidR="007308F6" w:rsidRPr="005A1F62" w14:paraId="06D8C14F" w14:textId="77777777" w:rsidTr="00D07979">
        <w:trPr>
          <w:trHeight w:val="465"/>
        </w:trPr>
        <w:tc>
          <w:tcPr>
            <w:tcW w:w="2045" w:type="pct"/>
            <w:shd w:val="clear" w:color="auto" w:fill="auto"/>
            <w:vAlign w:val="center"/>
            <w:hideMark/>
          </w:tcPr>
          <w:p w14:paraId="6A73B9FD" w14:textId="77777777" w:rsidR="007308F6" w:rsidRPr="005A1F62" w:rsidRDefault="007308F6" w:rsidP="00D07979">
            <w:pPr>
              <w:jc w:val="both"/>
              <w:rPr>
                <w:color w:val="000000"/>
                <w:sz w:val="20"/>
                <w:szCs w:val="20"/>
              </w:rPr>
            </w:pPr>
            <w:r w:rsidRPr="005A1F62">
              <w:rPr>
                <w:color w:val="000000"/>
                <w:sz w:val="20"/>
                <w:szCs w:val="20"/>
              </w:rPr>
              <w:t>Соотношение высоколиквидных активов и привлеченных средств за исключением субординированных депозитов (кредитов), до погашения которых остается не менее пяти лет</w:t>
            </w:r>
          </w:p>
        </w:tc>
        <w:tc>
          <w:tcPr>
            <w:tcW w:w="455" w:type="pct"/>
            <w:shd w:val="clear" w:color="auto" w:fill="auto"/>
            <w:vAlign w:val="center"/>
            <w:hideMark/>
          </w:tcPr>
          <w:p w14:paraId="74B31D89" w14:textId="77777777" w:rsidR="007308F6" w:rsidRPr="005A1F62" w:rsidRDefault="007308F6" w:rsidP="00D07979">
            <w:pPr>
              <w:jc w:val="center"/>
              <w:rPr>
                <w:color w:val="000000"/>
                <w:sz w:val="20"/>
                <w:szCs w:val="20"/>
              </w:rPr>
            </w:pPr>
            <w:r w:rsidRPr="005A1F62">
              <w:rPr>
                <w:color w:val="000000"/>
                <w:sz w:val="20"/>
                <w:szCs w:val="20"/>
              </w:rPr>
              <w:t>50</w:t>
            </w:r>
          </w:p>
        </w:tc>
        <w:tc>
          <w:tcPr>
            <w:tcW w:w="416" w:type="pct"/>
            <w:shd w:val="clear" w:color="auto" w:fill="auto"/>
            <w:noWrap/>
            <w:vAlign w:val="center"/>
            <w:hideMark/>
          </w:tcPr>
          <w:p w14:paraId="16810FED" w14:textId="77777777" w:rsidR="007308F6" w:rsidRPr="005A1F62" w:rsidRDefault="007308F6" w:rsidP="00D07979">
            <w:pPr>
              <w:jc w:val="center"/>
              <w:rPr>
                <w:color w:val="000000"/>
                <w:sz w:val="20"/>
                <w:szCs w:val="20"/>
              </w:rPr>
            </w:pPr>
            <w:r w:rsidRPr="005A1F62">
              <w:rPr>
                <w:color w:val="000000"/>
                <w:sz w:val="20"/>
                <w:szCs w:val="20"/>
              </w:rPr>
              <w:t>≤ 9,8</w:t>
            </w:r>
          </w:p>
        </w:tc>
        <w:tc>
          <w:tcPr>
            <w:tcW w:w="417" w:type="pct"/>
            <w:shd w:val="clear" w:color="auto" w:fill="auto"/>
            <w:noWrap/>
            <w:vAlign w:val="center"/>
            <w:hideMark/>
          </w:tcPr>
          <w:p w14:paraId="704CB403" w14:textId="77777777" w:rsidR="007308F6" w:rsidRPr="005A1F62" w:rsidRDefault="007308F6" w:rsidP="00D07979">
            <w:pPr>
              <w:jc w:val="center"/>
              <w:rPr>
                <w:color w:val="000000"/>
                <w:sz w:val="20"/>
                <w:szCs w:val="20"/>
              </w:rPr>
            </w:pPr>
            <w:r w:rsidRPr="005A1F62">
              <w:rPr>
                <w:color w:val="000000"/>
                <w:sz w:val="20"/>
                <w:szCs w:val="20"/>
              </w:rPr>
              <w:t>≥ 18,9</w:t>
            </w:r>
          </w:p>
        </w:tc>
        <w:tc>
          <w:tcPr>
            <w:tcW w:w="417" w:type="pct"/>
            <w:shd w:val="clear" w:color="auto" w:fill="auto"/>
            <w:noWrap/>
            <w:vAlign w:val="center"/>
            <w:hideMark/>
          </w:tcPr>
          <w:p w14:paraId="49A2CAC7" w14:textId="77777777" w:rsidR="007308F6" w:rsidRPr="005A1F62" w:rsidRDefault="007308F6" w:rsidP="00D07979">
            <w:pPr>
              <w:jc w:val="center"/>
              <w:rPr>
                <w:color w:val="000000"/>
                <w:sz w:val="20"/>
                <w:szCs w:val="20"/>
              </w:rPr>
            </w:pPr>
            <w:r w:rsidRPr="005A1F62">
              <w:rPr>
                <w:color w:val="000000"/>
                <w:sz w:val="20"/>
                <w:szCs w:val="20"/>
              </w:rPr>
              <w:t>≤ 11</w:t>
            </w:r>
          </w:p>
        </w:tc>
        <w:tc>
          <w:tcPr>
            <w:tcW w:w="416" w:type="pct"/>
            <w:shd w:val="clear" w:color="auto" w:fill="auto"/>
            <w:noWrap/>
            <w:vAlign w:val="center"/>
            <w:hideMark/>
          </w:tcPr>
          <w:p w14:paraId="054A1F85" w14:textId="77777777" w:rsidR="007308F6" w:rsidRPr="005A1F62" w:rsidRDefault="007308F6" w:rsidP="00D07979">
            <w:pPr>
              <w:jc w:val="center"/>
              <w:rPr>
                <w:color w:val="000000"/>
                <w:sz w:val="20"/>
                <w:szCs w:val="20"/>
              </w:rPr>
            </w:pPr>
            <w:r w:rsidRPr="005A1F62">
              <w:rPr>
                <w:color w:val="000000"/>
                <w:sz w:val="20"/>
                <w:szCs w:val="20"/>
              </w:rPr>
              <w:t>≥ 20</w:t>
            </w:r>
          </w:p>
        </w:tc>
        <w:tc>
          <w:tcPr>
            <w:tcW w:w="417" w:type="pct"/>
            <w:shd w:val="clear" w:color="auto" w:fill="auto"/>
            <w:noWrap/>
            <w:vAlign w:val="center"/>
            <w:hideMark/>
          </w:tcPr>
          <w:p w14:paraId="07A7E206" w14:textId="77777777" w:rsidR="007308F6" w:rsidRPr="005A1F62" w:rsidRDefault="007308F6" w:rsidP="00D07979">
            <w:pPr>
              <w:jc w:val="center"/>
              <w:rPr>
                <w:color w:val="000000"/>
                <w:sz w:val="20"/>
                <w:szCs w:val="20"/>
              </w:rPr>
            </w:pPr>
            <w:r w:rsidRPr="005A1F62">
              <w:rPr>
                <w:color w:val="000000"/>
                <w:sz w:val="20"/>
                <w:szCs w:val="20"/>
              </w:rPr>
              <w:t>≤ 11</w:t>
            </w:r>
          </w:p>
        </w:tc>
        <w:tc>
          <w:tcPr>
            <w:tcW w:w="416" w:type="pct"/>
            <w:shd w:val="clear" w:color="auto" w:fill="auto"/>
            <w:noWrap/>
            <w:vAlign w:val="center"/>
            <w:hideMark/>
          </w:tcPr>
          <w:p w14:paraId="4E96B634" w14:textId="77777777" w:rsidR="007308F6" w:rsidRPr="005A1F62" w:rsidRDefault="007308F6" w:rsidP="00D07979">
            <w:pPr>
              <w:jc w:val="center"/>
              <w:rPr>
                <w:color w:val="000000"/>
                <w:sz w:val="20"/>
                <w:szCs w:val="20"/>
              </w:rPr>
            </w:pPr>
            <w:r w:rsidRPr="005A1F62">
              <w:rPr>
                <w:color w:val="000000"/>
                <w:sz w:val="20"/>
                <w:szCs w:val="20"/>
              </w:rPr>
              <w:t>≥ 20</w:t>
            </w:r>
          </w:p>
        </w:tc>
      </w:tr>
      <w:tr w:rsidR="007308F6" w:rsidRPr="005A1F62" w14:paraId="273CA35B" w14:textId="77777777" w:rsidTr="00D07979">
        <w:trPr>
          <w:trHeight w:val="315"/>
        </w:trPr>
        <w:tc>
          <w:tcPr>
            <w:tcW w:w="2045" w:type="pct"/>
            <w:shd w:val="clear" w:color="auto" w:fill="auto"/>
            <w:vAlign w:val="center"/>
            <w:hideMark/>
          </w:tcPr>
          <w:p w14:paraId="447CB410" w14:textId="77777777" w:rsidR="007308F6" w:rsidRPr="005A1F62" w:rsidRDefault="007308F6" w:rsidP="00D07979">
            <w:pPr>
              <w:jc w:val="both"/>
              <w:rPr>
                <w:color w:val="000000"/>
                <w:sz w:val="20"/>
                <w:szCs w:val="20"/>
              </w:rPr>
            </w:pPr>
            <w:r w:rsidRPr="005A1F62">
              <w:rPr>
                <w:color w:val="000000"/>
                <w:sz w:val="20"/>
                <w:szCs w:val="20"/>
              </w:rPr>
              <w:t>Норматив текущей ликвидности (Н3)</w:t>
            </w:r>
          </w:p>
        </w:tc>
        <w:tc>
          <w:tcPr>
            <w:tcW w:w="455" w:type="pct"/>
            <w:vMerge w:val="restart"/>
            <w:shd w:val="clear" w:color="auto" w:fill="auto"/>
            <w:noWrap/>
            <w:vAlign w:val="center"/>
          </w:tcPr>
          <w:p w14:paraId="7F14A4C6" w14:textId="77777777" w:rsidR="007308F6" w:rsidRPr="005A1F62" w:rsidRDefault="007308F6" w:rsidP="00D07979">
            <w:pPr>
              <w:jc w:val="center"/>
              <w:rPr>
                <w:color w:val="000000"/>
                <w:sz w:val="20"/>
                <w:szCs w:val="20"/>
              </w:rPr>
            </w:pPr>
            <w:r w:rsidRPr="005A1F62">
              <w:rPr>
                <w:color w:val="000000"/>
                <w:sz w:val="20"/>
                <w:szCs w:val="20"/>
              </w:rPr>
              <w:t>50*</w:t>
            </w:r>
          </w:p>
          <w:p w14:paraId="56022D66" w14:textId="77777777" w:rsidR="007308F6" w:rsidRPr="005A1F62" w:rsidRDefault="007308F6" w:rsidP="00D07979">
            <w:pPr>
              <w:jc w:val="center"/>
              <w:rPr>
                <w:color w:val="000000"/>
                <w:sz w:val="20"/>
                <w:szCs w:val="20"/>
              </w:rPr>
            </w:pPr>
            <w:r w:rsidRPr="005A1F62">
              <w:rPr>
                <w:color w:val="000000"/>
                <w:sz w:val="20"/>
                <w:szCs w:val="20"/>
              </w:rPr>
              <w:t>минимум</w:t>
            </w:r>
          </w:p>
        </w:tc>
        <w:tc>
          <w:tcPr>
            <w:tcW w:w="416" w:type="pct"/>
            <w:shd w:val="clear" w:color="auto" w:fill="auto"/>
            <w:noWrap/>
            <w:vAlign w:val="center"/>
            <w:hideMark/>
          </w:tcPr>
          <w:p w14:paraId="2C948A6E" w14:textId="77777777" w:rsidR="007308F6" w:rsidRPr="005A1F62" w:rsidRDefault="007308F6" w:rsidP="00D07979">
            <w:pPr>
              <w:jc w:val="center"/>
              <w:rPr>
                <w:color w:val="000000"/>
                <w:sz w:val="20"/>
                <w:szCs w:val="20"/>
              </w:rPr>
            </w:pPr>
            <w:r w:rsidRPr="005A1F62">
              <w:rPr>
                <w:color w:val="000000"/>
                <w:sz w:val="20"/>
                <w:szCs w:val="20"/>
              </w:rPr>
              <w:t>≤ 55</w:t>
            </w:r>
          </w:p>
        </w:tc>
        <w:tc>
          <w:tcPr>
            <w:tcW w:w="417" w:type="pct"/>
            <w:shd w:val="clear" w:color="auto" w:fill="auto"/>
            <w:noWrap/>
            <w:vAlign w:val="center"/>
            <w:hideMark/>
          </w:tcPr>
          <w:p w14:paraId="598F78C6" w14:textId="77777777" w:rsidR="007308F6" w:rsidRPr="005A1F62" w:rsidRDefault="007308F6" w:rsidP="00D07979">
            <w:pPr>
              <w:jc w:val="center"/>
              <w:rPr>
                <w:color w:val="000000"/>
                <w:sz w:val="20"/>
                <w:szCs w:val="20"/>
              </w:rPr>
            </w:pPr>
            <w:r w:rsidRPr="005A1F62">
              <w:rPr>
                <w:color w:val="000000"/>
                <w:sz w:val="20"/>
                <w:szCs w:val="20"/>
              </w:rPr>
              <w:t>≥ 80</w:t>
            </w:r>
          </w:p>
        </w:tc>
        <w:tc>
          <w:tcPr>
            <w:tcW w:w="417" w:type="pct"/>
            <w:shd w:val="clear" w:color="auto" w:fill="auto"/>
            <w:noWrap/>
            <w:vAlign w:val="center"/>
            <w:hideMark/>
          </w:tcPr>
          <w:p w14:paraId="70192376" w14:textId="77777777" w:rsidR="007308F6" w:rsidRPr="005A1F62" w:rsidRDefault="007308F6" w:rsidP="00D07979">
            <w:pPr>
              <w:jc w:val="center"/>
              <w:rPr>
                <w:color w:val="000000"/>
                <w:sz w:val="20"/>
                <w:szCs w:val="20"/>
              </w:rPr>
            </w:pPr>
            <w:r w:rsidRPr="005A1F62">
              <w:rPr>
                <w:color w:val="000000"/>
                <w:sz w:val="20"/>
                <w:szCs w:val="20"/>
              </w:rPr>
              <w:t>≤ 55</w:t>
            </w:r>
          </w:p>
        </w:tc>
        <w:tc>
          <w:tcPr>
            <w:tcW w:w="416" w:type="pct"/>
            <w:shd w:val="clear" w:color="auto" w:fill="auto"/>
            <w:noWrap/>
            <w:vAlign w:val="center"/>
            <w:hideMark/>
          </w:tcPr>
          <w:p w14:paraId="0F72566A" w14:textId="77777777" w:rsidR="007308F6" w:rsidRPr="005A1F62" w:rsidRDefault="007308F6" w:rsidP="00D07979">
            <w:pPr>
              <w:jc w:val="center"/>
              <w:rPr>
                <w:color w:val="000000"/>
                <w:sz w:val="20"/>
                <w:szCs w:val="20"/>
              </w:rPr>
            </w:pPr>
            <w:r w:rsidRPr="005A1F62">
              <w:rPr>
                <w:color w:val="000000"/>
                <w:sz w:val="20"/>
                <w:szCs w:val="20"/>
              </w:rPr>
              <w:t>≥ 80</w:t>
            </w:r>
          </w:p>
        </w:tc>
        <w:tc>
          <w:tcPr>
            <w:tcW w:w="417" w:type="pct"/>
            <w:shd w:val="clear" w:color="auto" w:fill="auto"/>
            <w:noWrap/>
            <w:vAlign w:val="center"/>
            <w:hideMark/>
          </w:tcPr>
          <w:p w14:paraId="3069CD64" w14:textId="77777777" w:rsidR="007308F6" w:rsidRPr="005A1F62" w:rsidRDefault="007308F6" w:rsidP="00D07979">
            <w:pPr>
              <w:jc w:val="center"/>
              <w:rPr>
                <w:color w:val="000000"/>
                <w:sz w:val="20"/>
                <w:szCs w:val="20"/>
              </w:rPr>
            </w:pPr>
            <w:r w:rsidRPr="005A1F62">
              <w:rPr>
                <w:color w:val="000000"/>
                <w:sz w:val="20"/>
                <w:szCs w:val="20"/>
              </w:rPr>
              <w:t>≤ 55</w:t>
            </w:r>
          </w:p>
        </w:tc>
        <w:tc>
          <w:tcPr>
            <w:tcW w:w="416" w:type="pct"/>
            <w:shd w:val="clear" w:color="auto" w:fill="auto"/>
            <w:noWrap/>
            <w:vAlign w:val="center"/>
            <w:hideMark/>
          </w:tcPr>
          <w:p w14:paraId="65F94799" w14:textId="77777777" w:rsidR="007308F6" w:rsidRPr="005A1F62" w:rsidRDefault="007308F6" w:rsidP="00D07979">
            <w:pPr>
              <w:jc w:val="center"/>
              <w:rPr>
                <w:color w:val="000000"/>
                <w:sz w:val="20"/>
                <w:szCs w:val="20"/>
              </w:rPr>
            </w:pPr>
            <w:r w:rsidRPr="005A1F62">
              <w:rPr>
                <w:color w:val="000000"/>
                <w:sz w:val="20"/>
                <w:szCs w:val="20"/>
              </w:rPr>
              <w:t xml:space="preserve">≥ 80 </w:t>
            </w:r>
          </w:p>
        </w:tc>
      </w:tr>
      <w:tr w:rsidR="007308F6" w:rsidRPr="005A1F62" w14:paraId="1D508DD9" w14:textId="77777777" w:rsidTr="00D07979">
        <w:trPr>
          <w:trHeight w:val="315"/>
        </w:trPr>
        <w:tc>
          <w:tcPr>
            <w:tcW w:w="2045" w:type="pct"/>
            <w:shd w:val="clear" w:color="auto" w:fill="auto"/>
            <w:vAlign w:val="center"/>
            <w:hideMark/>
          </w:tcPr>
          <w:p w14:paraId="5C53ADAD" w14:textId="77777777" w:rsidR="007308F6" w:rsidRPr="005A1F62" w:rsidRDefault="007308F6" w:rsidP="00D07979">
            <w:pPr>
              <w:jc w:val="both"/>
              <w:rPr>
                <w:color w:val="000000"/>
                <w:sz w:val="20"/>
                <w:szCs w:val="20"/>
              </w:rPr>
            </w:pPr>
            <w:r w:rsidRPr="005A1F62">
              <w:rPr>
                <w:color w:val="000000"/>
                <w:sz w:val="20"/>
                <w:szCs w:val="20"/>
              </w:rPr>
              <w:t>Скорректированный норматив текущей ликвидности (Н3 без учета Овт*)</w:t>
            </w:r>
          </w:p>
        </w:tc>
        <w:tc>
          <w:tcPr>
            <w:tcW w:w="455" w:type="pct"/>
            <w:vMerge/>
            <w:vAlign w:val="center"/>
            <w:hideMark/>
          </w:tcPr>
          <w:p w14:paraId="113ABAF7" w14:textId="77777777" w:rsidR="007308F6" w:rsidRPr="005A1F62" w:rsidRDefault="007308F6" w:rsidP="00D07979">
            <w:pPr>
              <w:jc w:val="center"/>
              <w:rPr>
                <w:color w:val="000000"/>
                <w:sz w:val="20"/>
                <w:szCs w:val="20"/>
              </w:rPr>
            </w:pPr>
          </w:p>
        </w:tc>
        <w:tc>
          <w:tcPr>
            <w:tcW w:w="416" w:type="pct"/>
            <w:shd w:val="clear" w:color="auto" w:fill="auto"/>
            <w:noWrap/>
            <w:vAlign w:val="center"/>
            <w:hideMark/>
          </w:tcPr>
          <w:p w14:paraId="1523458A" w14:textId="77777777" w:rsidR="007308F6" w:rsidRPr="005A1F62" w:rsidRDefault="007308F6" w:rsidP="00D07979">
            <w:pPr>
              <w:jc w:val="center"/>
              <w:rPr>
                <w:color w:val="000000"/>
                <w:sz w:val="20"/>
                <w:szCs w:val="20"/>
              </w:rPr>
            </w:pPr>
            <w:r w:rsidRPr="005A1F62">
              <w:rPr>
                <w:color w:val="000000"/>
                <w:sz w:val="20"/>
                <w:szCs w:val="20"/>
              </w:rPr>
              <w:t>≤ 48</w:t>
            </w:r>
          </w:p>
        </w:tc>
        <w:tc>
          <w:tcPr>
            <w:tcW w:w="417" w:type="pct"/>
            <w:shd w:val="clear" w:color="auto" w:fill="auto"/>
            <w:noWrap/>
            <w:vAlign w:val="center"/>
            <w:hideMark/>
          </w:tcPr>
          <w:p w14:paraId="052F6E44" w14:textId="77777777" w:rsidR="007308F6" w:rsidRPr="005A1F62" w:rsidRDefault="007308F6" w:rsidP="00D07979">
            <w:pPr>
              <w:jc w:val="center"/>
              <w:rPr>
                <w:color w:val="000000"/>
                <w:sz w:val="20"/>
                <w:szCs w:val="20"/>
              </w:rPr>
            </w:pPr>
            <w:r w:rsidRPr="005A1F62">
              <w:rPr>
                <w:color w:val="000000"/>
                <w:sz w:val="20"/>
                <w:szCs w:val="20"/>
              </w:rPr>
              <w:t>≥ 64</w:t>
            </w:r>
          </w:p>
        </w:tc>
        <w:tc>
          <w:tcPr>
            <w:tcW w:w="417" w:type="pct"/>
            <w:shd w:val="clear" w:color="auto" w:fill="auto"/>
            <w:noWrap/>
            <w:vAlign w:val="center"/>
            <w:hideMark/>
          </w:tcPr>
          <w:p w14:paraId="07A5E3D9" w14:textId="77777777" w:rsidR="007308F6" w:rsidRPr="005A1F62" w:rsidRDefault="007308F6" w:rsidP="00D07979">
            <w:pPr>
              <w:jc w:val="center"/>
              <w:rPr>
                <w:color w:val="000000"/>
                <w:sz w:val="20"/>
                <w:szCs w:val="20"/>
              </w:rPr>
            </w:pPr>
            <w:r w:rsidRPr="005A1F62">
              <w:rPr>
                <w:color w:val="000000"/>
                <w:sz w:val="20"/>
                <w:szCs w:val="20"/>
              </w:rPr>
              <w:t>≤ 48</w:t>
            </w:r>
          </w:p>
        </w:tc>
        <w:tc>
          <w:tcPr>
            <w:tcW w:w="416" w:type="pct"/>
            <w:shd w:val="clear" w:color="auto" w:fill="auto"/>
            <w:noWrap/>
            <w:vAlign w:val="center"/>
            <w:hideMark/>
          </w:tcPr>
          <w:p w14:paraId="0222B7B4" w14:textId="77777777" w:rsidR="007308F6" w:rsidRPr="005A1F62" w:rsidRDefault="007308F6" w:rsidP="00D07979">
            <w:pPr>
              <w:jc w:val="center"/>
              <w:rPr>
                <w:color w:val="000000"/>
                <w:sz w:val="20"/>
                <w:szCs w:val="20"/>
              </w:rPr>
            </w:pPr>
            <w:r w:rsidRPr="005A1F62">
              <w:rPr>
                <w:color w:val="000000"/>
                <w:sz w:val="20"/>
                <w:szCs w:val="20"/>
              </w:rPr>
              <w:t>≥ 70</w:t>
            </w:r>
          </w:p>
        </w:tc>
        <w:tc>
          <w:tcPr>
            <w:tcW w:w="417" w:type="pct"/>
            <w:shd w:val="clear" w:color="auto" w:fill="auto"/>
            <w:noWrap/>
            <w:vAlign w:val="center"/>
            <w:hideMark/>
          </w:tcPr>
          <w:p w14:paraId="08EE2CE4" w14:textId="77777777" w:rsidR="007308F6" w:rsidRPr="005A1F62" w:rsidRDefault="007308F6" w:rsidP="00D07979">
            <w:pPr>
              <w:jc w:val="center"/>
              <w:rPr>
                <w:color w:val="000000"/>
                <w:sz w:val="20"/>
                <w:szCs w:val="20"/>
              </w:rPr>
            </w:pPr>
            <w:r w:rsidRPr="005A1F62">
              <w:rPr>
                <w:color w:val="000000"/>
                <w:sz w:val="20"/>
                <w:szCs w:val="20"/>
              </w:rPr>
              <w:t>≤ 48</w:t>
            </w:r>
          </w:p>
        </w:tc>
        <w:tc>
          <w:tcPr>
            <w:tcW w:w="416" w:type="pct"/>
            <w:shd w:val="clear" w:color="auto" w:fill="auto"/>
            <w:noWrap/>
            <w:vAlign w:val="center"/>
            <w:hideMark/>
          </w:tcPr>
          <w:p w14:paraId="343CD8A9" w14:textId="77777777" w:rsidR="007308F6" w:rsidRPr="005A1F62" w:rsidRDefault="007308F6" w:rsidP="00D07979">
            <w:pPr>
              <w:jc w:val="center"/>
              <w:rPr>
                <w:color w:val="000000"/>
                <w:sz w:val="20"/>
                <w:szCs w:val="20"/>
              </w:rPr>
            </w:pPr>
            <w:r w:rsidRPr="005A1F62">
              <w:rPr>
                <w:color w:val="000000"/>
                <w:sz w:val="20"/>
                <w:szCs w:val="20"/>
              </w:rPr>
              <w:t>≥ 70</w:t>
            </w:r>
          </w:p>
        </w:tc>
      </w:tr>
      <w:tr w:rsidR="007308F6" w:rsidRPr="005A1F62" w14:paraId="005331BD" w14:textId="77777777" w:rsidTr="00D07979">
        <w:trPr>
          <w:trHeight w:val="690"/>
        </w:trPr>
        <w:tc>
          <w:tcPr>
            <w:tcW w:w="2045" w:type="pct"/>
            <w:shd w:val="clear" w:color="auto" w:fill="auto"/>
            <w:vAlign w:val="center"/>
            <w:hideMark/>
          </w:tcPr>
          <w:p w14:paraId="365E8CD8" w14:textId="77777777" w:rsidR="007308F6" w:rsidRPr="005A1F62" w:rsidRDefault="007308F6" w:rsidP="00D07979">
            <w:pPr>
              <w:jc w:val="both"/>
              <w:rPr>
                <w:color w:val="000000"/>
                <w:sz w:val="20"/>
                <w:szCs w:val="20"/>
              </w:rPr>
            </w:pPr>
            <w:r w:rsidRPr="005A1F62">
              <w:rPr>
                <w:color w:val="000000"/>
                <w:sz w:val="20"/>
                <w:szCs w:val="20"/>
              </w:rPr>
              <w:t>Устойчивость запаса ликвидности к досрочному изъятию средств (доля привлеченных средств срочностью свыше 30 дней за исключением субординированных депозитов (кредитов) и иных средств без возможности досрочного изъятия на оцениваемом горизонте, досрочное изъятие которой за один месяц приведет к нарушению норматива Н3)</w:t>
            </w:r>
          </w:p>
        </w:tc>
        <w:tc>
          <w:tcPr>
            <w:tcW w:w="455" w:type="pct"/>
            <w:vMerge/>
            <w:vAlign w:val="center"/>
            <w:hideMark/>
          </w:tcPr>
          <w:p w14:paraId="644E15D8" w14:textId="77777777" w:rsidR="007308F6" w:rsidRPr="005A1F62" w:rsidRDefault="007308F6" w:rsidP="00D07979">
            <w:pPr>
              <w:jc w:val="center"/>
              <w:rPr>
                <w:color w:val="000000"/>
                <w:sz w:val="20"/>
                <w:szCs w:val="20"/>
              </w:rPr>
            </w:pPr>
          </w:p>
        </w:tc>
        <w:tc>
          <w:tcPr>
            <w:tcW w:w="416" w:type="pct"/>
            <w:shd w:val="clear" w:color="auto" w:fill="auto"/>
            <w:noWrap/>
            <w:vAlign w:val="center"/>
            <w:hideMark/>
          </w:tcPr>
          <w:p w14:paraId="22A8D9AF" w14:textId="77777777" w:rsidR="007308F6" w:rsidRPr="005A1F62" w:rsidRDefault="007308F6" w:rsidP="00D07979">
            <w:pPr>
              <w:jc w:val="center"/>
              <w:rPr>
                <w:color w:val="000000"/>
                <w:sz w:val="20"/>
                <w:szCs w:val="20"/>
              </w:rPr>
            </w:pPr>
            <w:r w:rsidRPr="005A1F62">
              <w:rPr>
                <w:color w:val="000000"/>
                <w:sz w:val="20"/>
                <w:szCs w:val="20"/>
              </w:rPr>
              <w:t>≤ 25</w:t>
            </w:r>
          </w:p>
        </w:tc>
        <w:tc>
          <w:tcPr>
            <w:tcW w:w="417" w:type="pct"/>
            <w:shd w:val="clear" w:color="auto" w:fill="auto"/>
            <w:noWrap/>
            <w:vAlign w:val="center"/>
            <w:hideMark/>
          </w:tcPr>
          <w:p w14:paraId="42B3DCB9" w14:textId="77777777" w:rsidR="007308F6" w:rsidRPr="005A1F62" w:rsidRDefault="007308F6" w:rsidP="00D07979">
            <w:pPr>
              <w:jc w:val="center"/>
              <w:rPr>
                <w:color w:val="000000"/>
                <w:sz w:val="20"/>
                <w:szCs w:val="20"/>
              </w:rPr>
            </w:pPr>
            <w:r w:rsidRPr="005A1F62">
              <w:rPr>
                <w:color w:val="000000"/>
                <w:sz w:val="20"/>
                <w:szCs w:val="20"/>
              </w:rPr>
              <w:t>≥ 45</w:t>
            </w:r>
          </w:p>
        </w:tc>
        <w:tc>
          <w:tcPr>
            <w:tcW w:w="417" w:type="pct"/>
            <w:shd w:val="clear" w:color="auto" w:fill="auto"/>
            <w:noWrap/>
            <w:vAlign w:val="center"/>
            <w:hideMark/>
          </w:tcPr>
          <w:p w14:paraId="0927905C" w14:textId="77777777" w:rsidR="007308F6" w:rsidRPr="005A1F62" w:rsidRDefault="007308F6" w:rsidP="00D07979">
            <w:pPr>
              <w:jc w:val="center"/>
              <w:rPr>
                <w:color w:val="000000"/>
                <w:sz w:val="20"/>
                <w:szCs w:val="20"/>
              </w:rPr>
            </w:pPr>
            <w:r w:rsidRPr="005A1F62">
              <w:rPr>
                <w:color w:val="000000"/>
                <w:sz w:val="20"/>
                <w:szCs w:val="20"/>
              </w:rPr>
              <w:t>≤ 25</w:t>
            </w:r>
          </w:p>
        </w:tc>
        <w:tc>
          <w:tcPr>
            <w:tcW w:w="416" w:type="pct"/>
            <w:shd w:val="clear" w:color="auto" w:fill="auto"/>
            <w:noWrap/>
            <w:vAlign w:val="center"/>
            <w:hideMark/>
          </w:tcPr>
          <w:p w14:paraId="4DD9C328" w14:textId="77777777" w:rsidR="007308F6" w:rsidRPr="005A1F62" w:rsidRDefault="007308F6" w:rsidP="00D07979">
            <w:pPr>
              <w:jc w:val="center"/>
              <w:rPr>
                <w:color w:val="000000"/>
                <w:sz w:val="20"/>
                <w:szCs w:val="20"/>
              </w:rPr>
            </w:pPr>
            <w:r w:rsidRPr="005A1F62">
              <w:rPr>
                <w:color w:val="000000"/>
                <w:sz w:val="20"/>
                <w:szCs w:val="20"/>
              </w:rPr>
              <w:t>≥ 45</w:t>
            </w:r>
          </w:p>
        </w:tc>
        <w:tc>
          <w:tcPr>
            <w:tcW w:w="417" w:type="pct"/>
            <w:shd w:val="clear" w:color="auto" w:fill="auto"/>
            <w:noWrap/>
            <w:vAlign w:val="center"/>
            <w:hideMark/>
          </w:tcPr>
          <w:p w14:paraId="3620B60A" w14:textId="77777777" w:rsidR="007308F6" w:rsidRPr="005A1F62" w:rsidRDefault="007308F6" w:rsidP="00D07979">
            <w:pPr>
              <w:jc w:val="center"/>
              <w:rPr>
                <w:color w:val="000000"/>
                <w:sz w:val="20"/>
                <w:szCs w:val="20"/>
              </w:rPr>
            </w:pPr>
            <w:r w:rsidRPr="005A1F62">
              <w:rPr>
                <w:color w:val="000000"/>
                <w:sz w:val="20"/>
                <w:szCs w:val="20"/>
              </w:rPr>
              <w:t>≤ 25</w:t>
            </w:r>
          </w:p>
        </w:tc>
        <w:tc>
          <w:tcPr>
            <w:tcW w:w="416" w:type="pct"/>
            <w:shd w:val="clear" w:color="auto" w:fill="auto"/>
            <w:noWrap/>
            <w:vAlign w:val="center"/>
            <w:hideMark/>
          </w:tcPr>
          <w:p w14:paraId="1FF475AD" w14:textId="77777777" w:rsidR="007308F6" w:rsidRPr="005A1F62" w:rsidRDefault="007308F6" w:rsidP="00D07979">
            <w:pPr>
              <w:jc w:val="center"/>
              <w:rPr>
                <w:color w:val="000000"/>
                <w:sz w:val="20"/>
                <w:szCs w:val="20"/>
              </w:rPr>
            </w:pPr>
            <w:r w:rsidRPr="005A1F62">
              <w:rPr>
                <w:color w:val="000000"/>
                <w:sz w:val="20"/>
                <w:szCs w:val="20"/>
              </w:rPr>
              <w:t>≥ 45</w:t>
            </w:r>
          </w:p>
        </w:tc>
      </w:tr>
      <w:tr w:rsidR="007308F6" w:rsidRPr="005A1F62" w14:paraId="2D6CD7C2" w14:textId="77777777" w:rsidTr="00D07979">
        <w:trPr>
          <w:trHeight w:val="315"/>
        </w:trPr>
        <w:tc>
          <w:tcPr>
            <w:tcW w:w="2045" w:type="pct"/>
            <w:shd w:val="clear" w:color="auto" w:fill="auto"/>
            <w:vAlign w:val="center"/>
            <w:hideMark/>
          </w:tcPr>
          <w:p w14:paraId="12A7C281" w14:textId="16E48439" w:rsidR="007308F6" w:rsidRPr="005A1F62" w:rsidRDefault="00FF1C58" w:rsidP="00D07979">
            <w:pPr>
              <w:jc w:val="both"/>
              <w:rPr>
                <w:color w:val="000000"/>
                <w:sz w:val="20"/>
                <w:szCs w:val="20"/>
              </w:rPr>
            </w:pPr>
            <w:r w:rsidRPr="005A1F62">
              <w:rPr>
                <w:color w:val="000000"/>
                <w:sz w:val="20"/>
                <w:szCs w:val="20"/>
              </w:rPr>
              <w:t>Показатель</w:t>
            </w:r>
            <w:r w:rsidR="007308F6" w:rsidRPr="005A1F62">
              <w:rPr>
                <w:color w:val="000000"/>
                <w:sz w:val="20"/>
                <w:szCs w:val="20"/>
              </w:rPr>
              <w:t xml:space="preserve"> краткосрочной ликвидности (</w:t>
            </w:r>
            <w:r w:rsidR="00B87681" w:rsidRPr="005A1F62">
              <w:rPr>
                <w:color w:val="000000"/>
                <w:sz w:val="20"/>
                <w:szCs w:val="20"/>
              </w:rPr>
              <w:t>ПКЛ</w:t>
            </w:r>
            <w:r w:rsidR="007308F6" w:rsidRPr="005A1F62">
              <w:rPr>
                <w:color w:val="000000"/>
                <w:sz w:val="20"/>
                <w:szCs w:val="20"/>
              </w:rPr>
              <w:t>)</w:t>
            </w:r>
          </w:p>
        </w:tc>
        <w:tc>
          <w:tcPr>
            <w:tcW w:w="455" w:type="pct"/>
            <w:vMerge/>
            <w:vAlign w:val="center"/>
            <w:hideMark/>
          </w:tcPr>
          <w:p w14:paraId="48DD9419" w14:textId="77777777" w:rsidR="007308F6" w:rsidRPr="005A1F62" w:rsidRDefault="007308F6" w:rsidP="00D07979">
            <w:pPr>
              <w:jc w:val="center"/>
              <w:rPr>
                <w:color w:val="000000"/>
                <w:sz w:val="20"/>
                <w:szCs w:val="20"/>
              </w:rPr>
            </w:pPr>
          </w:p>
        </w:tc>
        <w:tc>
          <w:tcPr>
            <w:tcW w:w="416" w:type="pct"/>
            <w:shd w:val="clear" w:color="auto" w:fill="auto"/>
            <w:noWrap/>
            <w:vAlign w:val="center"/>
            <w:hideMark/>
          </w:tcPr>
          <w:p w14:paraId="778764FE" w14:textId="57B13E05" w:rsidR="007308F6" w:rsidRPr="005A1F62" w:rsidRDefault="007308F6" w:rsidP="00D07979">
            <w:pPr>
              <w:jc w:val="center"/>
              <w:rPr>
                <w:color w:val="000000"/>
                <w:sz w:val="20"/>
                <w:szCs w:val="20"/>
              </w:rPr>
            </w:pPr>
            <w:r w:rsidRPr="005A1F62">
              <w:rPr>
                <w:color w:val="000000"/>
                <w:sz w:val="20"/>
                <w:szCs w:val="20"/>
              </w:rPr>
              <w:t xml:space="preserve">≤ </w:t>
            </w:r>
            <w:r w:rsidR="00804BBD" w:rsidRPr="005A1F62">
              <w:rPr>
                <w:color w:val="000000"/>
                <w:sz w:val="20"/>
                <w:szCs w:val="20"/>
              </w:rPr>
              <w:t>102</w:t>
            </w:r>
          </w:p>
        </w:tc>
        <w:tc>
          <w:tcPr>
            <w:tcW w:w="417" w:type="pct"/>
            <w:shd w:val="clear" w:color="auto" w:fill="auto"/>
            <w:noWrap/>
            <w:vAlign w:val="center"/>
            <w:hideMark/>
          </w:tcPr>
          <w:p w14:paraId="203A557E" w14:textId="45A53250" w:rsidR="007308F6" w:rsidRPr="005A1F62" w:rsidRDefault="007308F6" w:rsidP="00D07979">
            <w:pPr>
              <w:jc w:val="center"/>
              <w:rPr>
                <w:color w:val="000000"/>
                <w:sz w:val="20"/>
                <w:szCs w:val="20"/>
              </w:rPr>
            </w:pPr>
            <w:r w:rsidRPr="005A1F62">
              <w:rPr>
                <w:color w:val="000000"/>
                <w:sz w:val="20"/>
                <w:szCs w:val="20"/>
              </w:rPr>
              <w:t xml:space="preserve">≥ </w:t>
            </w:r>
            <w:r w:rsidR="00804BBD" w:rsidRPr="005A1F62">
              <w:rPr>
                <w:color w:val="000000"/>
                <w:sz w:val="20"/>
                <w:szCs w:val="20"/>
              </w:rPr>
              <w:t>120</w:t>
            </w:r>
          </w:p>
        </w:tc>
        <w:tc>
          <w:tcPr>
            <w:tcW w:w="417" w:type="pct"/>
            <w:shd w:val="clear" w:color="auto" w:fill="auto"/>
            <w:noWrap/>
            <w:vAlign w:val="center"/>
            <w:hideMark/>
          </w:tcPr>
          <w:p w14:paraId="78EE87EE"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71E1A866"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7" w:type="pct"/>
            <w:shd w:val="clear" w:color="auto" w:fill="auto"/>
            <w:noWrap/>
            <w:vAlign w:val="center"/>
            <w:hideMark/>
          </w:tcPr>
          <w:p w14:paraId="79064378"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00573A86" w14:textId="77777777" w:rsidR="007308F6" w:rsidRPr="005A1F62" w:rsidRDefault="007308F6" w:rsidP="00D07979">
            <w:pPr>
              <w:jc w:val="center"/>
              <w:rPr>
                <w:color w:val="000000"/>
                <w:sz w:val="20"/>
                <w:szCs w:val="20"/>
              </w:rPr>
            </w:pPr>
            <w:r w:rsidRPr="005A1F62">
              <w:rPr>
                <w:color w:val="000000"/>
                <w:sz w:val="20"/>
                <w:szCs w:val="20"/>
              </w:rPr>
              <w:t>не оцен.</w:t>
            </w:r>
          </w:p>
        </w:tc>
      </w:tr>
      <w:tr w:rsidR="007308F6" w:rsidRPr="005A1F62" w14:paraId="3A655CA3" w14:textId="77777777" w:rsidTr="00D07979">
        <w:trPr>
          <w:trHeight w:val="465"/>
        </w:trPr>
        <w:tc>
          <w:tcPr>
            <w:tcW w:w="2045" w:type="pct"/>
            <w:shd w:val="clear" w:color="auto" w:fill="auto"/>
            <w:vAlign w:val="center"/>
            <w:hideMark/>
          </w:tcPr>
          <w:p w14:paraId="439E0658" w14:textId="77777777" w:rsidR="007308F6" w:rsidRPr="005A1F62" w:rsidRDefault="007308F6" w:rsidP="00D07979">
            <w:pPr>
              <w:jc w:val="both"/>
              <w:rPr>
                <w:color w:val="000000"/>
                <w:sz w:val="20"/>
                <w:szCs w:val="20"/>
              </w:rPr>
            </w:pPr>
            <w:r w:rsidRPr="005A1F62">
              <w:rPr>
                <w:color w:val="000000"/>
                <w:sz w:val="20"/>
                <w:szCs w:val="20"/>
              </w:rPr>
              <w:t>Соотношение ликвидных активов (Лат) и привлеченных средств за исключением субординированных депозитов (кредитов), до погашения которых остается не менее пяти лет</w:t>
            </w:r>
          </w:p>
        </w:tc>
        <w:tc>
          <w:tcPr>
            <w:tcW w:w="455" w:type="pct"/>
            <w:shd w:val="clear" w:color="auto" w:fill="auto"/>
            <w:noWrap/>
            <w:vAlign w:val="center"/>
            <w:hideMark/>
          </w:tcPr>
          <w:p w14:paraId="2066302B" w14:textId="77777777" w:rsidR="007308F6" w:rsidRPr="005A1F62" w:rsidRDefault="007308F6" w:rsidP="00D07979">
            <w:pPr>
              <w:jc w:val="center"/>
              <w:rPr>
                <w:color w:val="000000"/>
                <w:sz w:val="20"/>
                <w:szCs w:val="20"/>
              </w:rPr>
            </w:pPr>
            <w:r w:rsidRPr="005A1F62">
              <w:rPr>
                <w:color w:val="000000"/>
                <w:sz w:val="20"/>
                <w:szCs w:val="20"/>
              </w:rPr>
              <w:t>50</w:t>
            </w:r>
          </w:p>
        </w:tc>
        <w:tc>
          <w:tcPr>
            <w:tcW w:w="416" w:type="pct"/>
            <w:shd w:val="clear" w:color="auto" w:fill="auto"/>
            <w:noWrap/>
            <w:vAlign w:val="center"/>
            <w:hideMark/>
          </w:tcPr>
          <w:p w14:paraId="0B529F11" w14:textId="77777777" w:rsidR="007308F6" w:rsidRPr="005A1F62" w:rsidRDefault="007308F6" w:rsidP="00D07979">
            <w:pPr>
              <w:jc w:val="center"/>
              <w:rPr>
                <w:color w:val="000000"/>
                <w:sz w:val="20"/>
                <w:szCs w:val="20"/>
              </w:rPr>
            </w:pPr>
            <w:r w:rsidRPr="005A1F62">
              <w:rPr>
                <w:color w:val="000000"/>
                <w:sz w:val="20"/>
                <w:szCs w:val="20"/>
              </w:rPr>
              <w:t>≤ 21</w:t>
            </w:r>
          </w:p>
        </w:tc>
        <w:tc>
          <w:tcPr>
            <w:tcW w:w="417" w:type="pct"/>
            <w:shd w:val="clear" w:color="auto" w:fill="auto"/>
            <w:noWrap/>
            <w:vAlign w:val="center"/>
            <w:hideMark/>
          </w:tcPr>
          <w:p w14:paraId="7BAD008D" w14:textId="77777777" w:rsidR="007308F6" w:rsidRPr="005A1F62" w:rsidRDefault="007308F6" w:rsidP="00D07979">
            <w:pPr>
              <w:jc w:val="center"/>
              <w:rPr>
                <w:color w:val="000000"/>
                <w:sz w:val="20"/>
                <w:szCs w:val="20"/>
              </w:rPr>
            </w:pPr>
            <w:r w:rsidRPr="005A1F62">
              <w:rPr>
                <w:color w:val="000000"/>
                <w:sz w:val="20"/>
                <w:szCs w:val="20"/>
              </w:rPr>
              <w:t>≥ 36</w:t>
            </w:r>
          </w:p>
        </w:tc>
        <w:tc>
          <w:tcPr>
            <w:tcW w:w="417" w:type="pct"/>
            <w:shd w:val="clear" w:color="auto" w:fill="auto"/>
            <w:noWrap/>
            <w:vAlign w:val="center"/>
            <w:hideMark/>
          </w:tcPr>
          <w:p w14:paraId="36FB15F6" w14:textId="77777777" w:rsidR="007308F6" w:rsidRPr="005A1F62" w:rsidRDefault="007308F6" w:rsidP="00D07979">
            <w:pPr>
              <w:jc w:val="center"/>
              <w:rPr>
                <w:color w:val="000000"/>
                <w:sz w:val="20"/>
                <w:szCs w:val="20"/>
              </w:rPr>
            </w:pPr>
            <w:r w:rsidRPr="005A1F62">
              <w:rPr>
                <w:color w:val="000000"/>
                <w:sz w:val="20"/>
                <w:szCs w:val="20"/>
              </w:rPr>
              <w:t>≤ 25</w:t>
            </w:r>
          </w:p>
        </w:tc>
        <w:tc>
          <w:tcPr>
            <w:tcW w:w="416" w:type="pct"/>
            <w:shd w:val="clear" w:color="auto" w:fill="auto"/>
            <w:noWrap/>
            <w:vAlign w:val="center"/>
            <w:hideMark/>
          </w:tcPr>
          <w:p w14:paraId="59865834" w14:textId="77777777" w:rsidR="007308F6" w:rsidRPr="005A1F62" w:rsidRDefault="007308F6" w:rsidP="00D07979">
            <w:pPr>
              <w:jc w:val="center"/>
              <w:rPr>
                <w:color w:val="000000"/>
                <w:sz w:val="20"/>
                <w:szCs w:val="20"/>
              </w:rPr>
            </w:pPr>
            <w:r w:rsidRPr="005A1F62">
              <w:rPr>
                <w:color w:val="000000"/>
                <w:sz w:val="20"/>
                <w:szCs w:val="20"/>
              </w:rPr>
              <w:t>≥ 40</w:t>
            </w:r>
          </w:p>
        </w:tc>
        <w:tc>
          <w:tcPr>
            <w:tcW w:w="417" w:type="pct"/>
            <w:shd w:val="clear" w:color="auto" w:fill="auto"/>
            <w:noWrap/>
            <w:vAlign w:val="center"/>
            <w:hideMark/>
          </w:tcPr>
          <w:p w14:paraId="11F2BAEE"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27F9EF7D" w14:textId="77777777" w:rsidR="007308F6" w:rsidRPr="005A1F62" w:rsidRDefault="007308F6" w:rsidP="00D07979">
            <w:pPr>
              <w:jc w:val="center"/>
              <w:rPr>
                <w:color w:val="000000"/>
                <w:sz w:val="20"/>
                <w:szCs w:val="20"/>
              </w:rPr>
            </w:pPr>
            <w:r w:rsidRPr="005A1F62">
              <w:rPr>
                <w:color w:val="000000"/>
                <w:sz w:val="20"/>
                <w:szCs w:val="20"/>
              </w:rPr>
              <w:t>не оцен.</w:t>
            </w:r>
          </w:p>
        </w:tc>
      </w:tr>
      <w:tr w:rsidR="007308F6" w:rsidRPr="005A1F62" w14:paraId="1C336E3D" w14:textId="77777777" w:rsidTr="00D07979">
        <w:trPr>
          <w:trHeight w:val="315"/>
        </w:trPr>
        <w:tc>
          <w:tcPr>
            <w:tcW w:w="2045" w:type="pct"/>
            <w:shd w:val="clear" w:color="auto" w:fill="auto"/>
            <w:vAlign w:val="center"/>
            <w:hideMark/>
          </w:tcPr>
          <w:p w14:paraId="5D9FA4F7" w14:textId="77777777" w:rsidR="007308F6" w:rsidRPr="005A1F62" w:rsidRDefault="007308F6" w:rsidP="00D07979">
            <w:pPr>
              <w:jc w:val="both"/>
              <w:rPr>
                <w:color w:val="000000"/>
                <w:sz w:val="20"/>
                <w:szCs w:val="20"/>
              </w:rPr>
            </w:pPr>
            <w:r w:rsidRPr="005A1F62">
              <w:rPr>
                <w:color w:val="000000"/>
                <w:sz w:val="20"/>
                <w:szCs w:val="20"/>
              </w:rPr>
              <w:t>Норматив долгосрочной ликвидности (Н4)</w:t>
            </w:r>
          </w:p>
        </w:tc>
        <w:tc>
          <w:tcPr>
            <w:tcW w:w="455" w:type="pct"/>
            <w:vMerge w:val="restart"/>
            <w:shd w:val="clear" w:color="auto" w:fill="auto"/>
            <w:noWrap/>
            <w:vAlign w:val="center"/>
            <w:hideMark/>
          </w:tcPr>
          <w:p w14:paraId="50888A12" w14:textId="5702167A" w:rsidR="007308F6" w:rsidRPr="005A1F62" w:rsidRDefault="007308F6" w:rsidP="00D07979">
            <w:pPr>
              <w:jc w:val="center"/>
              <w:rPr>
                <w:color w:val="000000"/>
                <w:sz w:val="20"/>
                <w:szCs w:val="20"/>
              </w:rPr>
            </w:pPr>
            <w:r w:rsidRPr="005A1F62">
              <w:rPr>
                <w:color w:val="000000"/>
                <w:sz w:val="20"/>
                <w:szCs w:val="20"/>
              </w:rPr>
              <w:t>(60/100)</w:t>
            </w:r>
            <w:r w:rsidRPr="005A1F62">
              <w:rPr>
                <w:rStyle w:val="a9"/>
                <w:color w:val="000000"/>
                <w:sz w:val="20"/>
                <w:szCs w:val="20"/>
              </w:rPr>
              <w:footnoteReference w:id="41"/>
            </w:r>
            <w:r w:rsidRPr="005A1F62">
              <w:rPr>
                <w:color w:val="000000"/>
                <w:sz w:val="20"/>
                <w:szCs w:val="20"/>
              </w:rPr>
              <w:t>*минимум</w:t>
            </w:r>
          </w:p>
        </w:tc>
        <w:tc>
          <w:tcPr>
            <w:tcW w:w="416" w:type="pct"/>
            <w:shd w:val="clear" w:color="auto" w:fill="auto"/>
            <w:noWrap/>
            <w:vAlign w:val="center"/>
            <w:hideMark/>
          </w:tcPr>
          <w:p w14:paraId="2125B56C" w14:textId="77777777" w:rsidR="007308F6" w:rsidRPr="005A1F62" w:rsidRDefault="007308F6" w:rsidP="00D07979">
            <w:pPr>
              <w:jc w:val="center"/>
              <w:rPr>
                <w:color w:val="000000"/>
                <w:sz w:val="20"/>
                <w:szCs w:val="20"/>
              </w:rPr>
            </w:pPr>
            <w:r w:rsidRPr="005A1F62">
              <w:rPr>
                <w:color w:val="000000"/>
                <w:sz w:val="20"/>
                <w:szCs w:val="20"/>
              </w:rPr>
              <w:t>≥ 110</w:t>
            </w:r>
          </w:p>
        </w:tc>
        <w:tc>
          <w:tcPr>
            <w:tcW w:w="417" w:type="pct"/>
            <w:shd w:val="clear" w:color="auto" w:fill="auto"/>
            <w:noWrap/>
            <w:vAlign w:val="center"/>
            <w:hideMark/>
          </w:tcPr>
          <w:p w14:paraId="3EADC4C1" w14:textId="77777777" w:rsidR="007308F6" w:rsidRPr="005A1F62" w:rsidRDefault="007308F6" w:rsidP="00D07979">
            <w:pPr>
              <w:jc w:val="center"/>
              <w:rPr>
                <w:color w:val="000000"/>
                <w:sz w:val="20"/>
                <w:szCs w:val="20"/>
              </w:rPr>
            </w:pPr>
            <w:r w:rsidRPr="005A1F62">
              <w:rPr>
                <w:color w:val="000000"/>
                <w:sz w:val="20"/>
                <w:szCs w:val="20"/>
              </w:rPr>
              <w:t>≤ 70</w:t>
            </w:r>
          </w:p>
        </w:tc>
        <w:tc>
          <w:tcPr>
            <w:tcW w:w="417" w:type="pct"/>
            <w:shd w:val="clear" w:color="auto" w:fill="auto"/>
            <w:noWrap/>
            <w:vAlign w:val="center"/>
            <w:hideMark/>
          </w:tcPr>
          <w:p w14:paraId="2B61F5C2" w14:textId="77777777" w:rsidR="007308F6" w:rsidRPr="005A1F62" w:rsidRDefault="007308F6" w:rsidP="00D07979">
            <w:pPr>
              <w:jc w:val="center"/>
              <w:rPr>
                <w:color w:val="000000"/>
                <w:sz w:val="20"/>
                <w:szCs w:val="20"/>
              </w:rPr>
            </w:pPr>
            <w:r w:rsidRPr="005A1F62">
              <w:rPr>
                <w:color w:val="000000"/>
                <w:sz w:val="20"/>
                <w:szCs w:val="20"/>
              </w:rPr>
              <w:t>≥ 110</w:t>
            </w:r>
          </w:p>
        </w:tc>
        <w:tc>
          <w:tcPr>
            <w:tcW w:w="416" w:type="pct"/>
            <w:shd w:val="clear" w:color="auto" w:fill="auto"/>
            <w:noWrap/>
            <w:vAlign w:val="center"/>
            <w:hideMark/>
          </w:tcPr>
          <w:p w14:paraId="681DDE8D" w14:textId="77777777" w:rsidR="007308F6" w:rsidRPr="005A1F62" w:rsidRDefault="007308F6" w:rsidP="00D07979">
            <w:pPr>
              <w:jc w:val="center"/>
              <w:rPr>
                <w:color w:val="000000"/>
                <w:sz w:val="20"/>
                <w:szCs w:val="20"/>
              </w:rPr>
            </w:pPr>
            <w:r w:rsidRPr="005A1F62">
              <w:rPr>
                <w:color w:val="000000"/>
                <w:sz w:val="20"/>
                <w:szCs w:val="20"/>
              </w:rPr>
              <w:t>≤ 70</w:t>
            </w:r>
          </w:p>
        </w:tc>
        <w:tc>
          <w:tcPr>
            <w:tcW w:w="417" w:type="pct"/>
            <w:shd w:val="clear" w:color="auto" w:fill="auto"/>
            <w:noWrap/>
            <w:vAlign w:val="center"/>
            <w:hideMark/>
          </w:tcPr>
          <w:p w14:paraId="5CEFC793"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75C83202" w14:textId="77777777" w:rsidR="007308F6" w:rsidRPr="005A1F62" w:rsidRDefault="007308F6" w:rsidP="00D07979">
            <w:pPr>
              <w:jc w:val="center"/>
              <w:rPr>
                <w:color w:val="000000"/>
                <w:sz w:val="20"/>
                <w:szCs w:val="20"/>
              </w:rPr>
            </w:pPr>
            <w:r w:rsidRPr="005A1F62">
              <w:rPr>
                <w:color w:val="000000"/>
                <w:sz w:val="20"/>
                <w:szCs w:val="20"/>
              </w:rPr>
              <w:t>не оцен.</w:t>
            </w:r>
          </w:p>
        </w:tc>
      </w:tr>
      <w:tr w:rsidR="007308F6" w:rsidRPr="005A1F62" w14:paraId="5BF57247" w14:textId="77777777" w:rsidTr="00D07979">
        <w:trPr>
          <w:trHeight w:val="315"/>
        </w:trPr>
        <w:tc>
          <w:tcPr>
            <w:tcW w:w="2045" w:type="pct"/>
            <w:shd w:val="clear" w:color="auto" w:fill="auto"/>
            <w:vAlign w:val="center"/>
            <w:hideMark/>
          </w:tcPr>
          <w:p w14:paraId="7C18E935" w14:textId="77777777" w:rsidR="007308F6" w:rsidRPr="005A1F62" w:rsidRDefault="007308F6" w:rsidP="00D07979">
            <w:pPr>
              <w:jc w:val="both"/>
              <w:rPr>
                <w:color w:val="000000"/>
                <w:sz w:val="20"/>
                <w:szCs w:val="20"/>
              </w:rPr>
            </w:pPr>
            <w:r w:rsidRPr="005A1F62">
              <w:rPr>
                <w:color w:val="000000"/>
                <w:sz w:val="20"/>
                <w:szCs w:val="20"/>
              </w:rPr>
              <w:t>Скорректированный норматив долгосрочной ликвидности (Н4)</w:t>
            </w:r>
          </w:p>
        </w:tc>
        <w:tc>
          <w:tcPr>
            <w:tcW w:w="455" w:type="pct"/>
            <w:vMerge/>
            <w:shd w:val="clear" w:color="auto" w:fill="auto"/>
            <w:vAlign w:val="center"/>
            <w:hideMark/>
          </w:tcPr>
          <w:p w14:paraId="62B7884B" w14:textId="77777777" w:rsidR="007308F6" w:rsidRPr="005A1F62" w:rsidRDefault="007308F6" w:rsidP="00D07979">
            <w:pPr>
              <w:jc w:val="center"/>
              <w:rPr>
                <w:color w:val="000000"/>
                <w:sz w:val="20"/>
                <w:szCs w:val="20"/>
              </w:rPr>
            </w:pPr>
          </w:p>
        </w:tc>
        <w:tc>
          <w:tcPr>
            <w:tcW w:w="416" w:type="pct"/>
            <w:shd w:val="clear" w:color="auto" w:fill="auto"/>
            <w:noWrap/>
            <w:vAlign w:val="center"/>
            <w:hideMark/>
          </w:tcPr>
          <w:p w14:paraId="35F490C5" w14:textId="77777777" w:rsidR="007308F6" w:rsidRPr="005A1F62" w:rsidRDefault="007308F6" w:rsidP="00D07979">
            <w:pPr>
              <w:jc w:val="center"/>
              <w:rPr>
                <w:color w:val="000000"/>
                <w:sz w:val="20"/>
                <w:szCs w:val="20"/>
              </w:rPr>
            </w:pPr>
            <w:r w:rsidRPr="005A1F62">
              <w:rPr>
                <w:color w:val="000000"/>
                <w:sz w:val="20"/>
                <w:szCs w:val="20"/>
              </w:rPr>
              <w:t>≥ 130</w:t>
            </w:r>
          </w:p>
        </w:tc>
        <w:tc>
          <w:tcPr>
            <w:tcW w:w="417" w:type="pct"/>
            <w:shd w:val="clear" w:color="auto" w:fill="auto"/>
            <w:noWrap/>
            <w:vAlign w:val="center"/>
            <w:hideMark/>
          </w:tcPr>
          <w:p w14:paraId="0262A226" w14:textId="77777777" w:rsidR="007308F6" w:rsidRPr="005A1F62" w:rsidRDefault="007308F6" w:rsidP="00D07979">
            <w:pPr>
              <w:jc w:val="center"/>
              <w:rPr>
                <w:color w:val="000000"/>
                <w:sz w:val="20"/>
                <w:szCs w:val="20"/>
              </w:rPr>
            </w:pPr>
            <w:r w:rsidRPr="005A1F62">
              <w:rPr>
                <w:color w:val="000000"/>
                <w:sz w:val="20"/>
                <w:szCs w:val="20"/>
              </w:rPr>
              <w:t>≤ 50</w:t>
            </w:r>
          </w:p>
        </w:tc>
        <w:tc>
          <w:tcPr>
            <w:tcW w:w="417" w:type="pct"/>
            <w:shd w:val="clear" w:color="auto" w:fill="auto"/>
            <w:noWrap/>
            <w:vAlign w:val="center"/>
            <w:hideMark/>
          </w:tcPr>
          <w:p w14:paraId="1CF33159" w14:textId="77777777" w:rsidR="007308F6" w:rsidRPr="005A1F62" w:rsidRDefault="007308F6" w:rsidP="00D07979">
            <w:pPr>
              <w:jc w:val="center"/>
              <w:rPr>
                <w:color w:val="000000"/>
                <w:sz w:val="20"/>
                <w:szCs w:val="20"/>
              </w:rPr>
            </w:pPr>
            <w:r w:rsidRPr="005A1F62">
              <w:rPr>
                <w:color w:val="000000"/>
                <w:sz w:val="20"/>
                <w:szCs w:val="20"/>
              </w:rPr>
              <w:t>≥ 130</w:t>
            </w:r>
          </w:p>
        </w:tc>
        <w:tc>
          <w:tcPr>
            <w:tcW w:w="416" w:type="pct"/>
            <w:shd w:val="clear" w:color="auto" w:fill="auto"/>
            <w:noWrap/>
            <w:vAlign w:val="center"/>
            <w:hideMark/>
          </w:tcPr>
          <w:p w14:paraId="38B8D6E3" w14:textId="77777777" w:rsidR="007308F6" w:rsidRPr="005A1F62" w:rsidRDefault="007308F6" w:rsidP="00D07979">
            <w:pPr>
              <w:jc w:val="center"/>
              <w:rPr>
                <w:color w:val="000000"/>
                <w:sz w:val="20"/>
                <w:szCs w:val="20"/>
              </w:rPr>
            </w:pPr>
            <w:r w:rsidRPr="005A1F62">
              <w:rPr>
                <w:color w:val="000000"/>
                <w:sz w:val="20"/>
                <w:szCs w:val="20"/>
              </w:rPr>
              <w:t>≤ 50</w:t>
            </w:r>
          </w:p>
        </w:tc>
        <w:tc>
          <w:tcPr>
            <w:tcW w:w="417" w:type="pct"/>
            <w:shd w:val="clear" w:color="auto" w:fill="auto"/>
            <w:noWrap/>
            <w:vAlign w:val="center"/>
            <w:hideMark/>
          </w:tcPr>
          <w:p w14:paraId="26188BBF"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16B5EA97" w14:textId="77777777" w:rsidR="007308F6" w:rsidRPr="005A1F62" w:rsidRDefault="007308F6" w:rsidP="00D07979">
            <w:pPr>
              <w:jc w:val="center"/>
              <w:rPr>
                <w:color w:val="000000"/>
                <w:sz w:val="20"/>
                <w:szCs w:val="20"/>
              </w:rPr>
            </w:pPr>
            <w:r w:rsidRPr="005A1F62">
              <w:rPr>
                <w:color w:val="000000"/>
                <w:sz w:val="20"/>
                <w:szCs w:val="20"/>
              </w:rPr>
              <w:t>не оцен.</w:t>
            </w:r>
          </w:p>
        </w:tc>
      </w:tr>
      <w:tr w:rsidR="007308F6" w:rsidRPr="005A1F62" w14:paraId="5B49B205" w14:textId="77777777" w:rsidTr="00D07979">
        <w:trPr>
          <w:trHeight w:val="315"/>
        </w:trPr>
        <w:tc>
          <w:tcPr>
            <w:tcW w:w="2045" w:type="pct"/>
            <w:shd w:val="clear" w:color="auto" w:fill="auto"/>
            <w:vAlign w:val="center"/>
            <w:hideMark/>
          </w:tcPr>
          <w:p w14:paraId="722DFC4F" w14:textId="77777777" w:rsidR="007308F6" w:rsidRPr="005A1F62" w:rsidRDefault="007308F6" w:rsidP="00D07979">
            <w:pPr>
              <w:jc w:val="both"/>
              <w:rPr>
                <w:color w:val="000000"/>
                <w:sz w:val="20"/>
                <w:szCs w:val="20"/>
              </w:rPr>
            </w:pPr>
            <w:r w:rsidRPr="005A1F62">
              <w:rPr>
                <w:color w:val="000000"/>
                <w:sz w:val="20"/>
                <w:szCs w:val="20"/>
              </w:rPr>
              <w:t>Норматив чистого стабильного фондирования (НЧСФ)</w:t>
            </w:r>
          </w:p>
        </w:tc>
        <w:tc>
          <w:tcPr>
            <w:tcW w:w="455" w:type="pct"/>
            <w:shd w:val="clear" w:color="auto" w:fill="auto"/>
            <w:vAlign w:val="center"/>
            <w:hideMark/>
          </w:tcPr>
          <w:p w14:paraId="69355FD4" w14:textId="3EBBF310" w:rsidR="007308F6" w:rsidRPr="005A1F62" w:rsidRDefault="007308F6" w:rsidP="00D07979">
            <w:pPr>
              <w:jc w:val="center"/>
              <w:rPr>
                <w:color w:val="000000"/>
                <w:sz w:val="20"/>
                <w:szCs w:val="20"/>
              </w:rPr>
            </w:pPr>
            <w:r w:rsidRPr="005A1F62">
              <w:rPr>
                <w:color w:val="000000"/>
                <w:sz w:val="20"/>
                <w:szCs w:val="20"/>
              </w:rPr>
              <w:t>40/0</w:t>
            </w:r>
            <w:r w:rsidR="00222083" w:rsidRPr="005A1F62">
              <w:rPr>
                <w:rStyle w:val="a9"/>
                <w:color w:val="000000"/>
                <w:sz w:val="20"/>
                <w:szCs w:val="20"/>
              </w:rPr>
              <w:footnoteReference w:id="42"/>
            </w:r>
          </w:p>
        </w:tc>
        <w:tc>
          <w:tcPr>
            <w:tcW w:w="416" w:type="pct"/>
            <w:shd w:val="clear" w:color="auto" w:fill="auto"/>
            <w:noWrap/>
            <w:vAlign w:val="center"/>
            <w:hideMark/>
          </w:tcPr>
          <w:p w14:paraId="3FAA2F0B" w14:textId="77777777" w:rsidR="007308F6" w:rsidRPr="005A1F62" w:rsidRDefault="007308F6" w:rsidP="00D07979">
            <w:pPr>
              <w:jc w:val="center"/>
              <w:rPr>
                <w:color w:val="000000"/>
                <w:sz w:val="20"/>
                <w:szCs w:val="20"/>
              </w:rPr>
            </w:pPr>
            <w:r w:rsidRPr="005A1F62">
              <w:rPr>
                <w:color w:val="000000"/>
                <w:sz w:val="20"/>
                <w:szCs w:val="20"/>
              </w:rPr>
              <w:t>≤ 102</w:t>
            </w:r>
          </w:p>
        </w:tc>
        <w:tc>
          <w:tcPr>
            <w:tcW w:w="417" w:type="pct"/>
            <w:shd w:val="clear" w:color="auto" w:fill="auto"/>
            <w:noWrap/>
            <w:vAlign w:val="center"/>
            <w:hideMark/>
          </w:tcPr>
          <w:p w14:paraId="7EDB8977" w14:textId="77777777" w:rsidR="007308F6" w:rsidRPr="005A1F62" w:rsidRDefault="007308F6" w:rsidP="00D07979">
            <w:pPr>
              <w:jc w:val="center"/>
              <w:rPr>
                <w:color w:val="000000"/>
                <w:sz w:val="20"/>
                <w:szCs w:val="20"/>
              </w:rPr>
            </w:pPr>
            <w:r w:rsidRPr="005A1F62">
              <w:rPr>
                <w:color w:val="000000"/>
                <w:sz w:val="20"/>
                <w:szCs w:val="20"/>
              </w:rPr>
              <w:t>≥ 120</w:t>
            </w:r>
          </w:p>
        </w:tc>
        <w:tc>
          <w:tcPr>
            <w:tcW w:w="417" w:type="pct"/>
            <w:shd w:val="clear" w:color="auto" w:fill="auto"/>
            <w:noWrap/>
            <w:vAlign w:val="center"/>
            <w:hideMark/>
          </w:tcPr>
          <w:p w14:paraId="47359D94"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6EEB20A3"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7" w:type="pct"/>
            <w:shd w:val="clear" w:color="auto" w:fill="auto"/>
            <w:noWrap/>
            <w:vAlign w:val="center"/>
            <w:hideMark/>
          </w:tcPr>
          <w:p w14:paraId="4D50004E" w14:textId="77777777" w:rsidR="007308F6" w:rsidRPr="005A1F62" w:rsidRDefault="007308F6" w:rsidP="00D07979">
            <w:pPr>
              <w:jc w:val="center"/>
              <w:rPr>
                <w:color w:val="000000"/>
                <w:sz w:val="20"/>
                <w:szCs w:val="20"/>
              </w:rPr>
            </w:pPr>
            <w:r w:rsidRPr="005A1F62">
              <w:rPr>
                <w:color w:val="000000"/>
                <w:sz w:val="20"/>
                <w:szCs w:val="20"/>
              </w:rPr>
              <w:t>не оцен.</w:t>
            </w:r>
          </w:p>
        </w:tc>
        <w:tc>
          <w:tcPr>
            <w:tcW w:w="416" w:type="pct"/>
            <w:shd w:val="clear" w:color="auto" w:fill="auto"/>
            <w:noWrap/>
            <w:vAlign w:val="center"/>
            <w:hideMark/>
          </w:tcPr>
          <w:p w14:paraId="11288A2E" w14:textId="77777777" w:rsidR="007308F6" w:rsidRPr="005A1F62" w:rsidRDefault="007308F6" w:rsidP="00D07979">
            <w:pPr>
              <w:jc w:val="center"/>
              <w:rPr>
                <w:color w:val="000000"/>
                <w:sz w:val="20"/>
                <w:szCs w:val="20"/>
              </w:rPr>
            </w:pPr>
            <w:r w:rsidRPr="005A1F62">
              <w:rPr>
                <w:color w:val="000000"/>
                <w:sz w:val="20"/>
                <w:szCs w:val="20"/>
              </w:rPr>
              <w:t>не оцен.</w:t>
            </w:r>
          </w:p>
        </w:tc>
      </w:tr>
    </w:tbl>
    <w:p w14:paraId="736FB6BC" w14:textId="5D420F9C" w:rsidR="00123515" w:rsidRPr="005A1F62" w:rsidRDefault="00123515" w:rsidP="00DC2FED">
      <w:pPr>
        <w:tabs>
          <w:tab w:val="left" w:pos="709"/>
        </w:tabs>
        <w:ind w:firstLine="567"/>
        <w:jc w:val="both"/>
        <w:rPr>
          <w:bCs/>
          <w:i/>
        </w:rPr>
      </w:pPr>
    </w:p>
    <w:p w14:paraId="766F6553" w14:textId="2D9D5C14" w:rsidR="003E38FC" w:rsidRPr="005A1F62" w:rsidRDefault="003E38FC" w:rsidP="00DC2FED">
      <w:pPr>
        <w:tabs>
          <w:tab w:val="left" w:pos="709"/>
        </w:tabs>
        <w:ind w:firstLine="567"/>
        <w:jc w:val="both"/>
        <w:rPr>
          <w:bCs/>
          <w:i/>
        </w:rPr>
      </w:pPr>
      <w:r w:rsidRPr="005A1F62">
        <w:rPr>
          <w:bCs/>
          <w:i/>
        </w:rPr>
        <w:t xml:space="preserve">У всех типов банков для параметров группы </w:t>
      </w:r>
      <w:r w:rsidR="00663CD9" w:rsidRPr="005A1F62">
        <w:rPr>
          <w:bCs/>
          <w:i/>
        </w:rPr>
        <w:t>«</w:t>
      </w:r>
      <w:r w:rsidR="002B4E7D" w:rsidRPr="005A1F62">
        <w:rPr>
          <w:bCs/>
          <w:i/>
        </w:rPr>
        <w:t>ликвидность</w:t>
      </w:r>
      <w:r w:rsidR="00663CD9" w:rsidRPr="005A1F62">
        <w:rPr>
          <w:bCs/>
          <w:i/>
        </w:rPr>
        <w:t>»</w:t>
      </w:r>
      <w:r w:rsidR="00F50E7D" w:rsidRPr="005A1F62">
        <w:rPr>
          <w:bCs/>
          <w:i/>
        </w:rPr>
        <w:t xml:space="preserve">, кроме устойчивости запаса ликвидности к досрочному изъятию средств на горизонте </w:t>
      </w:r>
      <w:r w:rsidR="00E67FB6" w:rsidRPr="005A1F62">
        <w:rPr>
          <w:bCs/>
          <w:i/>
        </w:rPr>
        <w:t xml:space="preserve">одного </w:t>
      </w:r>
      <w:r w:rsidR="00F50E7D" w:rsidRPr="005A1F62">
        <w:rPr>
          <w:bCs/>
          <w:i/>
        </w:rPr>
        <w:t>дня и 30 дней и норматива чистого стабильного фондирования,</w:t>
      </w:r>
      <w:r w:rsidRPr="005A1F62">
        <w:rPr>
          <w:bCs/>
          <w:i/>
        </w:rPr>
        <w:t xml:space="preserve"> зависимость балла от значения определяется степенной функцией с показателем степени</w:t>
      </w:r>
      <w:r w:rsidR="002B4E7D" w:rsidRPr="005A1F62">
        <w:rPr>
          <w:bCs/>
          <w:i/>
        </w:rPr>
        <w:t>,</w:t>
      </w:r>
      <w:r w:rsidRPr="005A1F62">
        <w:rPr>
          <w:bCs/>
          <w:i/>
        </w:rPr>
        <w:t xml:space="preserve"> равным 0,63</w:t>
      </w:r>
      <w:r w:rsidR="00663CD9" w:rsidRPr="005A1F62">
        <w:rPr>
          <w:bCs/>
          <w:i/>
        </w:rPr>
        <w:t>.</w:t>
      </w:r>
    </w:p>
    <w:p w14:paraId="2A8F19F0" w14:textId="77777777" w:rsidR="003E38FC" w:rsidRPr="005A1F62" w:rsidRDefault="003E38FC" w:rsidP="00DC2FED">
      <w:pPr>
        <w:tabs>
          <w:tab w:val="left" w:pos="709"/>
        </w:tabs>
        <w:ind w:firstLine="567"/>
        <w:rPr>
          <w:bCs/>
        </w:rPr>
      </w:pPr>
    </w:p>
    <w:p w14:paraId="4EE2DE88" w14:textId="5F46ACC8" w:rsidR="003E38FC" w:rsidRPr="005A1F62" w:rsidRDefault="00FE2975" w:rsidP="003C5D28">
      <w:pPr>
        <w:pStyle w:val="afb"/>
        <w:numPr>
          <w:ilvl w:val="0"/>
          <w:numId w:val="21"/>
        </w:numPr>
        <w:tabs>
          <w:tab w:val="left" w:pos="709"/>
        </w:tabs>
        <w:ind w:left="0" w:firstLine="567"/>
        <w:jc w:val="both"/>
      </w:pPr>
      <w:r w:rsidRPr="005A1F62">
        <w:rPr>
          <w:bCs/>
        </w:rPr>
        <w:t>ДИВЕРСИФИКАЦИЯ РЕСУРСНОЙ БАЗЫ</w:t>
      </w:r>
    </w:p>
    <w:p w14:paraId="61EE0266" w14:textId="77777777" w:rsidR="00AB6DDE" w:rsidRPr="005A1F62" w:rsidRDefault="00AB6DDE" w:rsidP="00AB6DDE">
      <w:pPr>
        <w:pStyle w:val="afb"/>
        <w:tabs>
          <w:tab w:val="left" w:pos="709"/>
        </w:tabs>
        <w:ind w:left="567"/>
        <w:jc w:val="both"/>
      </w:pPr>
    </w:p>
    <w:p w14:paraId="74300D2F" w14:textId="5D417DF1" w:rsidR="00AB6DDE" w:rsidRPr="005A1F62" w:rsidRDefault="00AB6DDE" w:rsidP="003C5D28">
      <w:pPr>
        <w:pStyle w:val="afb"/>
        <w:numPr>
          <w:ilvl w:val="1"/>
          <w:numId w:val="21"/>
        </w:numPr>
        <w:tabs>
          <w:tab w:val="left" w:pos="709"/>
        </w:tabs>
        <w:jc w:val="both"/>
      </w:pPr>
      <w:r w:rsidRPr="005A1F62">
        <w:rPr>
          <w:bCs/>
        </w:rPr>
        <w:t>Диверсификация ресурсной базы по клиентам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2352"/>
        <w:gridCol w:w="1111"/>
        <w:gridCol w:w="1086"/>
      </w:tblGrid>
      <w:tr w:rsidR="00AB6DDE" w:rsidRPr="005A1F62" w14:paraId="4C71349A" w14:textId="77777777" w:rsidTr="00AC0067">
        <w:trPr>
          <w:trHeight w:val="20"/>
        </w:trPr>
        <w:tc>
          <w:tcPr>
            <w:tcW w:w="2566" w:type="pct"/>
            <w:vMerge w:val="restart"/>
            <w:shd w:val="clear" w:color="auto" w:fill="D9D9D9" w:themeFill="background1" w:themeFillShade="D9"/>
            <w:vAlign w:val="center"/>
            <w:hideMark/>
          </w:tcPr>
          <w:p w14:paraId="5EDCFE37" w14:textId="77777777" w:rsidR="00AB6DDE" w:rsidRPr="005A1F62" w:rsidRDefault="00AB6DDE" w:rsidP="00AB6DDE">
            <w:pPr>
              <w:tabs>
                <w:tab w:val="left" w:pos="709"/>
              </w:tabs>
            </w:pPr>
            <w:r w:rsidRPr="005A1F62">
              <w:t>Показатель</w:t>
            </w:r>
          </w:p>
          <w:p w14:paraId="707FF925" w14:textId="5F1171F9" w:rsidR="00AB6DDE" w:rsidRPr="005A1F62" w:rsidRDefault="00AB6DDE" w:rsidP="00AB6DDE">
            <w:pPr>
              <w:tabs>
                <w:tab w:val="left" w:pos="709"/>
              </w:tabs>
            </w:pPr>
            <w:r w:rsidRPr="005A1F62">
              <w:rPr>
                <w:bCs/>
              </w:rPr>
              <w:t> </w:t>
            </w:r>
          </w:p>
        </w:tc>
        <w:tc>
          <w:tcPr>
            <w:tcW w:w="1258" w:type="pct"/>
            <w:vMerge w:val="restart"/>
            <w:shd w:val="clear" w:color="auto" w:fill="D9D9D9" w:themeFill="background1" w:themeFillShade="D9"/>
            <w:noWrap/>
            <w:vAlign w:val="center"/>
            <w:hideMark/>
          </w:tcPr>
          <w:p w14:paraId="7885F64D" w14:textId="38A2F3E5" w:rsidR="00AB6DDE" w:rsidRPr="005A1F62" w:rsidRDefault="00AB6DDE" w:rsidP="00AB6DDE">
            <w:pPr>
              <w:tabs>
                <w:tab w:val="left" w:pos="709"/>
              </w:tabs>
              <w:jc w:val="center"/>
            </w:pPr>
            <w:r w:rsidRPr="005A1F62">
              <w:t>Определение оценки</w:t>
            </w:r>
          </w:p>
        </w:tc>
        <w:tc>
          <w:tcPr>
            <w:tcW w:w="594" w:type="pct"/>
            <w:shd w:val="clear" w:color="auto" w:fill="D9D9D9" w:themeFill="background1" w:themeFillShade="D9"/>
            <w:noWrap/>
            <w:vAlign w:val="center"/>
            <w:hideMark/>
          </w:tcPr>
          <w:p w14:paraId="4646DD89" w14:textId="77777777" w:rsidR="00AB6DDE" w:rsidRPr="005A1F62" w:rsidRDefault="00AB6DDE" w:rsidP="00AB6DDE">
            <w:pPr>
              <w:tabs>
                <w:tab w:val="left" w:pos="709"/>
              </w:tabs>
              <w:jc w:val="center"/>
              <w:rPr>
                <w:bCs/>
              </w:rPr>
            </w:pPr>
            <w:r w:rsidRPr="005A1F62">
              <w:rPr>
                <w:bCs/>
              </w:rPr>
              <w:t>-1</w:t>
            </w:r>
          </w:p>
        </w:tc>
        <w:tc>
          <w:tcPr>
            <w:tcW w:w="581" w:type="pct"/>
            <w:shd w:val="clear" w:color="auto" w:fill="D9D9D9" w:themeFill="background1" w:themeFillShade="D9"/>
            <w:noWrap/>
            <w:vAlign w:val="center"/>
            <w:hideMark/>
          </w:tcPr>
          <w:p w14:paraId="27ADAA76" w14:textId="77777777" w:rsidR="00AB6DDE" w:rsidRPr="005A1F62" w:rsidRDefault="00AB6DDE" w:rsidP="00AB6DDE">
            <w:pPr>
              <w:tabs>
                <w:tab w:val="left" w:pos="709"/>
              </w:tabs>
              <w:jc w:val="center"/>
              <w:rPr>
                <w:bCs/>
              </w:rPr>
            </w:pPr>
            <w:r w:rsidRPr="005A1F62">
              <w:rPr>
                <w:bCs/>
              </w:rPr>
              <w:t>1</w:t>
            </w:r>
          </w:p>
        </w:tc>
      </w:tr>
      <w:tr w:rsidR="00AB6DDE" w:rsidRPr="005A1F62" w14:paraId="2349F12C" w14:textId="77777777" w:rsidTr="00AC0067">
        <w:trPr>
          <w:trHeight w:val="20"/>
        </w:trPr>
        <w:tc>
          <w:tcPr>
            <w:tcW w:w="2566" w:type="pct"/>
            <w:vMerge/>
            <w:shd w:val="clear" w:color="auto" w:fill="D9D9D9" w:themeFill="background1" w:themeFillShade="D9"/>
            <w:vAlign w:val="bottom"/>
            <w:hideMark/>
          </w:tcPr>
          <w:p w14:paraId="2DFBD994" w14:textId="19E770BF" w:rsidR="00AB6DDE" w:rsidRPr="005A1F62" w:rsidRDefault="00AB6DDE" w:rsidP="00DC2FED">
            <w:pPr>
              <w:tabs>
                <w:tab w:val="left" w:pos="709"/>
              </w:tabs>
              <w:rPr>
                <w:bCs/>
              </w:rPr>
            </w:pPr>
          </w:p>
        </w:tc>
        <w:tc>
          <w:tcPr>
            <w:tcW w:w="1258" w:type="pct"/>
            <w:vMerge/>
            <w:shd w:val="clear" w:color="auto" w:fill="D9D9D9" w:themeFill="background1" w:themeFillShade="D9"/>
            <w:noWrap/>
            <w:vAlign w:val="center"/>
            <w:hideMark/>
          </w:tcPr>
          <w:p w14:paraId="31D6D03E" w14:textId="5E7374CD" w:rsidR="00AB6DDE" w:rsidRPr="005A1F62" w:rsidRDefault="00AB6DDE" w:rsidP="00AB6DDE">
            <w:pPr>
              <w:tabs>
                <w:tab w:val="left" w:pos="709"/>
              </w:tabs>
              <w:jc w:val="center"/>
              <w:rPr>
                <w:bCs/>
              </w:rPr>
            </w:pPr>
          </w:p>
        </w:tc>
        <w:tc>
          <w:tcPr>
            <w:tcW w:w="594" w:type="pct"/>
            <w:shd w:val="clear" w:color="auto" w:fill="D9D9D9" w:themeFill="background1" w:themeFillShade="D9"/>
            <w:noWrap/>
            <w:vAlign w:val="center"/>
            <w:hideMark/>
          </w:tcPr>
          <w:p w14:paraId="18FFAD52" w14:textId="793D30FA" w:rsidR="00AB6DDE" w:rsidRPr="005A1F62" w:rsidRDefault="00AB6DDE" w:rsidP="00AB6DDE">
            <w:pPr>
              <w:tabs>
                <w:tab w:val="left" w:pos="709"/>
              </w:tabs>
              <w:jc w:val="center"/>
              <w:rPr>
                <w:bCs/>
              </w:rPr>
            </w:pPr>
            <w:r w:rsidRPr="005A1F62">
              <w:rPr>
                <w:bCs/>
              </w:rPr>
              <w:t>не менее</w:t>
            </w:r>
          </w:p>
        </w:tc>
        <w:tc>
          <w:tcPr>
            <w:tcW w:w="581" w:type="pct"/>
            <w:shd w:val="clear" w:color="auto" w:fill="D9D9D9" w:themeFill="background1" w:themeFillShade="D9"/>
            <w:noWrap/>
            <w:vAlign w:val="center"/>
            <w:hideMark/>
          </w:tcPr>
          <w:p w14:paraId="23A8F19E" w14:textId="5DB54AFC" w:rsidR="00AB6DDE" w:rsidRPr="005A1F62" w:rsidRDefault="00AB6DDE" w:rsidP="00AB6DDE">
            <w:pPr>
              <w:tabs>
                <w:tab w:val="left" w:pos="709"/>
              </w:tabs>
              <w:jc w:val="center"/>
              <w:rPr>
                <w:bCs/>
              </w:rPr>
            </w:pPr>
            <w:r w:rsidRPr="005A1F62">
              <w:rPr>
                <w:bCs/>
              </w:rPr>
              <w:t>не более</w:t>
            </w:r>
          </w:p>
        </w:tc>
      </w:tr>
      <w:tr w:rsidR="00AB6DDE" w:rsidRPr="005A1F62" w14:paraId="53512D43" w14:textId="77777777" w:rsidTr="00AC0067">
        <w:trPr>
          <w:trHeight w:val="20"/>
        </w:trPr>
        <w:tc>
          <w:tcPr>
            <w:tcW w:w="2566" w:type="pct"/>
            <w:shd w:val="clear" w:color="auto" w:fill="auto"/>
            <w:vAlign w:val="bottom"/>
            <w:hideMark/>
          </w:tcPr>
          <w:p w14:paraId="66B5F65B" w14:textId="77777777" w:rsidR="003E38FC" w:rsidRPr="005A1F62" w:rsidRDefault="003E38FC" w:rsidP="00AB6DDE">
            <w:pPr>
              <w:tabs>
                <w:tab w:val="left" w:pos="709"/>
              </w:tabs>
              <w:jc w:val="both"/>
            </w:pPr>
            <w:r w:rsidRPr="005A1F62">
              <w:t>Доля 10 крупнейших вкладчиков в пассивах банка</w:t>
            </w:r>
            <w:r w:rsidR="002B4E7D" w:rsidRPr="005A1F62">
              <w:t>, %</w:t>
            </w:r>
          </w:p>
        </w:tc>
        <w:tc>
          <w:tcPr>
            <w:tcW w:w="1258" w:type="pct"/>
            <w:vMerge w:val="restart"/>
            <w:shd w:val="clear" w:color="auto" w:fill="auto"/>
            <w:vAlign w:val="center"/>
            <w:hideMark/>
          </w:tcPr>
          <w:p w14:paraId="6DB8E4EF" w14:textId="6D880180" w:rsidR="003E38FC" w:rsidRPr="005A1F62" w:rsidRDefault="003E38FC" w:rsidP="00AB6DDE">
            <w:pPr>
              <w:tabs>
                <w:tab w:val="left" w:pos="709"/>
              </w:tabs>
              <w:jc w:val="center"/>
            </w:pPr>
            <w:r w:rsidRPr="005A1F62">
              <w:t>Миним</w:t>
            </w:r>
            <w:r w:rsidR="00AB6DDE" w:rsidRPr="005A1F62">
              <w:t>ум</w:t>
            </w:r>
          </w:p>
        </w:tc>
        <w:tc>
          <w:tcPr>
            <w:tcW w:w="594" w:type="pct"/>
            <w:shd w:val="clear" w:color="auto" w:fill="auto"/>
            <w:noWrap/>
            <w:vAlign w:val="center"/>
          </w:tcPr>
          <w:p w14:paraId="6933A9E5" w14:textId="7F632EFD" w:rsidR="003E38FC" w:rsidRPr="005A1F62" w:rsidRDefault="00AB6DDE" w:rsidP="00AB6DDE">
            <w:pPr>
              <w:tabs>
                <w:tab w:val="left" w:pos="709"/>
              </w:tabs>
              <w:jc w:val="center"/>
            </w:pPr>
            <w:r w:rsidRPr="005A1F62">
              <w:t>50</w:t>
            </w:r>
          </w:p>
        </w:tc>
        <w:tc>
          <w:tcPr>
            <w:tcW w:w="581" w:type="pct"/>
            <w:shd w:val="clear" w:color="auto" w:fill="auto"/>
            <w:noWrap/>
            <w:vAlign w:val="center"/>
          </w:tcPr>
          <w:p w14:paraId="7E09A6CE" w14:textId="5E4FC92E" w:rsidR="003E38FC" w:rsidRPr="005A1F62" w:rsidRDefault="00AB6DDE" w:rsidP="00AB6DDE">
            <w:pPr>
              <w:tabs>
                <w:tab w:val="left" w:pos="709"/>
              </w:tabs>
              <w:jc w:val="center"/>
            </w:pPr>
            <w:r w:rsidRPr="005A1F62">
              <w:t>20</w:t>
            </w:r>
          </w:p>
        </w:tc>
      </w:tr>
      <w:tr w:rsidR="00AB6DDE" w:rsidRPr="005A1F62" w14:paraId="06634A81" w14:textId="77777777" w:rsidTr="00AC0067">
        <w:trPr>
          <w:trHeight w:val="20"/>
        </w:trPr>
        <w:tc>
          <w:tcPr>
            <w:tcW w:w="2566" w:type="pct"/>
            <w:shd w:val="clear" w:color="auto" w:fill="auto"/>
            <w:vAlign w:val="bottom"/>
            <w:hideMark/>
          </w:tcPr>
          <w:p w14:paraId="6C424A10" w14:textId="77777777" w:rsidR="003E38FC" w:rsidRPr="005A1F62" w:rsidRDefault="003E38FC" w:rsidP="00AB6DDE">
            <w:pPr>
              <w:tabs>
                <w:tab w:val="left" w:pos="709"/>
              </w:tabs>
              <w:jc w:val="both"/>
            </w:pPr>
            <w:r w:rsidRPr="005A1F62">
              <w:t>Доля крупнейшего вкладчика в пассивах</w:t>
            </w:r>
            <w:r w:rsidR="002B4E7D" w:rsidRPr="005A1F62">
              <w:t>, %</w:t>
            </w:r>
          </w:p>
        </w:tc>
        <w:tc>
          <w:tcPr>
            <w:tcW w:w="1258" w:type="pct"/>
            <w:vMerge/>
            <w:vAlign w:val="center"/>
            <w:hideMark/>
          </w:tcPr>
          <w:p w14:paraId="46204924" w14:textId="77777777" w:rsidR="003E38FC" w:rsidRPr="005A1F62" w:rsidRDefault="003E38FC" w:rsidP="00AB6DDE">
            <w:pPr>
              <w:tabs>
                <w:tab w:val="left" w:pos="709"/>
              </w:tabs>
              <w:jc w:val="center"/>
            </w:pPr>
          </w:p>
        </w:tc>
        <w:tc>
          <w:tcPr>
            <w:tcW w:w="594" w:type="pct"/>
            <w:shd w:val="clear" w:color="auto" w:fill="auto"/>
            <w:noWrap/>
            <w:vAlign w:val="center"/>
          </w:tcPr>
          <w:p w14:paraId="5FA2B155" w14:textId="78F08CD6" w:rsidR="003E38FC" w:rsidRPr="005A1F62" w:rsidRDefault="00AB6DDE" w:rsidP="00AB6DDE">
            <w:pPr>
              <w:tabs>
                <w:tab w:val="left" w:pos="709"/>
              </w:tabs>
              <w:jc w:val="center"/>
            </w:pPr>
            <w:r w:rsidRPr="005A1F62">
              <w:t>15</w:t>
            </w:r>
          </w:p>
        </w:tc>
        <w:tc>
          <w:tcPr>
            <w:tcW w:w="581" w:type="pct"/>
            <w:shd w:val="clear" w:color="auto" w:fill="auto"/>
            <w:noWrap/>
            <w:vAlign w:val="center"/>
          </w:tcPr>
          <w:p w14:paraId="7F7A001D" w14:textId="66CDBFF4" w:rsidR="003E38FC" w:rsidRPr="005A1F62" w:rsidRDefault="00AB6DDE" w:rsidP="00AB6DDE">
            <w:pPr>
              <w:tabs>
                <w:tab w:val="left" w:pos="709"/>
              </w:tabs>
              <w:jc w:val="center"/>
            </w:pPr>
            <w:r w:rsidRPr="005A1F62">
              <w:t>4</w:t>
            </w:r>
          </w:p>
        </w:tc>
      </w:tr>
    </w:tbl>
    <w:p w14:paraId="18266CC4" w14:textId="4F546EF5" w:rsidR="00AB6DDE" w:rsidRPr="005A1F62" w:rsidRDefault="00AB6DDE" w:rsidP="003C5D28">
      <w:pPr>
        <w:pStyle w:val="afb"/>
        <w:numPr>
          <w:ilvl w:val="1"/>
          <w:numId w:val="21"/>
        </w:numPr>
        <w:tabs>
          <w:tab w:val="left" w:pos="709"/>
        </w:tabs>
        <w:jc w:val="both"/>
      </w:pPr>
      <w:r w:rsidRPr="005A1F62">
        <w:rPr>
          <w:bCs/>
        </w:rPr>
        <w:lastRenderedPageBreak/>
        <w:t>Диверсификация ресурсной базы по источника</w:t>
      </w:r>
      <w:r w:rsidR="00C7612B" w:rsidRPr="005A1F62">
        <w:rPr>
          <w:bCs/>
        </w:rPr>
        <w:t>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2352"/>
        <w:gridCol w:w="1201"/>
        <w:gridCol w:w="1086"/>
      </w:tblGrid>
      <w:tr w:rsidR="00E017EA" w:rsidRPr="005A1F62" w14:paraId="28D0E844" w14:textId="77777777" w:rsidTr="009C4CC4">
        <w:trPr>
          <w:trHeight w:val="20"/>
        </w:trPr>
        <w:tc>
          <w:tcPr>
            <w:tcW w:w="2521" w:type="pct"/>
            <w:vMerge w:val="restart"/>
            <w:shd w:val="clear" w:color="auto" w:fill="D9D9D9" w:themeFill="background1" w:themeFillShade="D9"/>
            <w:vAlign w:val="center"/>
            <w:hideMark/>
          </w:tcPr>
          <w:p w14:paraId="401C0AEA" w14:textId="1FE45F67" w:rsidR="00E017EA" w:rsidRPr="005A1F62" w:rsidRDefault="00E017EA" w:rsidP="00E017EA">
            <w:pPr>
              <w:tabs>
                <w:tab w:val="left" w:pos="709"/>
              </w:tabs>
            </w:pPr>
            <w:bookmarkStart w:id="249" w:name="_Hlk506397821"/>
            <w:r w:rsidRPr="005A1F62">
              <w:t>Показатель</w:t>
            </w:r>
            <w:r w:rsidRPr="005A1F62">
              <w:rPr>
                <w:bCs/>
              </w:rPr>
              <w:t> </w:t>
            </w:r>
          </w:p>
        </w:tc>
        <w:tc>
          <w:tcPr>
            <w:tcW w:w="1260" w:type="pct"/>
            <w:vMerge w:val="restart"/>
            <w:shd w:val="clear" w:color="auto" w:fill="D9D9D9" w:themeFill="background1" w:themeFillShade="D9"/>
            <w:noWrap/>
            <w:vAlign w:val="center"/>
            <w:hideMark/>
          </w:tcPr>
          <w:p w14:paraId="0EDB82A9" w14:textId="5B3A7DE7" w:rsidR="00E017EA" w:rsidRPr="005A1F62" w:rsidRDefault="00E017EA" w:rsidP="00E017EA">
            <w:pPr>
              <w:tabs>
                <w:tab w:val="left" w:pos="709"/>
              </w:tabs>
              <w:jc w:val="center"/>
            </w:pPr>
            <w:r w:rsidRPr="005A1F62">
              <w:t>Определение оценки</w:t>
            </w:r>
          </w:p>
        </w:tc>
        <w:tc>
          <w:tcPr>
            <w:tcW w:w="647" w:type="pct"/>
            <w:shd w:val="clear" w:color="auto" w:fill="D9D9D9" w:themeFill="background1" w:themeFillShade="D9"/>
            <w:noWrap/>
            <w:vAlign w:val="center"/>
            <w:hideMark/>
          </w:tcPr>
          <w:p w14:paraId="16304418" w14:textId="77777777" w:rsidR="00E017EA" w:rsidRPr="005A1F62" w:rsidRDefault="00E017EA" w:rsidP="00E017EA">
            <w:pPr>
              <w:tabs>
                <w:tab w:val="left" w:pos="709"/>
              </w:tabs>
              <w:jc w:val="center"/>
              <w:rPr>
                <w:bCs/>
              </w:rPr>
            </w:pPr>
            <w:r w:rsidRPr="005A1F62">
              <w:rPr>
                <w:bCs/>
              </w:rPr>
              <w:t>-1</w:t>
            </w:r>
          </w:p>
        </w:tc>
        <w:tc>
          <w:tcPr>
            <w:tcW w:w="573" w:type="pct"/>
            <w:shd w:val="clear" w:color="auto" w:fill="D9D9D9" w:themeFill="background1" w:themeFillShade="D9"/>
            <w:noWrap/>
            <w:vAlign w:val="center"/>
            <w:hideMark/>
          </w:tcPr>
          <w:p w14:paraId="54B1171F" w14:textId="77777777" w:rsidR="00E017EA" w:rsidRPr="005A1F62" w:rsidRDefault="00E017EA" w:rsidP="00E017EA">
            <w:pPr>
              <w:tabs>
                <w:tab w:val="left" w:pos="709"/>
              </w:tabs>
              <w:jc w:val="center"/>
              <w:rPr>
                <w:bCs/>
              </w:rPr>
            </w:pPr>
            <w:r w:rsidRPr="005A1F62">
              <w:rPr>
                <w:bCs/>
              </w:rPr>
              <w:t>1</w:t>
            </w:r>
          </w:p>
        </w:tc>
      </w:tr>
      <w:tr w:rsidR="00E017EA" w:rsidRPr="005A1F62" w14:paraId="2E99302D" w14:textId="77777777" w:rsidTr="009C4CC4">
        <w:trPr>
          <w:trHeight w:val="20"/>
        </w:trPr>
        <w:tc>
          <w:tcPr>
            <w:tcW w:w="2521" w:type="pct"/>
            <w:vMerge/>
            <w:shd w:val="clear" w:color="auto" w:fill="D9D9D9" w:themeFill="background1" w:themeFillShade="D9"/>
            <w:vAlign w:val="bottom"/>
            <w:hideMark/>
          </w:tcPr>
          <w:p w14:paraId="716B30AC" w14:textId="0EF5E851" w:rsidR="00E017EA" w:rsidRPr="005A1F62" w:rsidRDefault="00E017EA" w:rsidP="00E017EA">
            <w:pPr>
              <w:tabs>
                <w:tab w:val="left" w:pos="709"/>
              </w:tabs>
              <w:rPr>
                <w:bCs/>
              </w:rPr>
            </w:pPr>
          </w:p>
        </w:tc>
        <w:tc>
          <w:tcPr>
            <w:tcW w:w="1260" w:type="pct"/>
            <w:vMerge/>
            <w:shd w:val="clear" w:color="auto" w:fill="D9D9D9" w:themeFill="background1" w:themeFillShade="D9"/>
            <w:noWrap/>
            <w:vAlign w:val="center"/>
            <w:hideMark/>
          </w:tcPr>
          <w:p w14:paraId="38372AA0" w14:textId="7E8EBAF4" w:rsidR="00E017EA" w:rsidRPr="005A1F62" w:rsidRDefault="00E017EA" w:rsidP="00E017EA">
            <w:pPr>
              <w:tabs>
                <w:tab w:val="left" w:pos="709"/>
              </w:tabs>
              <w:jc w:val="center"/>
              <w:rPr>
                <w:bCs/>
              </w:rPr>
            </w:pPr>
          </w:p>
        </w:tc>
        <w:tc>
          <w:tcPr>
            <w:tcW w:w="647" w:type="pct"/>
            <w:shd w:val="clear" w:color="auto" w:fill="D9D9D9" w:themeFill="background1" w:themeFillShade="D9"/>
            <w:noWrap/>
            <w:vAlign w:val="center"/>
            <w:hideMark/>
          </w:tcPr>
          <w:p w14:paraId="376B0495" w14:textId="6D683285" w:rsidR="00E017EA" w:rsidRPr="005A1F62" w:rsidRDefault="00E017EA" w:rsidP="00E017EA">
            <w:pPr>
              <w:tabs>
                <w:tab w:val="left" w:pos="709"/>
              </w:tabs>
              <w:jc w:val="center"/>
              <w:rPr>
                <w:bCs/>
              </w:rPr>
            </w:pPr>
            <w:r w:rsidRPr="005A1F62">
              <w:rPr>
                <w:bCs/>
              </w:rPr>
              <w:t>не менее</w:t>
            </w:r>
          </w:p>
        </w:tc>
        <w:tc>
          <w:tcPr>
            <w:tcW w:w="573" w:type="pct"/>
            <w:shd w:val="clear" w:color="auto" w:fill="D9D9D9" w:themeFill="background1" w:themeFillShade="D9"/>
            <w:noWrap/>
            <w:vAlign w:val="center"/>
            <w:hideMark/>
          </w:tcPr>
          <w:p w14:paraId="1F9B9469" w14:textId="7BC570D1" w:rsidR="00E017EA" w:rsidRPr="005A1F62" w:rsidRDefault="00E017EA" w:rsidP="00E017EA">
            <w:pPr>
              <w:tabs>
                <w:tab w:val="left" w:pos="709"/>
              </w:tabs>
              <w:jc w:val="center"/>
              <w:rPr>
                <w:bCs/>
              </w:rPr>
            </w:pPr>
            <w:r w:rsidRPr="005A1F62">
              <w:rPr>
                <w:bCs/>
              </w:rPr>
              <w:t>не более</w:t>
            </w:r>
          </w:p>
        </w:tc>
      </w:tr>
      <w:tr w:rsidR="00E017EA" w:rsidRPr="005A1F62" w14:paraId="75CB7D81" w14:textId="77777777" w:rsidTr="009C4CC4">
        <w:trPr>
          <w:trHeight w:val="20"/>
        </w:trPr>
        <w:tc>
          <w:tcPr>
            <w:tcW w:w="2521" w:type="pct"/>
            <w:shd w:val="clear" w:color="auto" w:fill="auto"/>
            <w:vAlign w:val="bottom"/>
            <w:hideMark/>
          </w:tcPr>
          <w:p w14:paraId="45D9F262" w14:textId="278E1F95" w:rsidR="00E017EA" w:rsidRPr="005A1F62" w:rsidRDefault="00E017EA" w:rsidP="00E017EA">
            <w:pPr>
              <w:tabs>
                <w:tab w:val="left" w:pos="709"/>
              </w:tabs>
              <w:jc w:val="both"/>
            </w:pPr>
            <w:r w:rsidRPr="005A1F62">
              <w:t>Доля важнейшего источника привлеченных средств в пассивах, %</w:t>
            </w:r>
          </w:p>
        </w:tc>
        <w:tc>
          <w:tcPr>
            <w:tcW w:w="1260" w:type="pct"/>
            <w:vMerge w:val="restart"/>
            <w:shd w:val="clear" w:color="auto" w:fill="auto"/>
            <w:vAlign w:val="center"/>
            <w:hideMark/>
          </w:tcPr>
          <w:p w14:paraId="553470BE" w14:textId="15AE6E8F" w:rsidR="00E017EA" w:rsidRPr="005A1F62" w:rsidRDefault="00E017EA" w:rsidP="00E017EA">
            <w:pPr>
              <w:tabs>
                <w:tab w:val="left" w:pos="709"/>
              </w:tabs>
              <w:jc w:val="center"/>
            </w:pPr>
            <w:r w:rsidRPr="005A1F62">
              <w:t>Миним</w:t>
            </w:r>
            <w:r w:rsidRPr="005A1F62">
              <w:t>ум</w:t>
            </w:r>
          </w:p>
        </w:tc>
        <w:tc>
          <w:tcPr>
            <w:tcW w:w="647" w:type="pct"/>
            <w:shd w:val="clear" w:color="auto" w:fill="auto"/>
            <w:noWrap/>
            <w:vAlign w:val="center"/>
          </w:tcPr>
          <w:p w14:paraId="57D60C61" w14:textId="2B5BB417" w:rsidR="00E017EA" w:rsidRPr="005A1F62" w:rsidRDefault="00E017EA" w:rsidP="00E017EA">
            <w:pPr>
              <w:tabs>
                <w:tab w:val="left" w:pos="709"/>
              </w:tabs>
              <w:jc w:val="center"/>
            </w:pPr>
            <w:r w:rsidRPr="005A1F62">
              <w:t>80</w:t>
            </w:r>
          </w:p>
        </w:tc>
        <w:tc>
          <w:tcPr>
            <w:tcW w:w="573" w:type="pct"/>
            <w:shd w:val="clear" w:color="auto" w:fill="auto"/>
            <w:noWrap/>
            <w:vAlign w:val="center"/>
          </w:tcPr>
          <w:p w14:paraId="49A5B988" w14:textId="7F272318" w:rsidR="00E017EA" w:rsidRPr="005A1F62" w:rsidRDefault="00E017EA" w:rsidP="00E017EA">
            <w:pPr>
              <w:tabs>
                <w:tab w:val="left" w:pos="709"/>
              </w:tabs>
              <w:jc w:val="center"/>
            </w:pPr>
            <w:r w:rsidRPr="005A1F62">
              <w:t>40</w:t>
            </w:r>
          </w:p>
        </w:tc>
      </w:tr>
      <w:tr w:rsidR="00E017EA" w:rsidRPr="005A1F62" w14:paraId="2CF3B5F9" w14:textId="77777777" w:rsidTr="009C4CC4">
        <w:trPr>
          <w:trHeight w:val="20"/>
        </w:trPr>
        <w:tc>
          <w:tcPr>
            <w:tcW w:w="2521" w:type="pct"/>
            <w:shd w:val="clear" w:color="auto" w:fill="auto"/>
            <w:vAlign w:val="bottom"/>
            <w:hideMark/>
          </w:tcPr>
          <w:p w14:paraId="1A9ABBAC" w14:textId="77777777" w:rsidR="00E017EA" w:rsidRPr="005A1F62" w:rsidRDefault="00E017EA" w:rsidP="00E017EA">
            <w:pPr>
              <w:tabs>
                <w:tab w:val="left" w:pos="709"/>
              </w:tabs>
              <w:jc w:val="both"/>
            </w:pPr>
            <w:r w:rsidRPr="005A1F62">
              <w:t>Доля выпущенных ценных бумаг в пассивах, %</w:t>
            </w:r>
          </w:p>
        </w:tc>
        <w:tc>
          <w:tcPr>
            <w:tcW w:w="1260" w:type="pct"/>
            <w:vMerge/>
            <w:vAlign w:val="center"/>
            <w:hideMark/>
          </w:tcPr>
          <w:p w14:paraId="3D1E6810" w14:textId="77777777" w:rsidR="00E017EA" w:rsidRPr="005A1F62" w:rsidRDefault="00E017EA" w:rsidP="00E017EA">
            <w:pPr>
              <w:tabs>
                <w:tab w:val="left" w:pos="709"/>
              </w:tabs>
              <w:jc w:val="center"/>
            </w:pPr>
          </w:p>
        </w:tc>
        <w:tc>
          <w:tcPr>
            <w:tcW w:w="647" w:type="pct"/>
            <w:shd w:val="clear" w:color="auto" w:fill="auto"/>
            <w:noWrap/>
            <w:vAlign w:val="center"/>
            <w:hideMark/>
          </w:tcPr>
          <w:p w14:paraId="528AF897" w14:textId="60DBDB15" w:rsidR="00E017EA" w:rsidRPr="005A1F62" w:rsidRDefault="00E017EA" w:rsidP="00E017EA">
            <w:pPr>
              <w:tabs>
                <w:tab w:val="left" w:pos="709"/>
              </w:tabs>
              <w:jc w:val="center"/>
            </w:pPr>
            <w:r w:rsidRPr="005A1F62">
              <w:t>25</w:t>
            </w:r>
          </w:p>
        </w:tc>
        <w:tc>
          <w:tcPr>
            <w:tcW w:w="573" w:type="pct"/>
            <w:shd w:val="clear" w:color="auto" w:fill="auto"/>
            <w:noWrap/>
            <w:vAlign w:val="center"/>
            <w:hideMark/>
          </w:tcPr>
          <w:p w14:paraId="386F9D56" w14:textId="773FA598" w:rsidR="00E017EA" w:rsidRPr="005A1F62" w:rsidRDefault="00E017EA" w:rsidP="00E017EA">
            <w:pPr>
              <w:tabs>
                <w:tab w:val="left" w:pos="709"/>
              </w:tabs>
              <w:jc w:val="center"/>
            </w:pPr>
            <w:r w:rsidRPr="005A1F62">
              <w:t>10</w:t>
            </w:r>
          </w:p>
        </w:tc>
      </w:tr>
      <w:bookmarkEnd w:id="249"/>
    </w:tbl>
    <w:p w14:paraId="1C98E11C" w14:textId="77777777" w:rsidR="003E38FC" w:rsidRPr="005A1F62" w:rsidRDefault="003E38FC" w:rsidP="00DC2FED">
      <w:pPr>
        <w:pStyle w:val="afb"/>
        <w:tabs>
          <w:tab w:val="left" w:pos="709"/>
        </w:tabs>
        <w:ind w:left="0" w:firstLine="567"/>
      </w:pPr>
    </w:p>
    <w:p w14:paraId="3000A5DF" w14:textId="5CACD4DE" w:rsidR="003E38FC" w:rsidRPr="005A1F62" w:rsidRDefault="003E38FC" w:rsidP="003C5D28">
      <w:pPr>
        <w:pStyle w:val="afb"/>
        <w:numPr>
          <w:ilvl w:val="0"/>
          <w:numId w:val="21"/>
        </w:numPr>
        <w:tabs>
          <w:tab w:val="left" w:pos="709"/>
        </w:tabs>
        <w:ind w:left="0" w:firstLine="567"/>
        <w:jc w:val="both"/>
        <w:rPr>
          <w:bCs/>
        </w:rPr>
      </w:pPr>
      <w:r w:rsidRPr="005A1F62">
        <w:rPr>
          <w:bCs/>
        </w:rPr>
        <w:t>СТАБИЛЬНОСТЬ РЕСУРСНОЙ БАЗЫ</w:t>
      </w:r>
    </w:p>
    <w:p w14:paraId="6A52136B" w14:textId="6684CDB6" w:rsidR="00021BD6" w:rsidRPr="005A1F62" w:rsidRDefault="001E628F" w:rsidP="003C5D28">
      <w:pPr>
        <w:pStyle w:val="afb"/>
        <w:numPr>
          <w:ilvl w:val="1"/>
          <w:numId w:val="21"/>
        </w:numPr>
        <w:tabs>
          <w:tab w:val="left" w:pos="709"/>
        </w:tabs>
        <w:jc w:val="both"/>
        <w:rPr>
          <w:bCs/>
        </w:rPr>
      </w:pPr>
      <w:r w:rsidRPr="005A1F62">
        <w:t>Динамика привлеченных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791"/>
        <w:gridCol w:w="792"/>
        <w:gridCol w:w="791"/>
        <w:gridCol w:w="792"/>
      </w:tblGrid>
      <w:tr w:rsidR="00AD6F45" w:rsidRPr="005A1F62" w14:paraId="54C41119" w14:textId="77777777" w:rsidTr="00021BD6">
        <w:trPr>
          <w:trHeight w:val="315"/>
        </w:trPr>
        <w:tc>
          <w:tcPr>
            <w:tcW w:w="3306" w:type="pct"/>
            <w:shd w:val="clear" w:color="auto" w:fill="D9D9D9" w:themeFill="background1" w:themeFillShade="D9"/>
            <w:vAlign w:val="bottom"/>
            <w:hideMark/>
          </w:tcPr>
          <w:p w14:paraId="23E8266B" w14:textId="33226900" w:rsidR="003579B2" w:rsidRPr="005A1F62" w:rsidRDefault="00021BD6" w:rsidP="00DC2FED">
            <w:pPr>
              <w:tabs>
                <w:tab w:val="left" w:pos="709"/>
              </w:tabs>
              <w:rPr>
                <w:bCs/>
              </w:rPr>
            </w:pPr>
            <w:r w:rsidRPr="005A1F62">
              <w:rPr>
                <w:bCs/>
              </w:rPr>
              <w:t>Показатель</w:t>
            </w:r>
          </w:p>
        </w:tc>
        <w:tc>
          <w:tcPr>
            <w:tcW w:w="423" w:type="pct"/>
            <w:shd w:val="clear" w:color="auto" w:fill="D9D9D9" w:themeFill="background1" w:themeFillShade="D9"/>
            <w:noWrap/>
            <w:vAlign w:val="center"/>
            <w:hideMark/>
          </w:tcPr>
          <w:p w14:paraId="1C169883" w14:textId="77777777" w:rsidR="003579B2" w:rsidRPr="005A1F62" w:rsidRDefault="003579B2" w:rsidP="00021BD6">
            <w:pPr>
              <w:tabs>
                <w:tab w:val="left" w:pos="709"/>
              </w:tabs>
              <w:jc w:val="center"/>
              <w:rPr>
                <w:bCs/>
              </w:rPr>
            </w:pPr>
            <w:r w:rsidRPr="005A1F62">
              <w:rPr>
                <w:bCs/>
              </w:rPr>
              <w:t>-1</w:t>
            </w:r>
          </w:p>
        </w:tc>
        <w:tc>
          <w:tcPr>
            <w:tcW w:w="424" w:type="pct"/>
            <w:shd w:val="clear" w:color="auto" w:fill="D9D9D9" w:themeFill="background1" w:themeFillShade="D9"/>
            <w:vAlign w:val="center"/>
            <w:hideMark/>
          </w:tcPr>
          <w:p w14:paraId="29E59190" w14:textId="77777777" w:rsidR="003579B2" w:rsidRPr="005A1F62" w:rsidRDefault="003579B2" w:rsidP="00021BD6">
            <w:pPr>
              <w:tabs>
                <w:tab w:val="left" w:pos="709"/>
              </w:tabs>
              <w:jc w:val="center"/>
              <w:rPr>
                <w:bCs/>
              </w:rPr>
            </w:pPr>
            <w:r w:rsidRPr="005A1F62">
              <w:rPr>
                <w:bCs/>
              </w:rPr>
              <w:t>1</w:t>
            </w:r>
          </w:p>
        </w:tc>
        <w:tc>
          <w:tcPr>
            <w:tcW w:w="423" w:type="pct"/>
            <w:shd w:val="clear" w:color="auto" w:fill="D9D9D9" w:themeFill="background1" w:themeFillShade="D9"/>
            <w:noWrap/>
            <w:vAlign w:val="center"/>
            <w:hideMark/>
          </w:tcPr>
          <w:p w14:paraId="670E0F16" w14:textId="77777777" w:rsidR="003579B2" w:rsidRPr="005A1F62" w:rsidRDefault="003579B2" w:rsidP="00021BD6">
            <w:pPr>
              <w:tabs>
                <w:tab w:val="left" w:pos="709"/>
              </w:tabs>
              <w:jc w:val="center"/>
              <w:rPr>
                <w:bCs/>
              </w:rPr>
            </w:pPr>
            <w:r w:rsidRPr="005A1F62">
              <w:rPr>
                <w:bCs/>
              </w:rPr>
              <w:t>-1</w:t>
            </w:r>
          </w:p>
        </w:tc>
        <w:tc>
          <w:tcPr>
            <w:tcW w:w="424" w:type="pct"/>
            <w:shd w:val="clear" w:color="auto" w:fill="D9D9D9" w:themeFill="background1" w:themeFillShade="D9"/>
            <w:noWrap/>
            <w:vAlign w:val="center"/>
            <w:hideMark/>
          </w:tcPr>
          <w:p w14:paraId="2165ADAA" w14:textId="77777777" w:rsidR="003579B2" w:rsidRPr="005A1F62" w:rsidRDefault="003579B2" w:rsidP="00021BD6">
            <w:pPr>
              <w:tabs>
                <w:tab w:val="left" w:pos="709"/>
              </w:tabs>
              <w:jc w:val="center"/>
              <w:rPr>
                <w:bCs/>
              </w:rPr>
            </w:pPr>
            <w:r w:rsidRPr="005A1F62">
              <w:rPr>
                <w:bCs/>
              </w:rPr>
              <w:t>1</w:t>
            </w:r>
          </w:p>
        </w:tc>
      </w:tr>
      <w:tr w:rsidR="00AD6F45" w:rsidRPr="005A1F62" w14:paraId="640D63B7" w14:textId="77777777" w:rsidTr="00021BD6">
        <w:trPr>
          <w:trHeight w:val="270"/>
        </w:trPr>
        <w:tc>
          <w:tcPr>
            <w:tcW w:w="3306" w:type="pct"/>
            <w:shd w:val="clear" w:color="auto" w:fill="auto"/>
            <w:vAlign w:val="bottom"/>
            <w:hideMark/>
          </w:tcPr>
          <w:p w14:paraId="00D0CAB8" w14:textId="5EFA55B1" w:rsidR="003579B2" w:rsidRPr="005A1F62" w:rsidRDefault="003579B2" w:rsidP="00021BD6">
            <w:pPr>
              <w:jc w:val="both"/>
            </w:pPr>
            <w:r w:rsidRPr="005A1F62">
              <w:t>Динамика привлеченных средств за последние 12 месяцев</w:t>
            </w:r>
            <w:r w:rsidR="00E67FB6" w:rsidRPr="005A1F62">
              <w:t>, %</w:t>
            </w:r>
          </w:p>
        </w:tc>
        <w:tc>
          <w:tcPr>
            <w:tcW w:w="423" w:type="pct"/>
            <w:shd w:val="clear" w:color="auto" w:fill="auto"/>
            <w:noWrap/>
            <w:vAlign w:val="center"/>
            <w:hideMark/>
          </w:tcPr>
          <w:p w14:paraId="64FDB821" w14:textId="038201A3" w:rsidR="003579B2" w:rsidRPr="005A1F62" w:rsidRDefault="00021BD6" w:rsidP="00021BD6">
            <w:pPr>
              <w:jc w:val="center"/>
            </w:pPr>
            <w:r w:rsidRPr="005A1F62">
              <w:t>≤ -20</w:t>
            </w:r>
          </w:p>
        </w:tc>
        <w:tc>
          <w:tcPr>
            <w:tcW w:w="424" w:type="pct"/>
            <w:shd w:val="clear" w:color="auto" w:fill="auto"/>
            <w:noWrap/>
            <w:vAlign w:val="center"/>
            <w:hideMark/>
          </w:tcPr>
          <w:p w14:paraId="748DA82C" w14:textId="70BC6121" w:rsidR="003579B2" w:rsidRPr="005A1F62" w:rsidRDefault="00021BD6" w:rsidP="00021BD6">
            <w:pPr>
              <w:jc w:val="center"/>
            </w:pPr>
            <w:r w:rsidRPr="005A1F62">
              <w:t>≥ 10</w:t>
            </w:r>
          </w:p>
        </w:tc>
        <w:tc>
          <w:tcPr>
            <w:tcW w:w="423" w:type="pct"/>
            <w:shd w:val="clear" w:color="auto" w:fill="auto"/>
            <w:noWrap/>
            <w:vAlign w:val="center"/>
            <w:hideMark/>
          </w:tcPr>
          <w:p w14:paraId="797991A6" w14:textId="2E009EBE" w:rsidR="003579B2" w:rsidRPr="005A1F62" w:rsidRDefault="00021BD6" w:rsidP="00021BD6">
            <w:pPr>
              <w:jc w:val="center"/>
            </w:pPr>
            <w:r w:rsidRPr="005A1F62">
              <w:t>≥ 50</w:t>
            </w:r>
          </w:p>
        </w:tc>
        <w:tc>
          <w:tcPr>
            <w:tcW w:w="424" w:type="pct"/>
            <w:shd w:val="clear" w:color="auto" w:fill="auto"/>
            <w:noWrap/>
            <w:vAlign w:val="center"/>
            <w:hideMark/>
          </w:tcPr>
          <w:p w14:paraId="47D57C46" w14:textId="118302A8" w:rsidR="003579B2" w:rsidRPr="005A1F62" w:rsidRDefault="00021BD6" w:rsidP="00021BD6">
            <w:pPr>
              <w:jc w:val="center"/>
            </w:pPr>
            <w:r w:rsidRPr="005A1F62">
              <w:t>≤ 15</w:t>
            </w:r>
          </w:p>
        </w:tc>
      </w:tr>
    </w:tbl>
    <w:p w14:paraId="70B75EF6" w14:textId="648DC758" w:rsidR="003579B2" w:rsidRPr="005A1F62" w:rsidRDefault="003579B2" w:rsidP="00DC2FED">
      <w:pPr>
        <w:pStyle w:val="afb"/>
        <w:ind w:left="-142"/>
        <w:jc w:val="both"/>
      </w:pPr>
    </w:p>
    <w:p w14:paraId="2E25655E" w14:textId="488B8756" w:rsidR="00021BD6" w:rsidRPr="005A1F62" w:rsidRDefault="001E628F" w:rsidP="003C5D28">
      <w:pPr>
        <w:pStyle w:val="afb"/>
        <w:numPr>
          <w:ilvl w:val="1"/>
          <w:numId w:val="21"/>
        </w:numPr>
        <w:tabs>
          <w:tab w:val="left" w:pos="709"/>
        </w:tabs>
        <w:jc w:val="both"/>
      </w:pPr>
      <w:r w:rsidRPr="005A1F62">
        <w:t>Динамика привлеченных средств ЮЛ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6"/>
        <w:gridCol w:w="796"/>
        <w:gridCol w:w="796"/>
        <w:gridCol w:w="796"/>
        <w:gridCol w:w="791"/>
      </w:tblGrid>
      <w:tr w:rsidR="003579B2" w:rsidRPr="005A1F62" w14:paraId="292A81FA" w14:textId="77777777" w:rsidTr="00021BD6">
        <w:trPr>
          <w:trHeight w:val="315"/>
        </w:trPr>
        <w:tc>
          <w:tcPr>
            <w:tcW w:w="3299" w:type="pct"/>
            <w:shd w:val="clear" w:color="auto" w:fill="D9D9D9" w:themeFill="background1" w:themeFillShade="D9"/>
            <w:vAlign w:val="bottom"/>
            <w:hideMark/>
          </w:tcPr>
          <w:p w14:paraId="45C2EA65" w14:textId="3B415AC6" w:rsidR="003579B2" w:rsidRPr="005A1F62" w:rsidRDefault="00021BD6" w:rsidP="00DC2FED">
            <w:pPr>
              <w:rPr>
                <w:bCs/>
                <w:color w:val="FFFFFF"/>
              </w:rPr>
            </w:pPr>
            <w:r w:rsidRPr="005A1F62">
              <w:rPr>
                <w:bCs/>
              </w:rPr>
              <w:t>Показатель</w:t>
            </w:r>
          </w:p>
        </w:tc>
        <w:tc>
          <w:tcPr>
            <w:tcW w:w="426" w:type="pct"/>
            <w:shd w:val="clear" w:color="auto" w:fill="D9D9D9" w:themeFill="background1" w:themeFillShade="D9"/>
            <w:noWrap/>
            <w:vAlign w:val="bottom"/>
            <w:hideMark/>
          </w:tcPr>
          <w:p w14:paraId="61A6F53D" w14:textId="77777777" w:rsidR="003579B2" w:rsidRPr="005A1F62" w:rsidRDefault="003579B2" w:rsidP="00DC2FED">
            <w:pPr>
              <w:jc w:val="center"/>
              <w:rPr>
                <w:bCs/>
              </w:rPr>
            </w:pPr>
            <w:r w:rsidRPr="005A1F62">
              <w:rPr>
                <w:bCs/>
              </w:rPr>
              <w:t>-1</w:t>
            </w:r>
          </w:p>
        </w:tc>
        <w:tc>
          <w:tcPr>
            <w:tcW w:w="426" w:type="pct"/>
            <w:shd w:val="clear" w:color="auto" w:fill="D9D9D9" w:themeFill="background1" w:themeFillShade="D9"/>
            <w:vAlign w:val="bottom"/>
            <w:hideMark/>
          </w:tcPr>
          <w:p w14:paraId="5D1B091D" w14:textId="77777777" w:rsidR="003579B2" w:rsidRPr="005A1F62" w:rsidRDefault="003579B2" w:rsidP="00DC2FED">
            <w:pPr>
              <w:jc w:val="center"/>
              <w:rPr>
                <w:bCs/>
              </w:rPr>
            </w:pPr>
            <w:r w:rsidRPr="005A1F62">
              <w:rPr>
                <w:bCs/>
              </w:rPr>
              <w:t>1</w:t>
            </w:r>
          </w:p>
        </w:tc>
        <w:tc>
          <w:tcPr>
            <w:tcW w:w="426" w:type="pct"/>
            <w:shd w:val="clear" w:color="auto" w:fill="D9D9D9" w:themeFill="background1" w:themeFillShade="D9"/>
            <w:noWrap/>
            <w:vAlign w:val="bottom"/>
            <w:hideMark/>
          </w:tcPr>
          <w:p w14:paraId="71398336" w14:textId="77777777" w:rsidR="003579B2" w:rsidRPr="005A1F62" w:rsidRDefault="003579B2" w:rsidP="00DC2FED">
            <w:pPr>
              <w:jc w:val="center"/>
              <w:rPr>
                <w:bCs/>
              </w:rPr>
            </w:pPr>
            <w:r w:rsidRPr="005A1F62">
              <w:rPr>
                <w:bCs/>
              </w:rPr>
              <w:t>-1</w:t>
            </w:r>
          </w:p>
        </w:tc>
        <w:tc>
          <w:tcPr>
            <w:tcW w:w="424" w:type="pct"/>
            <w:shd w:val="clear" w:color="auto" w:fill="D9D9D9" w:themeFill="background1" w:themeFillShade="D9"/>
            <w:noWrap/>
            <w:vAlign w:val="bottom"/>
            <w:hideMark/>
          </w:tcPr>
          <w:p w14:paraId="466B9B1D" w14:textId="77777777" w:rsidR="003579B2" w:rsidRPr="005A1F62" w:rsidRDefault="003579B2" w:rsidP="00DC2FED">
            <w:pPr>
              <w:jc w:val="center"/>
              <w:rPr>
                <w:bCs/>
              </w:rPr>
            </w:pPr>
            <w:r w:rsidRPr="005A1F62">
              <w:rPr>
                <w:bCs/>
              </w:rPr>
              <w:t>1</w:t>
            </w:r>
          </w:p>
        </w:tc>
      </w:tr>
      <w:tr w:rsidR="003579B2" w:rsidRPr="005A1F62" w14:paraId="499DABDB" w14:textId="77777777" w:rsidTr="00AC0067">
        <w:trPr>
          <w:trHeight w:val="270"/>
        </w:trPr>
        <w:tc>
          <w:tcPr>
            <w:tcW w:w="3299" w:type="pct"/>
            <w:shd w:val="clear" w:color="auto" w:fill="auto"/>
            <w:vAlign w:val="bottom"/>
            <w:hideMark/>
          </w:tcPr>
          <w:p w14:paraId="5EC91083" w14:textId="272120AB" w:rsidR="003579B2" w:rsidRPr="005A1F62" w:rsidRDefault="003579B2" w:rsidP="00021BD6">
            <w:pPr>
              <w:jc w:val="both"/>
            </w:pPr>
            <w:r w:rsidRPr="005A1F62">
              <w:t>Прирост привлеченных средств ЮЛ за последние 12 месяцев</w:t>
            </w:r>
            <w:r w:rsidR="00E67FB6" w:rsidRPr="005A1F62">
              <w:t>, %</w:t>
            </w:r>
          </w:p>
        </w:tc>
        <w:tc>
          <w:tcPr>
            <w:tcW w:w="426" w:type="pct"/>
            <w:shd w:val="clear" w:color="auto" w:fill="auto"/>
            <w:noWrap/>
            <w:vAlign w:val="center"/>
            <w:hideMark/>
          </w:tcPr>
          <w:p w14:paraId="628B505F" w14:textId="0ADCC552" w:rsidR="003579B2" w:rsidRPr="005A1F62" w:rsidRDefault="00AC0067" w:rsidP="00AC0067">
            <w:pPr>
              <w:jc w:val="center"/>
            </w:pPr>
            <w:r w:rsidRPr="005A1F62">
              <w:t xml:space="preserve">≤ </w:t>
            </w:r>
            <w:r w:rsidR="00021BD6" w:rsidRPr="005A1F62">
              <w:t>-15</w:t>
            </w:r>
          </w:p>
        </w:tc>
        <w:tc>
          <w:tcPr>
            <w:tcW w:w="426" w:type="pct"/>
            <w:shd w:val="clear" w:color="auto" w:fill="auto"/>
            <w:noWrap/>
            <w:vAlign w:val="center"/>
            <w:hideMark/>
          </w:tcPr>
          <w:p w14:paraId="1597441A" w14:textId="0EABFF83" w:rsidR="003579B2" w:rsidRPr="005A1F62" w:rsidRDefault="00AC0067" w:rsidP="00AC0067">
            <w:pPr>
              <w:jc w:val="center"/>
            </w:pPr>
            <w:r w:rsidRPr="005A1F62">
              <w:t xml:space="preserve">≥ </w:t>
            </w:r>
            <w:r w:rsidR="00021BD6" w:rsidRPr="005A1F62">
              <w:t>15</w:t>
            </w:r>
          </w:p>
        </w:tc>
        <w:tc>
          <w:tcPr>
            <w:tcW w:w="426" w:type="pct"/>
            <w:shd w:val="clear" w:color="auto" w:fill="auto"/>
            <w:noWrap/>
            <w:vAlign w:val="center"/>
            <w:hideMark/>
          </w:tcPr>
          <w:p w14:paraId="671C4906" w14:textId="2AA4C87C" w:rsidR="003579B2" w:rsidRPr="005A1F62" w:rsidRDefault="00AC0067" w:rsidP="00AC0067">
            <w:pPr>
              <w:jc w:val="center"/>
            </w:pPr>
            <w:r w:rsidRPr="005A1F62">
              <w:t xml:space="preserve">≥ </w:t>
            </w:r>
            <w:r w:rsidR="00021BD6" w:rsidRPr="005A1F62">
              <w:t>50</w:t>
            </w:r>
          </w:p>
        </w:tc>
        <w:tc>
          <w:tcPr>
            <w:tcW w:w="424" w:type="pct"/>
            <w:shd w:val="clear" w:color="auto" w:fill="auto"/>
            <w:noWrap/>
            <w:vAlign w:val="center"/>
            <w:hideMark/>
          </w:tcPr>
          <w:p w14:paraId="432A5222" w14:textId="29A2EB51" w:rsidR="003579B2" w:rsidRPr="005A1F62" w:rsidRDefault="00AC0067" w:rsidP="00AC0067">
            <w:pPr>
              <w:jc w:val="center"/>
            </w:pPr>
            <w:r w:rsidRPr="005A1F62">
              <w:t xml:space="preserve">≤ </w:t>
            </w:r>
            <w:r w:rsidR="00021BD6" w:rsidRPr="005A1F62">
              <w:t>20</w:t>
            </w:r>
          </w:p>
        </w:tc>
      </w:tr>
    </w:tbl>
    <w:p w14:paraId="40D6D1AA" w14:textId="1C5EE572" w:rsidR="003579B2" w:rsidRPr="005A1F62" w:rsidRDefault="003579B2" w:rsidP="00DC2FED">
      <w:pPr>
        <w:jc w:val="both"/>
      </w:pPr>
    </w:p>
    <w:p w14:paraId="6651F1CA" w14:textId="77777777" w:rsidR="001E628F" w:rsidRPr="005A1F62" w:rsidRDefault="001E628F" w:rsidP="003C5D28">
      <w:pPr>
        <w:pStyle w:val="afb"/>
        <w:numPr>
          <w:ilvl w:val="1"/>
          <w:numId w:val="21"/>
        </w:numPr>
        <w:tabs>
          <w:tab w:val="left" w:pos="709"/>
        </w:tabs>
        <w:jc w:val="both"/>
      </w:pPr>
      <w:r w:rsidRPr="005A1F62">
        <w:t>Динамика привлеченных средств ФЛ, включая ИП</w:t>
      </w:r>
    </w:p>
    <w:p w14:paraId="769C8FEB" w14:textId="70B5D115" w:rsidR="00021BD6" w:rsidRPr="005A1F62" w:rsidRDefault="001E628F" w:rsidP="003C5D28">
      <w:pPr>
        <w:pStyle w:val="afb"/>
        <w:numPr>
          <w:ilvl w:val="2"/>
          <w:numId w:val="21"/>
        </w:numPr>
        <w:tabs>
          <w:tab w:val="left" w:pos="709"/>
        </w:tabs>
        <w:jc w:val="both"/>
      </w:pPr>
      <w:r w:rsidRPr="005A1F62">
        <w:t>Динамика привлеченных средств ФЛ, включая ИП, за последние 12 месяцев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6"/>
        <w:gridCol w:w="796"/>
        <w:gridCol w:w="796"/>
        <w:gridCol w:w="796"/>
        <w:gridCol w:w="791"/>
      </w:tblGrid>
      <w:tr w:rsidR="003579B2" w:rsidRPr="005A1F62" w14:paraId="171A7B31" w14:textId="77777777" w:rsidTr="00AC0067">
        <w:trPr>
          <w:trHeight w:val="315"/>
        </w:trPr>
        <w:tc>
          <w:tcPr>
            <w:tcW w:w="3299" w:type="pct"/>
            <w:shd w:val="clear" w:color="auto" w:fill="D9D9D9" w:themeFill="background1" w:themeFillShade="D9"/>
            <w:vAlign w:val="bottom"/>
            <w:hideMark/>
          </w:tcPr>
          <w:p w14:paraId="0C36502F" w14:textId="3AFC16C3" w:rsidR="003579B2" w:rsidRPr="005A1F62" w:rsidRDefault="00021BD6" w:rsidP="00DC2FED">
            <w:pPr>
              <w:rPr>
                <w:bCs/>
              </w:rPr>
            </w:pPr>
            <w:r w:rsidRPr="005A1F62">
              <w:rPr>
                <w:bCs/>
              </w:rPr>
              <w:t>Показатель</w:t>
            </w:r>
          </w:p>
        </w:tc>
        <w:tc>
          <w:tcPr>
            <w:tcW w:w="426" w:type="pct"/>
            <w:shd w:val="clear" w:color="auto" w:fill="D9D9D9" w:themeFill="background1" w:themeFillShade="D9"/>
            <w:noWrap/>
            <w:vAlign w:val="bottom"/>
            <w:hideMark/>
          </w:tcPr>
          <w:p w14:paraId="1AAEE45B" w14:textId="77777777" w:rsidR="003579B2" w:rsidRPr="005A1F62" w:rsidRDefault="003579B2" w:rsidP="00DC2FED">
            <w:pPr>
              <w:jc w:val="center"/>
              <w:rPr>
                <w:bCs/>
              </w:rPr>
            </w:pPr>
            <w:r w:rsidRPr="005A1F62">
              <w:rPr>
                <w:bCs/>
              </w:rPr>
              <w:t>-1</w:t>
            </w:r>
          </w:p>
        </w:tc>
        <w:tc>
          <w:tcPr>
            <w:tcW w:w="426" w:type="pct"/>
            <w:shd w:val="clear" w:color="auto" w:fill="D9D9D9" w:themeFill="background1" w:themeFillShade="D9"/>
            <w:vAlign w:val="bottom"/>
            <w:hideMark/>
          </w:tcPr>
          <w:p w14:paraId="427B4343" w14:textId="77777777" w:rsidR="003579B2" w:rsidRPr="005A1F62" w:rsidRDefault="003579B2" w:rsidP="00DC2FED">
            <w:pPr>
              <w:jc w:val="center"/>
              <w:rPr>
                <w:bCs/>
              </w:rPr>
            </w:pPr>
            <w:r w:rsidRPr="005A1F62">
              <w:rPr>
                <w:bCs/>
              </w:rPr>
              <w:t>1</w:t>
            </w:r>
          </w:p>
        </w:tc>
        <w:tc>
          <w:tcPr>
            <w:tcW w:w="426" w:type="pct"/>
            <w:shd w:val="clear" w:color="auto" w:fill="D9D9D9" w:themeFill="background1" w:themeFillShade="D9"/>
            <w:noWrap/>
            <w:vAlign w:val="bottom"/>
            <w:hideMark/>
          </w:tcPr>
          <w:p w14:paraId="0DD030C4" w14:textId="77777777" w:rsidR="003579B2" w:rsidRPr="005A1F62" w:rsidRDefault="003579B2" w:rsidP="00DC2FED">
            <w:pPr>
              <w:jc w:val="center"/>
              <w:rPr>
                <w:bCs/>
              </w:rPr>
            </w:pPr>
            <w:r w:rsidRPr="005A1F62">
              <w:rPr>
                <w:bCs/>
              </w:rPr>
              <w:t>-1</w:t>
            </w:r>
          </w:p>
        </w:tc>
        <w:tc>
          <w:tcPr>
            <w:tcW w:w="424" w:type="pct"/>
            <w:shd w:val="clear" w:color="auto" w:fill="D9D9D9" w:themeFill="background1" w:themeFillShade="D9"/>
            <w:noWrap/>
            <w:vAlign w:val="bottom"/>
            <w:hideMark/>
          </w:tcPr>
          <w:p w14:paraId="06EB975D" w14:textId="77777777" w:rsidR="003579B2" w:rsidRPr="005A1F62" w:rsidRDefault="003579B2" w:rsidP="00DC2FED">
            <w:pPr>
              <w:jc w:val="center"/>
              <w:rPr>
                <w:bCs/>
              </w:rPr>
            </w:pPr>
            <w:r w:rsidRPr="005A1F62">
              <w:rPr>
                <w:bCs/>
              </w:rPr>
              <w:t>1</w:t>
            </w:r>
          </w:p>
        </w:tc>
      </w:tr>
      <w:tr w:rsidR="003579B2" w:rsidRPr="005A1F62" w14:paraId="3A7C0675" w14:textId="77777777" w:rsidTr="00AC0067">
        <w:trPr>
          <w:trHeight w:val="270"/>
        </w:trPr>
        <w:tc>
          <w:tcPr>
            <w:tcW w:w="3299" w:type="pct"/>
            <w:shd w:val="clear" w:color="auto" w:fill="auto"/>
            <w:vAlign w:val="bottom"/>
            <w:hideMark/>
          </w:tcPr>
          <w:p w14:paraId="6DF4C750" w14:textId="2EACFD85" w:rsidR="003579B2" w:rsidRPr="005A1F62" w:rsidRDefault="003579B2" w:rsidP="00021BD6">
            <w:pPr>
              <w:jc w:val="both"/>
            </w:pPr>
            <w:r w:rsidRPr="005A1F62">
              <w:t>Динамика привлеченных средств ФЛ за последние 12 месяцев</w:t>
            </w:r>
            <w:r w:rsidR="00E67FB6" w:rsidRPr="005A1F62">
              <w:t>, %</w:t>
            </w:r>
          </w:p>
        </w:tc>
        <w:tc>
          <w:tcPr>
            <w:tcW w:w="426" w:type="pct"/>
            <w:shd w:val="clear" w:color="auto" w:fill="auto"/>
            <w:noWrap/>
            <w:vAlign w:val="center"/>
            <w:hideMark/>
          </w:tcPr>
          <w:p w14:paraId="628F30F6" w14:textId="0D8246D9" w:rsidR="003579B2" w:rsidRPr="005A1F62" w:rsidRDefault="00AC0067" w:rsidP="00AC0067">
            <w:pPr>
              <w:jc w:val="center"/>
            </w:pPr>
            <w:r w:rsidRPr="005A1F62">
              <w:t xml:space="preserve">≤ </w:t>
            </w:r>
            <w:r w:rsidR="00021BD6" w:rsidRPr="005A1F62">
              <w:t>-15</w:t>
            </w:r>
          </w:p>
        </w:tc>
        <w:tc>
          <w:tcPr>
            <w:tcW w:w="426" w:type="pct"/>
            <w:shd w:val="clear" w:color="auto" w:fill="auto"/>
            <w:noWrap/>
            <w:vAlign w:val="center"/>
            <w:hideMark/>
          </w:tcPr>
          <w:p w14:paraId="2A563299" w14:textId="64ADE32B" w:rsidR="003579B2" w:rsidRPr="005A1F62" w:rsidRDefault="00AC0067" w:rsidP="00AC0067">
            <w:pPr>
              <w:jc w:val="center"/>
            </w:pPr>
            <w:r w:rsidRPr="005A1F62">
              <w:t xml:space="preserve">≥ </w:t>
            </w:r>
            <w:r w:rsidR="00021BD6" w:rsidRPr="005A1F62">
              <w:t>15</w:t>
            </w:r>
          </w:p>
        </w:tc>
        <w:tc>
          <w:tcPr>
            <w:tcW w:w="426" w:type="pct"/>
            <w:shd w:val="clear" w:color="auto" w:fill="auto"/>
            <w:noWrap/>
            <w:vAlign w:val="center"/>
            <w:hideMark/>
          </w:tcPr>
          <w:p w14:paraId="47DFDA45" w14:textId="1B35656A" w:rsidR="003579B2" w:rsidRPr="005A1F62" w:rsidRDefault="00AC0067" w:rsidP="00AC0067">
            <w:pPr>
              <w:jc w:val="center"/>
            </w:pPr>
            <w:r w:rsidRPr="005A1F62">
              <w:t xml:space="preserve">≥ </w:t>
            </w:r>
            <w:r w:rsidR="00021BD6" w:rsidRPr="005A1F62">
              <w:t>35</w:t>
            </w:r>
          </w:p>
        </w:tc>
        <w:tc>
          <w:tcPr>
            <w:tcW w:w="424" w:type="pct"/>
            <w:shd w:val="clear" w:color="auto" w:fill="auto"/>
            <w:noWrap/>
            <w:vAlign w:val="center"/>
            <w:hideMark/>
          </w:tcPr>
          <w:p w14:paraId="71C555DD" w14:textId="59E4B7C4" w:rsidR="003579B2" w:rsidRPr="005A1F62" w:rsidRDefault="00AC0067" w:rsidP="00AC0067">
            <w:pPr>
              <w:jc w:val="center"/>
            </w:pPr>
            <w:r w:rsidRPr="005A1F62">
              <w:t xml:space="preserve">≤ </w:t>
            </w:r>
            <w:r w:rsidR="00021BD6" w:rsidRPr="005A1F62">
              <w:t>20</w:t>
            </w:r>
          </w:p>
        </w:tc>
      </w:tr>
    </w:tbl>
    <w:p w14:paraId="13A81351" w14:textId="77777777" w:rsidR="00021BD6" w:rsidRPr="005A1F62" w:rsidRDefault="00021BD6" w:rsidP="00021BD6">
      <w:pPr>
        <w:pStyle w:val="afb"/>
        <w:tabs>
          <w:tab w:val="left" w:pos="709"/>
        </w:tabs>
        <w:ind w:left="1224"/>
        <w:jc w:val="both"/>
      </w:pPr>
    </w:p>
    <w:p w14:paraId="4310840E" w14:textId="1741C4B1" w:rsidR="003E38FC" w:rsidRPr="005A1F62" w:rsidRDefault="001E628F" w:rsidP="003C5D28">
      <w:pPr>
        <w:pStyle w:val="afb"/>
        <w:numPr>
          <w:ilvl w:val="2"/>
          <w:numId w:val="21"/>
        </w:numPr>
        <w:tabs>
          <w:tab w:val="left" w:pos="709"/>
        </w:tabs>
        <w:jc w:val="both"/>
        <w:rPr>
          <w:bCs/>
        </w:rPr>
      </w:pPr>
      <w:r w:rsidRPr="005A1F62">
        <w:t>Максимальный месячный прирост средств ФЛ, включая ИП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1"/>
        <w:gridCol w:w="1557"/>
        <w:gridCol w:w="1557"/>
      </w:tblGrid>
      <w:tr w:rsidR="003579B2" w:rsidRPr="005A1F62" w14:paraId="42E675F9" w14:textId="77777777" w:rsidTr="00021BD6">
        <w:trPr>
          <w:trHeight w:val="315"/>
        </w:trPr>
        <w:tc>
          <w:tcPr>
            <w:tcW w:w="3334" w:type="pct"/>
            <w:tcBorders>
              <w:bottom w:val="single" w:sz="4" w:space="0" w:color="auto"/>
            </w:tcBorders>
            <w:shd w:val="clear" w:color="auto" w:fill="D9D9D9" w:themeFill="background1" w:themeFillShade="D9"/>
            <w:vAlign w:val="bottom"/>
            <w:hideMark/>
          </w:tcPr>
          <w:p w14:paraId="6BA6E6D9" w14:textId="0D1042DA" w:rsidR="003579B2" w:rsidRPr="005A1F62" w:rsidRDefault="00021BD6" w:rsidP="00DC2FED">
            <w:pPr>
              <w:rPr>
                <w:bCs/>
              </w:rPr>
            </w:pPr>
            <w:r w:rsidRPr="005A1F62">
              <w:rPr>
                <w:bCs/>
              </w:rPr>
              <w:t>Показатель</w:t>
            </w:r>
          </w:p>
        </w:tc>
        <w:tc>
          <w:tcPr>
            <w:tcW w:w="833" w:type="pct"/>
            <w:shd w:val="clear" w:color="auto" w:fill="D9D9D9" w:themeFill="background1" w:themeFillShade="D9"/>
            <w:noWrap/>
            <w:vAlign w:val="bottom"/>
            <w:hideMark/>
          </w:tcPr>
          <w:p w14:paraId="7CF303E5" w14:textId="77777777" w:rsidR="003579B2" w:rsidRPr="005A1F62" w:rsidRDefault="003579B2" w:rsidP="00DC2FED">
            <w:pPr>
              <w:jc w:val="center"/>
              <w:rPr>
                <w:bCs/>
              </w:rPr>
            </w:pPr>
            <w:r w:rsidRPr="005A1F62">
              <w:rPr>
                <w:bCs/>
              </w:rPr>
              <w:t>-1</w:t>
            </w:r>
          </w:p>
        </w:tc>
        <w:tc>
          <w:tcPr>
            <w:tcW w:w="833" w:type="pct"/>
            <w:shd w:val="clear" w:color="auto" w:fill="D9D9D9" w:themeFill="background1" w:themeFillShade="D9"/>
            <w:noWrap/>
            <w:vAlign w:val="bottom"/>
            <w:hideMark/>
          </w:tcPr>
          <w:p w14:paraId="11E96C25" w14:textId="77777777" w:rsidR="003579B2" w:rsidRPr="005A1F62" w:rsidRDefault="003579B2" w:rsidP="00DC2FED">
            <w:pPr>
              <w:jc w:val="center"/>
              <w:rPr>
                <w:bCs/>
              </w:rPr>
            </w:pPr>
            <w:r w:rsidRPr="005A1F62">
              <w:rPr>
                <w:bCs/>
              </w:rPr>
              <w:t>1</w:t>
            </w:r>
          </w:p>
        </w:tc>
      </w:tr>
      <w:tr w:rsidR="003579B2" w:rsidRPr="005A1F62" w14:paraId="1F5BAF34" w14:textId="77777777" w:rsidTr="00AC0067">
        <w:trPr>
          <w:trHeight w:val="270"/>
        </w:trPr>
        <w:tc>
          <w:tcPr>
            <w:tcW w:w="3334" w:type="pct"/>
            <w:shd w:val="clear" w:color="auto" w:fill="auto"/>
            <w:vAlign w:val="bottom"/>
            <w:hideMark/>
          </w:tcPr>
          <w:p w14:paraId="1E48A395" w14:textId="7F5F87E1" w:rsidR="003579B2" w:rsidRPr="005A1F62" w:rsidRDefault="003579B2" w:rsidP="00DC2FED">
            <w:r w:rsidRPr="005A1F62">
              <w:t>Наибольшее за последние 12 месяцев месячное изменение привлеченных средств ФЛ</w:t>
            </w:r>
            <w:r w:rsidR="00E67FB6" w:rsidRPr="005A1F62">
              <w:t>, %</w:t>
            </w:r>
          </w:p>
        </w:tc>
        <w:tc>
          <w:tcPr>
            <w:tcW w:w="833" w:type="pct"/>
            <w:shd w:val="clear" w:color="auto" w:fill="auto"/>
            <w:noWrap/>
            <w:vAlign w:val="center"/>
            <w:hideMark/>
          </w:tcPr>
          <w:p w14:paraId="63B8419A" w14:textId="5716E4EF" w:rsidR="003579B2" w:rsidRPr="005A1F62" w:rsidRDefault="00AC0067" w:rsidP="00AC0067">
            <w:pPr>
              <w:jc w:val="center"/>
            </w:pPr>
            <w:r w:rsidRPr="005A1F62">
              <w:t xml:space="preserve">≥ </w:t>
            </w:r>
            <w:r w:rsidR="00021BD6" w:rsidRPr="005A1F62">
              <w:t>8</w:t>
            </w:r>
          </w:p>
        </w:tc>
        <w:tc>
          <w:tcPr>
            <w:tcW w:w="833" w:type="pct"/>
            <w:shd w:val="clear" w:color="auto" w:fill="auto"/>
            <w:noWrap/>
            <w:vAlign w:val="center"/>
            <w:hideMark/>
          </w:tcPr>
          <w:p w14:paraId="2EB98CCF" w14:textId="7E73EF13" w:rsidR="003579B2" w:rsidRPr="005A1F62" w:rsidRDefault="00AC0067" w:rsidP="00AC0067">
            <w:pPr>
              <w:jc w:val="center"/>
            </w:pPr>
            <w:r w:rsidRPr="005A1F62">
              <w:t xml:space="preserve">≤ </w:t>
            </w:r>
            <w:r w:rsidR="00021BD6" w:rsidRPr="005A1F62">
              <w:t>4</w:t>
            </w:r>
          </w:p>
        </w:tc>
      </w:tr>
    </w:tbl>
    <w:p w14:paraId="1B5D14BE" w14:textId="5AB3093A" w:rsidR="003579B2" w:rsidRDefault="003579B2" w:rsidP="00DC2FED">
      <w:pPr>
        <w:pStyle w:val="afb"/>
        <w:tabs>
          <w:tab w:val="left" w:pos="709"/>
        </w:tabs>
        <w:ind w:left="0"/>
        <w:rPr>
          <w:bCs/>
        </w:rPr>
      </w:pPr>
    </w:p>
    <w:p w14:paraId="6B9623AD" w14:textId="35EB52C8" w:rsidR="00D659E8" w:rsidRPr="005A1F62" w:rsidRDefault="00D659E8" w:rsidP="003C5D28">
      <w:pPr>
        <w:pStyle w:val="afb"/>
        <w:numPr>
          <w:ilvl w:val="0"/>
          <w:numId w:val="21"/>
        </w:numPr>
        <w:tabs>
          <w:tab w:val="left" w:pos="709"/>
        </w:tabs>
        <w:ind w:left="0" w:firstLine="567"/>
        <w:jc w:val="both"/>
      </w:pPr>
      <w:r w:rsidRPr="005A1F62">
        <w:t>СТОИМОСТЬ ФОНДИРОВАНИЯ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804"/>
        <w:gridCol w:w="1501"/>
        <w:gridCol w:w="1501"/>
      </w:tblGrid>
      <w:tr w:rsidR="00AC0067" w:rsidRPr="005A1F62" w14:paraId="27CA91CA" w14:textId="77777777" w:rsidTr="00D07979">
        <w:trPr>
          <w:trHeight w:val="255"/>
        </w:trPr>
        <w:tc>
          <w:tcPr>
            <w:tcW w:w="1894" w:type="pct"/>
            <w:shd w:val="clear" w:color="auto" w:fill="D9D9D9" w:themeFill="background1" w:themeFillShade="D9"/>
            <w:noWrap/>
            <w:vAlign w:val="center"/>
          </w:tcPr>
          <w:p w14:paraId="41D1E2D5" w14:textId="3C619753" w:rsidR="00AC0067" w:rsidRPr="005A1F62" w:rsidRDefault="00AC0067" w:rsidP="00AC0067">
            <w:pPr>
              <w:rPr>
                <w:color w:val="000000"/>
              </w:rPr>
            </w:pPr>
            <w:r w:rsidRPr="005A1F62">
              <w:rPr>
                <w:bCs/>
              </w:rPr>
              <w:t>Показатель</w:t>
            </w:r>
          </w:p>
        </w:tc>
        <w:tc>
          <w:tcPr>
            <w:tcW w:w="1500" w:type="pct"/>
            <w:shd w:val="clear" w:color="auto" w:fill="D9D9D9" w:themeFill="background1" w:themeFillShade="D9"/>
            <w:vAlign w:val="center"/>
          </w:tcPr>
          <w:p w14:paraId="50AA12F8" w14:textId="46AFB6E0" w:rsidR="00AC0067" w:rsidRPr="005A1F62" w:rsidRDefault="00D07979" w:rsidP="00AC0067">
            <w:pPr>
              <w:jc w:val="center"/>
            </w:pPr>
            <w:r w:rsidRPr="005A1F62">
              <w:t>Определение оценки</w:t>
            </w:r>
          </w:p>
        </w:tc>
        <w:tc>
          <w:tcPr>
            <w:tcW w:w="803" w:type="pct"/>
            <w:shd w:val="clear" w:color="auto" w:fill="D9D9D9" w:themeFill="background1" w:themeFillShade="D9"/>
            <w:noWrap/>
            <w:vAlign w:val="center"/>
          </w:tcPr>
          <w:p w14:paraId="2BF7CECF" w14:textId="20CC1764" w:rsidR="00AC0067" w:rsidRPr="005A1F62" w:rsidRDefault="00AC0067" w:rsidP="00AC0067">
            <w:pPr>
              <w:jc w:val="center"/>
            </w:pPr>
            <w:r w:rsidRPr="005A1F62">
              <w:t>-1</w:t>
            </w:r>
          </w:p>
        </w:tc>
        <w:tc>
          <w:tcPr>
            <w:tcW w:w="803" w:type="pct"/>
            <w:shd w:val="clear" w:color="auto" w:fill="D9D9D9" w:themeFill="background1" w:themeFillShade="D9"/>
            <w:noWrap/>
            <w:vAlign w:val="center"/>
          </w:tcPr>
          <w:p w14:paraId="5CC5B556" w14:textId="61817506" w:rsidR="00AC0067" w:rsidRPr="005A1F62" w:rsidRDefault="00AC0067" w:rsidP="00AC0067">
            <w:pPr>
              <w:jc w:val="center"/>
            </w:pPr>
            <w:r w:rsidRPr="005A1F62">
              <w:t>1</w:t>
            </w:r>
          </w:p>
        </w:tc>
      </w:tr>
      <w:tr w:rsidR="00D07979" w:rsidRPr="005A1F62" w14:paraId="74497FB1" w14:textId="77777777" w:rsidTr="00D07979">
        <w:trPr>
          <w:trHeight w:val="255"/>
        </w:trPr>
        <w:tc>
          <w:tcPr>
            <w:tcW w:w="1894" w:type="pct"/>
            <w:shd w:val="clear" w:color="auto" w:fill="auto"/>
            <w:noWrap/>
            <w:vAlign w:val="center"/>
            <w:hideMark/>
          </w:tcPr>
          <w:p w14:paraId="6D8C5C38" w14:textId="1598BB9E" w:rsidR="00D07979" w:rsidRPr="005A1F62" w:rsidRDefault="00D07979" w:rsidP="00D07979">
            <w:pPr>
              <w:jc w:val="both"/>
              <w:rPr>
                <w:color w:val="000000"/>
              </w:rPr>
            </w:pPr>
            <w:r w:rsidRPr="005A1F62">
              <w:rPr>
                <w:color w:val="000000"/>
              </w:rPr>
              <w:t>Стоимость привлеченных средств ФЛ за квартал</w:t>
            </w:r>
          </w:p>
        </w:tc>
        <w:tc>
          <w:tcPr>
            <w:tcW w:w="1500" w:type="pct"/>
            <w:vMerge w:val="restart"/>
            <w:vAlign w:val="center"/>
          </w:tcPr>
          <w:p w14:paraId="3EFE34B3" w14:textId="0B66F483" w:rsidR="00D07979" w:rsidRPr="005A1F62" w:rsidRDefault="00D07979" w:rsidP="00D07979">
            <w:pPr>
              <w:jc w:val="center"/>
              <w:rPr>
                <w:color w:val="000000"/>
              </w:rPr>
            </w:pPr>
            <w:r w:rsidRPr="005A1F62">
              <w:rPr>
                <w:color w:val="000000"/>
              </w:rPr>
              <w:t xml:space="preserve">доля соответствующего источника в сумме </w:t>
            </w:r>
            <w:r w:rsidRPr="005A1F62">
              <w:t>привлеченных средств ФЛ, ЮЛ и прочих привлеченных средств</w:t>
            </w:r>
          </w:p>
        </w:tc>
        <w:tc>
          <w:tcPr>
            <w:tcW w:w="803" w:type="pct"/>
            <w:shd w:val="clear" w:color="auto" w:fill="auto"/>
            <w:noWrap/>
            <w:vAlign w:val="center"/>
          </w:tcPr>
          <w:p w14:paraId="3CBACD1A" w14:textId="27A6A46A" w:rsidR="00D07979" w:rsidRPr="005A1F62" w:rsidRDefault="00D07979" w:rsidP="00D07979">
            <w:pPr>
              <w:jc w:val="center"/>
              <w:rPr>
                <w:color w:val="000000"/>
              </w:rPr>
            </w:pPr>
            <w:r w:rsidRPr="005A1F62">
              <w:rPr>
                <w:color w:val="000000"/>
              </w:rPr>
              <w:t>1,05 * БУДВ</w:t>
            </w:r>
          </w:p>
        </w:tc>
        <w:tc>
          <w:tcPr>
            <w:tcW w:w="803" w:type="pct"/>
            <w:shd w:val="clear" w:color="auto" w:fill="auto"/>
            <w:noWrap/>
            <w:vAlign w:val="center"/>
          </w:tcPr>
          <w:p w14:paraId="655B228E" w14:textId="7C5DD73C" w:rsidR="00D07979" w:rsidRPr="005A1F62" w:rsidRDefault="00D07979" w:rsidP="00D07979">
            <w:pPr>
              <w:jc w:val="center"/>
              <w:rPr>
                <w:color w:val="000000"/>
              </w:rPr>
            </w:pPr>
            <w:r w:rsidRPr="005A1F62">
              <w:rPr>
                <w:color w:val="000000"/>
              </w:rPr>
              <w:t>0,69 * БУДВ</w:t>
            </w:r>
          </w:p>
        </w:tc>
      </w:tr>
      <w:tr w:rsidR="00D07979" w:rsidRPr="005A1F62" w14:paraId="65314B9C" w14:textId="77777777" w:rsidTr="00D07979">
        <w:trPr>
          <w:trHeight w:val="255"/>
        </w:trPr>
        <w:tc>
          <w:tcPr>
            <w:tcW w:w="1894" w:type="pct"/>
            <w:shd w:val="clear" w:color="auto" w:fill="auto"/>
            <w:noWrap/>
            <w:vAlign w:val="center"/>
            <w:hideMark/>
          </w:tcPr>
          <w:p w14:paraId="42B4AEE6" w14:textId="7F171AFB" w:rsidR="00D07979" w:rsidRPr="005A1F62" w:rsidRDefault="00D07979" w:rsidP="00D07979">
            <w:pPr>
              <w:jc w:val="both"/>
              <w:rPr>
                <w:color w:val="000000"/>
              </w:rPr>
            </w:pPr>
            <w:r w:rsidRPr="005A1F62">
              <w:rPr>
                <w:color w:val="000000"/>
              </w:rPr>
              <w:t>Стоимость привлеченных средств ЮЛ за квартал</w:t>
            </w:r>
          </w:p>
        </w:tc>
        <w:tc>
          <w:tcPr>
            <w:tcW w:w="1500" w:type="pct"/>
            <w:vMerge/>
            <w:vAlign w:val="center"/>
          </w:tcPr>
          <w:p w14:paraId="48BBB619" w14:textId="77777777" w:rsidR="00D07979" w:rsidRPr="005A1F62" w:rsidRDefault="00D07979" w:rsidP="00D07979">
            <w:pPr>
              <w:jc w:val="center"/>
              <w:rPr>
                <w:color w:val="000000"/>
              </w:rPr>
            </w:pPr>
          </w:p>
        </w:tc>
        <w:tc>
          <w:tcPr>
            <w:tcW w:w="803" w:type="pct"/>
            <w:shd w:val="clear" w:color="auto" w:fill="auto"/>
            <w:noWrap/>
            <w:vAlign w:val="center"/>
          </w:tcPr>
          <w:p w14:paraId="28A6824D" w14:textId="393887BA" w:rsidR="00D07979" w:rsidRPr="005A1F62" w:rsidRDefault="00D07979" w:rsidP="00D07979">
            <w:pPr>
              <w:jc w:val="center"/>
              <w:rPr>
                <w:color w:val="000000"/>
              </w:rPr>
            </w:pPr>
            <w:r w:rsidRPr="005A1F62">
              <w:rPr>
                <w:color w:val="000000"/>
              </w:rPr>
              <w:t>0,6 * БУДВ</w:t>
            </w:r>
          </w:p>
        </w:tc>
        <w:tc>
          <w:tcPr>
            <w:tcW w:w="803" w:type="pct"/>
            <w:shd w:val="clear" w:color="auto" w:fill="auto"/>
            <w:noWrap/>
            <w:vAlign w:val="center"/>
          </w:tcPr>
          <w:p w14:paraId="16E18829" w14:textId="2CBCEB77" w:rsidR="00D07979" w:rsidRPr="005A1F62" w:rsidRDefault="00D07979" w:rsidP="00D07979">
            <w:pPr>
              <w:jc w:val="center"/>
              <w:rPr>
                <w:color w:val="000000"/>
              </w:rPr>
            </w:pPr>
            <w:r w:rsidRPr="005A1F62">
              <w:rPr>
                <w:color w:val="000000"/>
              </w:rPr>
              <w:t>0,1 * БУДВ</w:t>
            </w:r>
          </w:p>
        </w:tc>
      </w:tr>
      <w:tr w:rsidR="00D07979" w:rsidRPr="005A1F62" w14:paraId="140E469C" w14:textId="77777777" w:rsidTr="00D07979">
        <w:trPr>
          <w:trHeight w:val="255"/>
        </w:trPr>
        <w:tc>
          <w:tcPr>
            <w:tcW w:w="1894" w:type="pct"/>
            <w:shd w:val="clear" w:color="auto" w:fill="auto"/>
            <w:noWrap/>
            <w:vAlign w:val="center"/>
            <w:hideMark/>
          </w:tcPr>
          <w:p w14:paraId="2F2E7AC9" w14:textId="66FAA3C5" w:rsidR="00D07979" w:rsidRPr="005A1F62" w:rsidRDefault="00D07979" w:rsidP="00D07979">
            <w:pPr>
              <w:jc w:val="both"/>
              <w:rPr>
                <w:color w:val="000000"/>
              </w:rPr>
            </w:pPr>
            <w:r w:rsidRPr="005A1F62">
              <w:rPr>
                <w:color w:val="000000"/>
              </w:rPr>
              <w:t>Стоимость прочих привлеченных средств за квартал</w:t>
            </w:r>
          </w:p>
        </w:tc>
        <w:tc>
          <w:tcPr>
            <w:tcW w:w="1500" w:type="pct"/>
            <w:vMerge/>
            <w:vAlign w:val="center"/>
          </w:tcPr>
          <w:p w14:paraId="62114732" w14:textId="77777777" w:rsidR="00D07979" w:rsidRPr="005A1F62" w:rsidRDefault="00D07979" w:rsidP="00D07979">
            <w:pPr>
              <w:jc w:val="center"/>
              <w:rPr>
                <w:color w:val="000000"/>
              </w:rPr>
            </w:pPr>
          </w:p>
        </w:tc>
        <w:tc>
          <w:tcPr>
            <w:tcW w:w="803" w:type="pct"/>
            <w:shd w:val="clear" w:color="auto" w:fill="auto"/>
            <w:noWrap/>
            <w:vAlign w:val="center"/>
          </w:tcPr>
          <w:p w14:paraId="25294611" w14:textId="6445BA84" w:rsidR="00D07979" w:rsidRPr="005A1F62" w:rsidRDefault="00D07979" w:rsidP="00D07979">
            <w:pPr>
              <w:jc w:val="center"/>
              <w:rPr>
                <w:color w:val="000000"/>
              </w:rPr>
            </w:pPr>
            <w:r w:rsidRPr="005A1F62">
              <w:rPr>
                <w:color w:val="000000"/>
              </w:rPr>
              <w:t>0,92 * БУДВ</w:t>
            </w:r>
          </w:p>
        </w:tc>
        <w:tc>
          <w:tcPr>
            <w:tcW w:w="803" w:type="pct"/>
            <w:shd w:val="clear" w:color="auto" w:fill="auto"/>
            <w:noWrap/>
            <w:vAlign w:val="center"/>
          </w:tcPr>
          <w:p w14:paraId="3B71B3DF" w14:textId="47F83DDD" w:rsidR="00D07979" w:rsidRPr="005A1F62" w:rsidRDefault="00D07979" w:rsidP="00D07979">
            <w:pPr>
              <w:jc w:val="center"/>
              <w:rPr>
                <w:color w:val="000000"/>
              </w:rPr>
            </w:pPr>
            <w:r w:rsidRPr="005A1F62">
              <w:rPr>
                <w:color w:val="000000"/>
              </w:rPr>
              <w:t>0,39 * БУДВ</w:t>
            </w:r>
          </w:p>
        </w:tc>
      </w:tr>
    </w:tbl>
    <w:p w14:paraId="63DA584B" w14:textId="77777777" w:rsidR="00AC0067" w:rsidRPr="005A1F62" w:rsidRDefault="00AC0067" w:rsidP="00DC2FED">
      <w:pPr>
        <w:tabs>
          <w:tab w:val="left" w:pos="709"/>
        </w:tabs>
        <w:ind w:firstLine="567"/>
        <w:jc w:val="both"/>
        <w:rPr>
          <w:bCs/>
          <w:i/>
        </w:rPr>
      </w:pPr>
    </w:p>
    <w:p w14:paraId="5C9D770C" w14:textId="72AFF86D" w:rsidR="00654767" w:rsidRPr="005A1F62" w:rsidRDefault="00641B07" w:rsidP="00DC2FED">
      <w:pPr>
        <w:tabs>
          <w:tab w:val="left" w:pos="709"/>
        </w:tabs>
        <w:ind w:firstLine="567"/>
        <w:jc w:val="both"/>
        <w:rPr>
          <w:bCs/>
        </w:rPr>
      </w:pPr>
      <w:r w:rsidRPr="005A1F62">
        <w:rPr>
          <w:bCs/>
          <w:i/>
        </w:rPr>
        <w:t xml:space="preserve">БУДВ – средний </w:t>
      </w:r>
      <w:r w:rsidR="003648E5" w:rsidRPr="005A1F62">
        <w:rPr>
          <w:bCs/>
          <w:i/>
        </w:rPr>
        <w:t>в рассматриваемом квар</w:t>
      </w:r>
      <w:r w:rsidR="009643B2" w:rsidRPr="005A1F62">
        <w:rPr>
          <w:bCs/>
          <w:i/>
        </w:rPr>
        <w:t xml:space="preserve">тале базовый уровень доходности вкладов </w:t>
      </w:r>
      <w:r w:rsidR="003648E5" w:rsidRPr="005A1F62">
        <w:rPr>
          <w:bCs/>
          <w:i/>
        </w:rPr>
        <w:t xml:space="preserve">по договорам с физическими лицами в российских рублях на срок свыше </w:t>
      </w:r>
      <w:r w:rsidR="00CA05FD" w:rsidRPr="005A1F62">
        <w:rPr>
          <w:bCs/>
          <w:i/>
        </w:rPr>
        <w:t xml:space="preserve">одного </w:t>
      </w:r>
      <w:r w:rsidR="003648E5" w:rsidRPr="005A1F62">
        <w:rPr>
          <w:bCs/>
          <w:i/>
        </w:rPr>
        <w:t>года</w:t>
      </w:r>
      <w:r w:rsidR="000E7EBA" w:rsidRPr="005A1F62">
        <w:rPr>
          <w:bCs/>
          <w:i/>
        </w:rPr>
        <w:t xml:space="preserve"> (процентов годовых)</w:t>
      </w:r>
      <w:r w:rsidR="003648E5" w:rsidRPr="005A1F62">
        <w:rPr>
          <w:bCs/>
          <w:i/>
        </w:rPr>
        <w:t>.</w:t>
      </w:r>
      <w:r w:rsidR="001541EC" w:rsidRPr="005A1F62">
        <w:rPr>
          <w:bCs/>
          <w:i/>
        </w:rPr>
        <w:t xml:space="preserve"> БУДВ с поправочным коэффициентом используется в качестве бенчмарка для оценки стоимости привлеченных средств не только ФЛ, но также ЮЛ и прочих кредиторов, поскольку наблюдается устойчивая в ретроспективе вплоть до нескольких лет корреляция стоимости указанных источников фондирования.</w:t>
      </w:r>
      <w:r w:rsidR="00C87AF2" w:rsidRPr="005A1F62">
        <w:rPr>
          <w:bCs/>
          <w:i/>
        </w:rPr>
        <w:t xml:space="preserve"> Поправочные коэффициенты, существенно занижающие бенчмарки относительно БУДВ, установлены с учетом влияния на стоимость фондирования банков бесплатных ресурсов и ресурсов с низкой стоимостью, как средства на текущих счетах клиентов и контрагентов.</w:t>
      </w:r>
    </w:p>
    <w:p w14:paraId="57770C65" w14:textId="1BDF9C9A" w:rsidR="00811BD5" w:rsidRPr="005A1F62" w:rsidRDefault="00811BD5" w:rsidP="00DC2FED">
      <w:pPr>
        <w:pStyle w:val="afb"/>
        <w:tabs>
          <w:tab w:val="left" w:pos="709"/>
        </w:tabs>
        <w:ind w:left="0"/>
      </w:pPr>
    </w:p>
    <w:p w14:paraId="13C5FE77" w14:textId="77777777" w:rsidR="003E38FC" w:rsidRPr="005A1F62" w:rsidRDefault="003E38FC" w:rsidP="003C5D28">
      <w:pPr>
        <w:pStyle w:val="afb"/>
        <w:numPr>
          <w:ilvl w:val="0"/>
          <w:numId w:val="21"/>
        </w:numPr>
        <w:tabs>
          <w:tab w:val="left" w:pos="709"/>
        </w:tabs>
        <w:ind w:left="0" w:firstLine="567"/>
        <w:jc w:val="both"/>
      </w:pPr>
      <w:r w:rsidRPr="005A1F62">
        <w:t>РЫНОЧНЫЕ РИСКИ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701"/>
        <w:gridCol w:w="989"/>
        <w:gridCol w:w="990"/>
      </w:tblGrid>
      <w:tr w:rsidR="001E628F" w:rsidRPr="005A1F62" w14:paraId="55D7BAD6" w14:textId="77777777" w:rsidTr="001E628F">
        <w:trPr>
          <w:trHeight w:val="20"/>
        </w:trPr>
        <w:tc>
          <w:tcPr>
            <w:tcW w:w="5665" w:type="dxa"/>
            <w:tcBorders>
              <w:bottom w:val="single" w:sz="4" w:space="0" w:color="auto"/>
            </w:tcBorders>
            <w:shd w:val="clear" w:color="auto" w:fill="D9D9D9" w:themeFill="background1" w:themeFillShade="D9"/>
            <w:vAlign w:val="bottom"/>
            <w:hideMark/>
          </w:tcPr>
          <w:p w14:paraId="2DBFCEC8" w14:textId="22E796DC" w:rsidR="001E628F" w:rsidRPr="005A1F62" w:rsidRDefault="001E628F" w:rsidP="001E628F">
            <w:pPr>
              <w:tabs>
                <w:tab w:val="left" w:pos="709"/>
              </w:tabs>
              <w:jc w:val="center"/>
              <w:rPr>
                <w:bCs/>
              </w:rPr>
            </w:pPr>
          </w:p>
        </w:tc>
        <w:tc>
          <w:tcPr>
            <w:tcW w:w="1701" w:type="dxa"/>
            <w:tcBorders>
              <w:bottom w:val="single" w:sz="4" w:space="0" w:color="auto"/>
            </w:tcBorders>
            <w:shd w:val="clear" w:color="auto" w:fill="D9D9D9" w:themeFill="background1" w:themeFillShade="D9"/>
            <w:noWrap/>
            <w:vAlign w:val="center"/>
            <w:hideMark/>
          </w:tcPr>
          <w:p w14:paraId="326CA74C" w14:textId="1CCFBEFE" w:rsidR="001E628F" w:rsidRPr="005A1F62" w:rsidRDefault="001E628F" w:rsidP="001E628F">
            <w:pPr>
              <w:tabs>
                <w:tab w:val="left" w:pos="709"/>
              </w:tabs>
              <w:jc w:val="center"/>
              <w:rPr>
                <w:bCs/>
              </w:rPr>
            </w:pPr>
            <w:r w:rsidRPr="005A1F62">
              <w:t>Определение оценки</w:t>
            </w:r>
          </w:p>
        </w:tc>
        <w:tc>
          <w:tcPr>
            <w:tcW w:w="989" w:type="dxa"/>
            <w:tcBorders>
              <w:bottom w:val="single" w:sz="4" w:space="0" w:color="auto"/>
            </w:tcBorders>
            <w:shd w:val="clear" w:color="auto" w:fill="D9D9D9" w:themeFill="background1" w:themeFillShade="D9"/>
            <w:noWrap/>
            <w:vAlign w:val="center"/>
            <w:hideMark/>
          </w:tcPr>
          <w:p w14:paraId="0D5AE3E2" w14:textId="77777777" w:rsidR="001E628F" w:rsidRPr="005A1F62" w:rsidRDefault="001E628F" w:rsidP="001E628F">
            <w:pPr>
              <w:tabs>
                <w:tab w:val="left" w:pos="709"/>
              </w:tabs>
              <w:jc w:val="center"/>
              <w:rPr>
                <w:bCs/>
              </w:rPr>
            </w:pPr>
            <w:r w:rsidRPr="005A1F62">
              <w:rPr>
                <w:bCs/>
              </w:rPr>
              <w:t>-1</w:t>
            </w:r>
          </w:p>
        </w:tc>
        <w:tc>
          <w:tcPr>
            <w:tcW w:w="990" w:type="dxa"/>
            <w:tcBorders>
              <w:bottom w:val="single" w:sz="4" w:space="0" w:color="auto"/>
            </w:tcBorders>
            <w:shd w:val="clear" w:color="auto" w:fill="D9D9D9" w:themeFill="background1" w:themeFillShade="D9"/>
            <w:vAlign w:val="center"/>
            <w:hideMark/>
          </w:tcPr>
          <w:p w14:paraId="72E4FD56" w14:textId="77777777" w:rsidR="001E628F" w:rsidRPr="005A1F62" w:rsidRDefault="001E628F" w:rsidP="001E628F">
            <w:pPr>
              <w:tabs>
                <w:tab w:val="left" w:pos="709"/>
              </w:tabs>
              <w:jc w:val="center"/>
              <w:rPr>
                <w:bCs/>
              </w:rPr>
            </w:pPr>
            <w:r w:rsidRPr="005A1F62">
              <w:rPr>
                <w:bCs/>
              </w:rPr>
              <w:t>1</w:t>
            </w:r>
          </w:p>
        </w:tc>
      </w:tr>
      <w:tr w:rsidR="001E628F" w:rsidRPr="005A1F62" w14:paraId="41E48788" w14:textId="77777777" w:rsidTr="001E628F">
        <w:trPr>
          <w:trHeight w:val="20"/>
        </w:trPr>
        <w:tc>
          <w:tcPr>
            <w:tcW w:w="5665" w:type="dxa"/>
            <w:shd w:val="clear" w:color="auto" w:fill="auto"/>
            <w:vAlign w:val="bottom"/>
            <w:hideMark/>
          </w:tcPr>
          <w:p w14:paraId="5027817A" w14:textId="77777777" w:rsidR="001E628F" w:rsidRPr="005A1F62" w:rsidRDefault="001E628F" w:rsidP="001E628F">
            <w:pPr>
              <w:tabs>
                <w:tab w:val="left" w:pos="709"/>
              </w:tabs>
              <w:jc w:val="both"/>
            </w:pPr>
            <w:r w:rsidRPr="005A1F62">
              <w:t>Максимальная открытая валютная позиция по одной валюте, % капитала</w:t>
            </w:r>
          </w:p>
        </w:tc>
        <w:tc>
          <w:tcPr>
            <w:tcW w:w="1701" w:type="dxa"/>
            <w:vMerge w:val="restart"/>
            <w:shd w:val="clear" w:color="auto" w:fill="auto"/>
            <w:vAlign w:val="center"/>
            <w:hideMark/>
          </w:tcPr>
          <w:p w14:paraId="169F0814" w14:textId="018EDAB0" w:rsidR="001E628F" w:rsidRPr="005A1F62" w:rsidRDefault="001E628F" w:rsidP="001E628F">
            <w:pPr>
              <w:tabs>
                <w:tab w:val="left" w:pos="709"/>
              </w:tabs>
              <w:jc w:val="center"/>
            </w:pPr>
            <w:r w:rsidRPr="005A1F62">
              <w:t xml:space="preserve">Минимум </w:t>
            </w:r>
          </w:p>
        </w:tc>
        <w:tc>
          <w:tcPr>
            <w:tcW w:w="989" w:type="dxa"/>
            <w:shd w:val="clear" w:color="auto" w:fill="auto"/>
            <w:noWrap/>
            <w:vAlign w:val="center"/>
            <w:hideMark/>
          </w:tcPr>
          <w:p w14:paraId="6E05AA2D" w14:textId="77777777" w:rsidR="001E628F" w:rsidRPr="005A1F62" w:rsidRDefault="001E628F" w:rsidP="001E628F">
            <w:pPr>
              <w:tabs>
                <w:tab w:val="left" w:pos="709"/>
              </w:tabs>
              <w:jc w:val="center"/>
              <w:rPr>
                <w:color w:val="000000"/>
              </w:rPr>
            </w:pPr>
            <w:r w:rsidRPr="005A1F62">
              <w:rPr>
                <w:color w:val="000000"/>
              </w:rPr>
              <w:t>9,5</w:t>
            </w:r>
          </w:p>
        </w:tc>
        <w:tc>
          <w:tcPr>
            <w:tcW w:w="990" w:type="dxa"/>
            <w:shd w:val="clear" w:color="auto" w:fill="auto"/>
            <w:noWrap/>
            <w:vAlign w:val="center"/>
            <w:hideMark/>
          </w:tcPr>
          <w:p w14:paraId="6A5E620D" w14:textId="77777777" w:rsidR="001E628F" w:rsidRPr="005A1F62" w:rsidRDefault="001E628F" w:rsidP="001E628F">
            <w:pPr>
              <w:tabs>
                <w:tab w:val="left" w:pos="709"/>
              </w:tabs>
              <w:jc w:val="center"/>
              <w:rPr>
                <w:color w:val="000000"/>
              </w:rPr>
            </w:pPr>
            <w:r w:rsidRPr="005A1F62">
              <w:rPr>
                <w:color w:val="000000"/>
              </w:rPr>
              <w:t>6,0</w:t>
            </w:r>
          </w:p>
        </w:tc>
      </w:tr>
      <w:tr w:rsidR="001E628F" w:rsidRPr="005A1F62" w14:paraId="3D0A110B" w14:textId="77777777" w:rsidTr="001E628F">
        <w:trPr>
          <w:trHeight w:val="20"/>
        </w:trPr>
        <w:tc>
          <w:tcPr>
            <w:tcW w:w="5665" w:type="dxa"/>
            <w:shd w:val="clear" w:color="auto" w:fill="auto"/>
            <w:vAlign w:val="bottom"/>
            <w:hideMark/>
          </w:tcPr>
          <w:p w14:paraId="77303B14" w14:textId="77777777" w:rsidR="001E628F" w:rsidRPr="005A1F62" w:rsidRDefault="001E628F" w:rsidP="001E628F">
            <w:pPr>
              <w:tabs>
                <w:tab w:val="left" w:pos="709"/>
              </w:tabs>
              <w:jc w:val="both"/>
            </w:pPr>
            <w:r w:rsidRPr="005A1F62">
              <w:t>Балансирующая позиция в рублях, % капитала</w:t>
            </w:r>
          </w:p>
        </w:tc>
        <w:tc>
          <w:tcPr>
            <w:tcW w:w="1701" w:type="dxa"/>
            <w:vMerge/>
            <w:shd w:val="clear" w:color="auto" w:fill="auto"/>
            <w:vAlign w:val="center"/>
            <w:hideMark/>
          </w:tcPr>
          <w:p w14:paraId="105763D5" w14:textId="77777777" w:rsidR="001E628F" w:rsidRPr="005A1F62" w:rsidRDefault="001E628F" w:rsidP="001E628F">
            <w:pPr>
              <w:tabs>
                <w:tab w:val="left" w:pos="709"/>
              </w:tabs>
              <w:jc w:val="center"/>
            </w:pPr>
          </w:p>
        </w:tc>
        <w:tc>
          <w:tcPr>
            <w:tcW w:w="989" w:type="dxa"/>
            <w:shd w:val="clear" w:color="auto" w:fill="auto"/>
            <w:noWrap/>
            <w:vAlign w:val="center"/>
            <w:hideMark/>
          </w:tcPr>
          <w:p w14:paraId="039D95B5" w14:textId="6756F979" w:rsidR="001E628F" w:rsidRPr="005A1F62" w:rsidRDefault="0046109C" w:rsidP="001E628F">
            <w:pPr>
              <w:tabs>
                <w:tab w:val="left" w:pos="709"/>
              </w:tabs>
              <w:jc w:val="center"/>
              <w:rPr>
                <w:color w:val="000000"/>
              </w:rPr>
            </w:pPr>
            <w:r w:rsidRPr="005A1F62">
              <w:rPr>
                <w:color w:val="000000"/>
              </w:rPr>
              <w:t>9,5</w:t>
            </w:r>
          </w:p>
        </w:tc>
        <w:tc>
          <w:tcPr>
            <w:tcW w:w="990" w:type="dxa"/>
            <w:shd w:val="clear" w:color="auto" w:fill="auto"/>
            <w:noWrap/>
            <w:vAlign w:val="center"/>
            <w:hideMark/>
          </w:tcPr>
          <w:p w14:paraId="4F85047D" w14:textId="0EAD8B06" w:rsidR="001E628F" w:rsidRPr="005A1F62" w:rsidRDefault="0046109C" w:rsidP="001E628F">
            <w:pPr>
              <w:tabs>
                <w:tab w:val="left" w:pos="709"/>
              </w:tabs>
              <w:jc w:val="center"/>
              <w:rPr>
                <w:color w:val="000000"/>
              </w:rPr>
            </w:pPr>
            <w:r w:rsidRPr="005A1F62">
              <w:rPr>
                <w:color w:val="000000"/>
              </w:rPr>
              <w:t>6,0</w:t>
            </w:r>
          </w:p>
        </w:tc>
      </w:tr>
      <w:tr w:rsidR="001E628F" w:rsidRPr="005A1F62" w14:paraId="317CB387" w14:textId="77777777" w:rsidTr="001E628F">
        <w:trPr>
          <w:trHeight w:val="20"/>
        </w:trPr>
        <w:tc>
          <w:tcPr>
            <w:tcW w:w="5665" w:type="dxa"/>
            <w:shd w:val="clear" w:color="auto" w:fill="auto"/>
            <w:vAlign w:val="bottom"/>
            <w:hideMark/>
          </w:tcPr>
          <w:p w14:paraId="463CA079" w14:textId="77777777" w:rsidR="001E628F" w:rsidRPr="005A1F62" w:rsidRDefault="001E628F" w:rsidP="001E628F">
            <w:pPr>
              <w:tabs>
                <w:tab w:val="left" w:pos="709"/>
              </w:tabs>
              <w:jc w:val="both"/>
            </w:pPr>
            <w:r w:rsidRPr="005A1F62">
              <w:t>Открытая валютная позиция по всем валютам, % капитала</w:t>
            </w:r>
          </w:p>
        </w:tc>
        <w:tc>
          <w:tcPr>
            <w:tcW w:w="1701" w:type="dxa"/>
            <w:vMerge/>
            <w:shd w:val="clear" w:color="auto" w:fill="auto"/>
            <w:vAlign w:val="center"/>
            <w:hideMark/>
          </w:tcPr>
          <w:p w14:paraId="1EE514C1" w14:textId="77777777" w:rsidR="001E628F" w:rsidRPr="005A1F62" w:rsidRDefault="001E628F" w:rsidP="001E628F">
            <w:pPr>
              <w:tabs>
                <w:tab w:val="left" w:pos="709"/>
              </w:tabs>
              <w:jc w:val="center"/>
            </w:pPr>
          </w:p>
        </w:tc>
        <w:tc>
          <w:tcPr>
            <w:tcW w:w="989" w:type="dxa"/>
            <w:shd w:val="clear" w:color="auto" w:fill="auto"/>
            <w:noWrap/>
            <w:vAlign w:val="center"/>
            <w:hideMark/>
          </w:tcPr>
          <w:p w14:paraId="5559FEF0" w14:textId="77777777" w:rsidR="001E628F" w:rsidRPr="005A1F62" w:rsidRDefault="001E628F" w:rsidP="001E628F">
            <w:pPr>
              <w:tabs>
                <w:tab w:val="left" w:pos="709"/>
              </w:tabs>
              <w:jc w:val="center"/>
              <w:rPr>
                <w:color w:val="000000"/>
              </w:rPr>
            </w:pPr>
            <w:r w:rsidRPr="005A1F62">
              <w:rPr>
                <w:color w:val="000000"/>
              </w:rPr>
              <w:t>19,0</w:t>
            </w:r>
          </w:p>
        </w:tc>
        <w:tc>
          <w:tcPr>
            <w:tcW w:w="990" w:type="dxa"/>
            <w:shd w:val="clear" w:color="auto" w:fill="auto"/>
            <w:noWrap/>
            <w:vAlign w:val="center"/>
            <w:hideMark/>
          </w:tcPr>
          <w:p w14:paraId="78961A52" w14:textId="77777777" w:rsidR="001E628F" w:rsidRPr="005A1F62" w:rsidRDefault="001E628F" w:rsidP="001E628F">
            <w:pPr>
              <w:tabs>
                <w:tab w:val="left" w:pos="709"/>
              </w:tabs>
              <w:jc w:val="center"/>
              <w:rPr>
                <w:color w:val="000000"/>
              </w:rPr>
            </w:pPr>
            <w:r w:rsidRPr="005A1F62">
              <w:rPr>
                <w:color w:val="000000"/>
              </w:rPr>
              <w:t>15,0</w:t>
            </w:r>
          </w:p>
        </w:tc>
      </w:tr>
      <w:tr w:rsidR="001E628F" w:rsidRPr="005A1F62" w14:paraId="24A6AD78" w14:textId="77777777" w:rsidTr="001E628F">
        <w:trPr>
          <w:trHeight w:val="20"/>
        </w:trPr>
        <w:tc>
          <w:tcPr>
            <w:tcW w:w="5665" w:type="dxa"/>
            <w:shd w:val="clear" w:color="auto" w:fill="auto"/>
            <w:vAlign w:val="bottom"/>
            <w:hideMark/>
          </w:tcPr>
          <w:p w14:paraId="17FFFFB6" w14:textId="77777777" w:rsidR="001E628F" w:rsidRPr="005A1F62" w:rsidRDefault="001E628F" w:rsidP="001E628F">
            <w:pPr>
              <w:tabs>
                <w:tab w:val="left" w:pos="709"/>
              </w:tabs>
              <w:jc w:val="both"/>
            </w:pPr>
            <w:r w:rsidRPr="005A1F62">
              <w:t>Дельта между долей пассивов и активов с плавающей ставкой, %</w:t>
            </w:r>
          </w:p>
        </w:tc>
        <w:tc>
          <w:tcPr>
            <w:tcW w:w="1701" w:type="dxa"/>
            <w:vMerge/>
            <w:shd w:val="clear" w:color="auto" w:fill="auto"/>
            <w:vAlign w:val="center"/>
            <w:hideMark/>
          </w:tcPr>
          <w:p w14:paraId="5301AF66" w14:textId="77777777" w:rsidR="001E628F" w:rsidRPr="005A1F62" w:rsidRDefault="001E628F" w:rsidP="001E628F">
            <w:pPr>
              <w:tabs>
                <w:tab w:val="left" w:pos="709"/>
              </w:tabs>
              <w:jc w:val="center"/>
            </w:pPr>
          </w:p>
        </w:tc>
        <w:tc>
          <w:tcPr>
            <w:tcW w:w="989" w:type="dxa"/>
            <w:shd w:val="clear" w:color="auto" w:fill="auto"/>
            <w:noWrap/>
            <w:vAlign w:val="center"/>
            <w:hideMark/>
          </w:tcPr>
          <w:p w14:paraId="02B2C46F" w14:textId="77777777" w:rsidR="001E628F" w:rsidRPr="005A1F62" w:rsidRDefault="001E628F" w:rsidP="001E628F">
            <w:pPr>
              <w:tabs>
                <w:tab w:val="left" w:pos="709"/>
              </w:tabs>
              <w:jc w:val="center"/>
              <w:rPr>
                <w:color w:val="000000"/>
              </w:rPr>
            </w:pPr>
            <w:r w:rsidRPr="005A1F62">
              <w:rPr>
                <w:color w:val="000000"/>
              </w:rPr>
              <w:t>15,0</w:t>
            </w:r>
          </w:p>
        </w:tc>
        <w:tc>
          <w:tcPr>
            <w:tcW w:w="990" w:type="dxa"/>
            <w:shd w:val="clear" w:color="auto" w:fill="auto"/>
            <w:noWrap/>
            <w:vAlign w:val="center"/>
            <w:hideMark/>
          </w:tcPr>
          <w:p w14:paraId="1F268AC7" w14:textId="77777777" w:rsidR="001E628F" w:rsidRPr="005A1F62" w:rsidRDefault="001E628F" w:rsidP="001E628F">
            <w:pPr>
              <w:tabs>
                <w:tab w:val="left" w:pos="709"/>
              </w:tabs>
              <w:jc w:val="center"/>
              <w:rPr>
                <w:color w:val="000000"/>
              </w:rPr>
            </w:pPr>
            <w:r w:rsidRPr="005A1F62">
              <w:rPr>
                <w:color w:val="000000"/>
              </w:rPr>
              <w:t>5,0</w:t>
            </w:r>
          </w:p>
        </w:tc>
      </w:tr>
      <w:tr w:rsidR="001E628F" w:rsidRPr="005A1F62" w14:paraId="2D00F580" w14:textId="77777777" w:rsidTr="001E628F">
        <w:trPr>
          <w:trHeight w:val="20"/>
        </w:trPr>
        <w:tc>
          <w:tcPr>
            <w:tcW w:w="5665" w:type="dxa"/>
            <w:shd w:val="clear" w:color="auto" w:fill="auto"/>
            <w:vAlign w:val="bottom"/>
            <w:hideMark/>
          </w:tcPr>
          <w:p w14:paraId="29598F6A" w14:textId="77777777" w:rsidR="001E628F" w:rsidRPr="005A1F62" w:rsidRDefault="001E628F" w:rsidP="001E628F">
            <w:pPr>
              <w:tabs>
                <w:tab w:val="left" w:pos="709"/>
              </w:tabs>
              <w:jc w:val="both"/>
            </w:pPr>
            <w:r w:rsidRPr="005A1F62">
              <w:t>Доля обремененных ценных бумаг и векселей в валовых активах, %</w:t>
            </w:r>
          </w:p>
        </w:tc>
        <w:tc>
          <w:tcPr>
            <w:tcW w:w="1701" w:type="dxa"/>
            <w:vMerge/>
            <w:shd w:val="clear" w:color="auto" w:fill="auto"/>
            <w:vAlign w:val="center"/>
            <w:hideMark/>
          </w:tcPr>
          <w:p w14:paraId="6BDF9F89" w14:textId="77777777" w:rsidR="001E628F" w:rsidRPr="005A1F62" w:rsidRDefault="001E628F" w:rsidP="001E628F">
            <w:pPr>
              <w:tabs>
                <w:tab w:val="left" w:pos="709"/>
              </w:tabs>
              <w:jc w:val="center"/>
            </w:pPr>
          </w:p>
        </w:tc>
        <w:tc>
          <w:tcPr>
            <w:tcW w:w="989" w:type="dxa"/>
            <w:shd w:val="clear" w:color="auto" w:fill="auto"/>
            <w:noWrap/>
            <w:vAlign w:val="center"/>
            <w:hideMark/>
          </w:tcPr>
          <w:p w14:paraId="7CF8364A" w14:textId="77777777" w:rsidR="001E628F" w:rsidRPr="005A1F62" w:rsidRDefault="001E628F" w:rsidP="001E628F">
            <w:pPr>
              <w:tabs>
                <w:tab w:val="left" w:pos="709"/>
              </w:tabs>
              <w:jc w:val="center"/>
              <w:rPr>
                <w:color w:val="000000"/>
              </w:rPr>
            </w:pPr>
            <w:r w:rsidRPr="005A1F62">
              <w:rPr>
                <w:color w:val="000000"/>
              </w:rPr>
              <w:t>17,0</w:t>
            </w:r>
          </w:p>
        </w:tc>
        <w:tc>
          <w:tcPr>
            <w:tcW w:w="990" w:type="dxa"/>
            <w:shd w:val="clear" w:color="auto" w:fill="auto"/>
            <w:noWrap/>
            <w:vAlign w:val="center"/>
            <w:hideMark/>
          </w:tcPr>
          <w:p w14:paraId="5947A7E6" w14:textId="77777777" w:rsidR="001E628F" w:rsidRPr="005A1F62" w:rsidRDefault="001E628F" w:rsidP="001E628F">
            <w:pPr>
              <w:tabs>
                <w:tab w:val="left" w:pos="709"/>
              </w:tabs>
              <w:jc w:val="center"/>
              <w:rPr>
                <w:color w:val="000000"/>
              </w:rPr>
            </w:pPr>
            <w:r w:rsidRPr="005A1F62">
              <w:rPr>
                <w:color w:val="000000"/>
              </w:rPr>
              <w:t>5,0</w:t>
            </w:r>
          </w:p>
        </w:tc>
      </w:tr>
    </w:tbl>
    <w:p w14:paraId="18D70C44" w14:textId="77777777" w:rsidR="003E38FC" w:rsidRPr="005A1F62" w:rsidRDefault="003E38FC" w:rsidP="00DC2FED">
      <w:pPr>
        <w:tabs>
          <w:tab w:val="left" w:pos="709"/>
        </w:tabs>
        <w:ind w:firstLine="567"/>
        <w:jc w:val="both"/>
        <w:rPr>
          <w:bCs/>
        </w:rPr>
      </w:pPr>
    </w:p>
    <w:p w14:paraId="0CFE3B3D" w14:textId="77777777" w:rsidR="003E38FC" w:rsidRPr="005A1F62" w:rsidRDefault="003E38FC" w:rsidP="00DC2FED">
      <w:pPr>
        <w:tabs>
          <w:tab w:val="left" w:pos="709"/>
        </w:tabs>
        <w:ind w:firstLine="567"/>
        <w:jc w:val="both"/>
        <w:rPr>
          <w:bCs/>
          <w:i/>
        </w:rPr>
      </w:pPr>
      <w:bookmarkStart w:id="250" w:name="_Hlk41321927"/>
      <w:r w:rsidRPr="005A1F62">
        <w:rPr>
          <w:bCs/>
          <w:i/>
        </w:rPr>
        <w:t>Для показателя «</w:t>
      </w:r>
      <w:r w:rsidR="002B4E7D" w:rsidRPr="005A1F62">
        <w:rPr>
          <w:bCs/>
          <w:i/>
        </w:rPr>
        <w:t xml:space="preserve">максимальная </w:t>
      </w:r>
      <w:r w:rsidRPr="005A1F62">
        <w:rPr>
          <w:bCs/>
          <w:i/>
        </w:rPr>
        <w:t>открытая валютная позиция по одной валюте» зависимость балла от значения определяется степенной функцией с показателем степени</w:t>
      </w:r>
      <w:r w:rsidR="002B4E7D" w:rsidRPr="005A1F62">
        <w:rPr>
          <w:bCs/>
          <w:i/>
        </w:rPr>
        <w:t>,</w:t>
      </w:r>
      <w:r w:rsidRPr="005A1F62">
        <w:rPr>
          <w:bCs/>
          <w:i/>
        </w:rPr>
        <w:t xml:space="preserve"> равным 0,64.</w:t>
      </w:r>
    </w:p>
    <w:p w14:paraId="10333EEC" w14:textId="77777777" w:rsidR="003E38FC" w:rsidRPr="005A1F62" w:rsidRDefault="003E38FC" w:rsidP="00DC2FED">
      <w:pPr>
        <w:tabs>
          <w:tab w:val="left" w:pos="709"/>
        </w:tabs>
        <w:ind w:firstLine="567"/>
        <w:jc w:val="both"/>
        <w:rPr>
          <w:bCs/>
          <w:i/>
        </w:rPr>
      </w:pPr>
      <w:r w:rsidRPr="005A1F62">
        <w:rPr>
          <w:bCs/>
          <w:i/>
        </w:rPr>
        <w:t>Для показателя «</w:t>
      </w:r>
      <w:r w:rsidR="002B4E7D" w:rsidRPr="005A1F62">
        <w:rPr>
          <w:bCs/>
          <w:i/>
        </w:rPr>
        <w:t xml:space="preserve">балансирующая </w:t>
      </w:r>
      <w:r w:rsidRPr="005A1F62">
        <w:rPr>
          <w:bCs/>
          <w:i/>
        </w:rPr>
        <w:t>позиция в рублях» зависимость балла от значения определяется степенной функцией с показателем степени</w:t>
      </w:r>
      <w:r w:rsidR="002B4E7D" w:rsidRPr="005A1F62">
        <w:rPr>
          <w:bCs/>
          <w:i/>
        </w:rPr>
        <w:t>,</w:t>
      </w:r>
      <w:r w:rsidRPr="005A1F62">
        <w:rPr>
          <w:bCs/>
          <w:i/>
        </w:rPr>
        <w:t xml:space="preserve"> равным 0,63.</w:t>
      </w:r>
    </w:p>
    <w:p w14:paraId="3EC5E7D7" w14:textId="5F6C76DA" w:rsidR="00495148" w:rsidRPr="005A1F62" w:rsidRDefault="003E38FC" w:rsidP="00DC2FED">
      <w:pPr>
        <w:tabs>
          <w:tab w:val="left" w:pos="709"/>
        </w:tabs>
        <w:ind w:firstLine="567"/>
        <w:jc w:val="both"/>
        <w:rPr>
          <w:bCs/>
          <w:i/>
        </w:rPr>
      </w:pPr>
      <w:r w:rsidRPr="005A1F62">
        <w:rPr>
          <w:bCs/>
          <w:i/>
        </w:rPr>
        <w:t>Для показателя «</w:t>
      </w:r>
      <w:r w:rsidR="002B4E7D" w:rsidRPr="005A1F62">
        <w:rPr>
          <w:bCs/>
          <w:i/>
        </w:rPr>
        <w:t xml:space="preserve">открытая </w:t>
      </w:r>
      <w:r w:rsidRPr="005A1F62">
        <w:rPr>
          <w:bCs/>
          <w:i/>
        </w:rPr>
        <w:t>валютная позиция по всем валютам» зависимость балла от значения определяется степенной функцией с показателем степени</w:t>
      </w:r>
      <w:r w:rsidR="002B4E7D" w:rsidRPr="005A1F62">
        <w:rPr>
          <w:bCs/>
          <w:i/>
        </w:rPr>
        <w:t>,</w:t>
      </w:r>
      <w:r w:rsidRPr="005A1F62">
        <w:rPr>
          <w:bCs/>
          <w:i/>
        </w:rPr>
        <w:t xml:space="preserve"> равным 0,63.</w:t>
      </w:r>
    </w:p>
    <w:bookmarkEnd w:id="250"/>
    <w:p w14:paraId="1F9BA4D1" w14:textId="5A9AA511" w:rsidR="00B74662" w:rsidRPr="005A1F62" w:rsidRDefault="00B74662" w:rsidP="00DC2FED">
      <w:pPr>
        <w:tabs>
          <w:tab w:val="left" w:pos="709"/>
        </w:tabs>
        <w:ind w:firstLine="567"/>
        <w:jc w:val="both"/>
        <w:rPr>
          <w:bCs/>
          <w:i/>
        </w:rPr>
      </w:pPr>
    </w:p>
    <w:p w14:paraId="5C3BA7FC" w14:textId="77777777" w:rsidR="00B74662" w:rsidRPr="005A1F62" w:rsidRDefault="00B74662" w:rsidP="00DC2FED">
      <w:pPr>
        <w:tabs>
          <w:tab w:val="left" w:pos="709"/>
        </w:tabs>
        <w:ind w:firstLine="567"/>
        <w:jc w:val="both"/>
        <w:rPr>
          <w:bCs/>
          <w:i/>
        </w:rPr>
      </w:pPr>
    </w:p>
    <w:p w14:paraId="1BAF0D19" w14:textId="77777777" w:rsidR="00B74662" w:rsidRPr="005A1F62" w:rsidRDefault="00B74662" w:rsidP="00DC2FED">
      <w:pPr>
        <w:tabs>
          <w:tab w:val="left" w:pos="709"/>
        </w:tabs>
        <w:ind w:firstLine="567"/>
        <w:jc w:val="both"/>
        <w:rPr>
          <w:bCs/>
          <w:i/>
        </w:rPr>
      </w:pPr>
    </w:p>
    <w:sectPr w:rsidR="00B74662" w:rsidRPr="005A1F62" w:rsidSect="007E4920">
      <w:headerReference w:type="default" r:id="rId15"/>
      <w:footerReference w:type="even"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CB5A" w14:textId="77777777" w:rsidR="001570EF" w:rsidRDefault="001570EF">
      <w:r>
        <w:separator/>
      </w:r>
    </w:p>
  </w:endnote>
  <w:endnote w:type="continuationSeparator" w:id="0">
    <w:p w14:paraId="514EDD79" w14:textId="77777777" w:rsidR="001570EF" w:rsidRDefault="001570EF">
      <w:r>
        <w:continuationSeparator/>
      </w:r>
    </w:p>
  </w:endnote>
  <w:endnote w:type="continuationNotice" w:id="1">
    <w:p w14:paraId="0155DCB3" w14:textId="77777777" w:rsidR="001570EF" w:rsidRDefault="00157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8400" w14:textId="159F5BFB" w:rsidR="001570EF" w:rsidRDefault="001570EF" w:rsidP="00985C14">
    <w:pPr>
      <w:pStyle w:val="ab"/>
      <w:tabs>
        <w:tab w:val="left" w:pos="3783"/>
        <w:tab w:val="left" w:pos="6620"/>
      </w:tabs>
      <w:ind w:right="360"/>
      <w:jc w:val="right"/>
    </w:pPr>
    <w:r>
      <w:fldChar w:fldCharType="begin"/>
    </w:r>
    <w:r>
      <w:instrText>PAGE   \* MERGEFORMAT</w:instrText>
    </w:r>
    <w:r>
      <w:fldChar w:fldCharType="separate"/>
    </w:r>
    <w:r>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C68D" w14:textId="77777777" w:rsidR="001570EF" w:rsidRDefault="001570EF" w:rsidP="007A7CD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C76FC3E" w14:textId="77777777" w:rsidR="001570EF" w:rsidRDefault="001570EF" w:rsidP="007A7CD8">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3E73" w14:textId="7DF082C2" w:rsidR="001570EF" w:rsidRDefault="001570EF" w:rsidP="007A7CD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84</w:t>
    </w:r>
    <w:r>
      <w:rPr>
        <w:rStyle w:val="ad"/>
      </w:rPr>
      <w:fldChar w:fldCharType="end"/>
    </w:r>
  </w:p>
  <w:p w14:paraId="0F147CD3" w14:textId="77777777" w:rsidR="001570EF" w:rsidRDefault="001570EF" w:rsidP="00292098">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60DF" w14:textId="6888B9A0" w:rsidR="001570EF" w:rsidRDefault="001570EF" w:rsidP="007E492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16</w:t>
    </w:r>
    <w:r>
      <w:rPr>
        <w:rStyle w:val="ad"/>
      </w:rPr>
      <w:fldChar w:fldCharType="end"/>
    </w:r>
  </w:p>
  <w:p w14:paraId="1ADCF25A" w14:textId="77777777" w:rsidR="001570EF" w:rsidRDefault="001570EF" w:rsidP="0029209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F06C" w14:textId="77777777" w:rsidR="001570EF" w:rsidRDefault="001570EF">
      <w:r>
        <w:separator/>
      </w:r>
    </w:p>
  </w:footnote>
  <w:footnote w:type="continuationSeparator" w:id="0">
    <w:p w14:paraId="419B4BDC" w14:textId="77777777" w:rsidR="001570EF" w:rsidRDefault="001570EF">
      <w:r>
        <w:continuationSeparator/>
      </w:r>
    </w:p>
  </w:footnote>
  <w:footnote w:type="continuationNotice" w:id="1">
    <w:p w14:paraId="673E6DB5" w14:textId="77777777" w:rsidR="001570EF" w:rsidRDefault="001570EF"/>
  </w:footnote>
  <w:footnote w:id="2">
    <w:p w14:paraId="626ED495" w14:textId="77777777" w:rsidR="001570EF" w:rsidRDefault="001570EF" w:rsidP="00A85529">
      <w:pPr>
        <w:pStyle w:val="a7"/>
        <w:jc w:val="both"/>
      </w:pPr>
      <w:r>
        <w:rPr>
          <w:rStyle w:val="a9"/>
        </w:rPr>
        <w:footnoteRef/>
      </w:r>
      <w:r>
        <w:t xml:space="preserve"> При присвоении рейтингов небанковским кредитным организациям </w:t>
      </w:r>
      <w:r w:rsidRPr="006024F1">
        <w:t xml:space="preserve">учитываются их особенности, </w:t>
      </w:r>
      <w:r>
        <w:t xml:space="preserve">связанные прежде всего со </w:t>
      </w:r>
      <w:r w:rsidRPr="006024F1">
        <w:t>специфи</w:t>
      </w:r>
      <w:r>
        <w:t xml:space="preserve">кой </w:t>
      </w:r>
      <w:r w:rsidRPr="006024F1">
        <w:t>регулятивны</w:t>
      </w:r>
      <w:r>
        <w:t>х</w:t>
      </w:r>
      <w:r w:rsidRPr="006024F1">
        <w:t xml:space="preserve"> требовани</w:t>
      </w:r>
      <w:r>
        <w:t>й к ним.</w:t>
      </w:r>
    </w:p>
  </w:footnote>
  <w:footnote w:id="3">
    <w:p w14:paraId="68E4B6A8" w14:textId="77777777" w:rsidR="001570EF" w:rsidRDefault="001570EF" w:rsidP="0014658E">
      <w:pPr>
        <w:pStyle w:val="a7"/>
        <w:jc w:val="both"/>
      </w:pPr>
      <w:r>
        <w:rPr>
          <w:rStyle w:val="a9"/>
        </w:rPr>
        <w:footnoteRef/>
      </w:r>
      <w:r>
        <w:t xml:space="preserve"> В случае если банк не исполняет вторую часть сделки прямого РЕПО (возврат привлеченных денежных средств), Агентство считает, что создается ситуация вынужденной реструктуризации долга: вместо исполнения денежного обязательства в качестве обслуживания долга кредитору передается портфель ценных бумаг. Для определения, является ли это событие дефолтом, Агентство проверяет, ухудшается ли положение кредитора в результате передачи ему портфеля ценных бумаг вместо денежной выплаты. Для этого выясняется рыночная стоимость портфеля ценных бумаг, находящаяся в залоге в рамках сделки РЕПО. В случае если стоимость портфеля превышает объем неисполненного обязательства, то Агентство не считает такую реструктуризацию ухудшающей условия для кредитора, а факт неисполнения второй части сделки – дефолтом. Если стоимость портфеля меньше объема неисполненного обязательства, Агентство считает, что в результате вынужденной реструктуризации условия для кредитора ухудшились, а факт неисполнения второй части сделки РЕПО считает дефолтом.</w:t>
      </w:r>
    </w:p>
  </w:footnote>
  <w:footnote w:id="4">
    <w:p w14:paraId="34BEA3FE" w14:textId="77777777" w:rsidR="001570EF" w:rsidRDefault="001570EF" w:rsidP="00A85529">
      <w:pPr>
        <w:pStyle w:val="a7"/>
        <w:jc w:val="both"/>
      </w:pPr>
      <w:r>
        <w:rPr>
          <w:rStyle w:val="a9"/>
        </w:rPr>
        <w:footnoteRef/>
      </w:r>
      <w:r>
        <w:t xml:space="preserve"> За исключением субфактора «уровень проблемных ссуд», который оценивается на последнюю дату.</w:t>
      </w:r>
    </w:p>
  </w:footnote>
  <w:footnote w:id="5">
    <w:p w14:paraId="1581A1FD" w14:textId="29653775" w:rsidR="001570EF" w:rsidRPr="004C360E" w:rsidRDefault="001570EF">
      <w:pPr>
        <w:pStyle w:val="a7"/>
      </w:pPr>
      <w:r>
        <w:rPr>
          <w:rStyle w:val="a9"/>
        </w:rPr>
        <w:footnoteRef/>
      </w:r>
      <w:r>
        <w:t xml:space="preserve"> Веса субфакторов в составе показателя «прибыльность операций» для банков с базовой лицензией зависят от наличия</w:t>
      </w:r>
      <w:r w:rsidRPr="004C360E">
        <w:t xml:space="preserve"> / </w:t>
      </w:r>
      <w:r>
        <w:t xml:space="preserve">отсутствия </w:t>
      </w:r>
      <w:proofErr w:type="spellStart"/>
      <w:r>
        <w:t>отчетно</w:t>
      </w:r>
      <w:proofErr w:type="spellEnd"/>
      <w:r>
        <w:rPr>
          <w:lang w:val="en-US"/>
        </w:rPr>
        <w:t>c</w:t>
      </w:r>
      <w:proofErr w:type="spellStart"/>
      <w:r>
        <w:t>ти</w:t>
      </w:r>
      <w:proofErr w:type="spellEnd"/>
      <w:r>
        <w:t xml:space="preserve"> по МСФО.</w:t>
      </w:r>
    </w:p>
  </w:footnote>
  <w:footnote w:id="6">
    <w:p w14:paraId="6ABF8799" w14:textId="0C3B551F" w:rsidR="008B09CF" w:rsidRPr="008B09CF" w:rsidRDefault="008B09CF">
      <w:pPr>
        <w:pStyle w:val="a7"/>
      </w:pPr>
      <w:r>
        <w:rPr>
          <w:rStyle w:val="a9"/>
        </w:rPr>
        <w:footnoteRef/>
      </w:r>
      <w:r>
        <w:t xml:space="preserve"> За исключением субфактора «</w:t>
      </w:r>
      <w:r>
        <w:rPr>
          <w:lang w:val="en-US"/>
        </w:rPr>
        <w:t>CIR</w:t>
      </w:r>
      <w:r>
        <w:t>»</w:t>
      </w:r>
      <w:r w:rsidR="002675E0">
        <w:t>, который оценивается без «хвоста» (за последние 12 месяцев).</w:t>
      </w:r>
    </w:p>
  </w:footnote>
  <w:footnote w:id="7">
    <w:p w14:paraId="10A61A39" w14:textId="01784CE9" w:rsidR="001570EF" w:rsidRDefault="001570EF" w:rsidP="00A85529">
      <w:pPr>
        <w:pStyle w:val="a7"/>
        <w:jc w:val="both"/>
      </w:pPr>
      <w:r>
        <w:rPr>
          <w:rStyle w:val="a9"/>
        </w:rPr>
        <w:footnoteRef/>
      </w:r>
      <w:r>
        <w:t xml:space="preserve"> Веса субфакторов в составе показателя «структура ресурсной базы» зависят от выполнения </w:t>
      </w:r>
      <w:r w:rsidRPr="00CE4F1F">
        <w:t>/</w:t>
      </w:r>
      <w:r>
        <w:t xml:space="preserve"> невыполнения критериев для оценки стоимости фондирования.</w:t>
      </w:r>
    </w:p>
  </w:footnote>
  <w:footnote w:id="8">
    <w:p w14:paraId="4F48B31B" w14:textId="77777777" w:rsidR="001570EF" w:rsidRDefault="001570EF" w:rsidP="00A85529">
      <w:pPr>
        <w:pStyle w:val="a7"/>
        <w:jc w:val="both"/>
      </w:pPr>
      <w:r>
        <w:rPr>
          <w:rStyle w:val="a9"/>
        </w:rPr>
        <w:footnoteRef/>
      </w:r>
      <w:r>
        <w:t xml:space="preserve"> За исключением субфактора «процентные риски», который оценивается на последнюю дату.</w:t>
      </w:r>
    </w:p>
  </w:footnote>
  <w:footnote w:id="9">
    <w:p w14:paraId="66823ACA" w14:textId="77777777" w:rsidR="001570EF" w:rsidRDefault="001570EF" w:rsidP="00A15425">
      <w:pPr>
        <w:pStyle w:val="a7"/>
        <w:jc w:val="both"/>
      </w:pPr>
      <w:r>
        <w:rPr>
          <w:rStyle w:val="a9"/>
        </w:rPr>
        <w:footnoteRef/>
      </w:r>
      <w:r>
        <w:t xml:space="preserve"> Учитывается также репутация топ-менеджеров, освобожденных от должности после начала процедур уголовного преследования.</w:t>
      </w:r>
    </w:p>
  </w:footnote>
  <w:footnote w:id="10">
    <w:p w14:paraId="7BBED442" w14:textId="4378FC45" w:rsidR="001570EF" w:rsidRPr="00F806A9" w:rsidRDefault="001570EF" w:rsidP="008A40EB">
      <w:pPr>
        <w:pStyle w:val="a7"/>
        <w:jc w:val="both"/>
        <w:rPr>
          <w:rFonts w:asciiTheme="minorHAnsi" w:hAnsiTheme="minorHAnsi"/>
        </w:rPr>
      </w:pPr>
      <w:r>
        <w:rPr>
          <w:rStyle w:val="a9"/>
        </w:rPr>
        <w:footnoteRef/>
      </w:r>
      <w:r>
        <w:t xml:space="preserve"> Репутация аудитора оценивается исходя из </w:t>
      </w:r>
      <w:r w:rsidRPr="00FA13B5">
        <w:t xml:space="preserve">количества и размера клиентов банковского сектора, а также фактов </w:t>
      </w:r>
      <w:r>
        <w:t xml:space="preserve">заверения отчетности банков, которые </w:t>
      </w:r>
      <w:r w:rsidRPr="00FA13B5">
        <w:t>впос</w:t>
      </w:r>
      <w:r>
        <w:t>ледствии лишились</w:t>
      </w:r>
      <w:r w:rsidRPr="00FA13B5">
        <w:t xml:space="preserve"> лицензии (при наличии оснований полагать,</w:t>
      </w:r>
      <w:r>
        <w:t xml:space="preserve"> что заверенная отчетность банков</w:t>
      </w:r>
      <w:r w:rsidRPr="00FA13B5">
        <w:t xml:space="preserve"> была недостоверна, а аудитор</w:t>
      </w:r>
      <w:r>
        <w:t>ское заключение при этом было не</w:t>
      </w:r>
      <w:r w:rsidRPr="00FA13B5">
        <w:t>модифицированным)</w:t>
      </w:r>
      <w:r>
        <w:t>.</w:t>
      </w:r>
    </w:p>
  </w:footnote>
  <w:footnote w:id="11">
    <w:p w14:paraId="0ED4B778" w14:textId="64B0D795" w:rsidR="001570EF" w:rsidRDefault="001570EF" w:rsidP="00C24C02">
      <w:pPr>
        <w:pStyle w:val="a7"/>
        <w:jc w:val="both"/>
      </w:pPr>
      <w:r>
        <w:rPr>
          <w:rStyle w:val="a9"/>
        </w:rPr>
        <w:footnoteRef/>
      </w:r>
      <w:r>
        <w:t xml:space="preserve"> </w:t>
      </w:r>
      <w:r w:rsidRPr="000F68FD">
        <w:t xml:space="preserve">Здесь и далее связанность лиц между собой и (или) с объектом рейтинга определяется экспертным суждением </w:t>
      </w:r>
      <w:r>
        <w:t>А</w:t>
      </w:r>
      <w:r w:rsidRPr="000F68FD">
        <w:t xml:space="preserve">гентства на основе совокупности признаков взаимозависимости лиц, в качестве которых могут рассматриваться существенные пересечения по </w:t>
      </w:r>
      <w:r>
        <w:t xml:space="preserve">учредителям (акционерам) и (или) </w:t>
      </w:r>
      <w:r w:rsidRPr="000F68FD">
        <w:t xml:space="preserve">конечным бенефициарам (даже если их нет в структуре собственности, но у </w:t>
      </w:r>
      <w:r>
        <w:t>А</w:t>
      </w:r>
      <w:r w:rsidRPr="000F68FD">
        <w:t>гентства есть основания считать их таковыми) и органам управления (в том числе исторические и с учетом третьих лиц по отношению к лицам, возможная связанность которых оценивается), значительна</w:t>
      </w:r>
      <w:r>
        <w:t>я финансовая взаимозависимость</w:t>
      </w:r>
      <w:r w:rsidRPr="000F68FD">
        <w:t>.</w:t>
      </w:r>
      <w:r>
        <w:t xml:space="preserve"> Для определения кредитных рисков, приходящихся на связанных с банком лиц, выбирается наибольшая величина кредитного риска из расчетов Агентства (на основе форм отчетности по РСБУ 117, 118, 303 и с использованием открытых баз данных), данных анкеты и отчетности по МСФО. Нахождение лиц (включая объект рейтинга) под прямым или косвенным контролем государства не рассматривается как признак их связанности, если они не являются членами одной группы. Размер кредитного риска при расчете показателя </w:t>
      </w:r>
      <w:r w:rsidRPr="005C7BD0">
        <w:t xml:space="preserve">может быть экспертно уменьшен на требования, имеющие условный рейтинговый класс не ниже ruAA- или имеющие обеспечение такого </w:t>
      </w:r>
      <w:r>
        <w:t xml:space="preserve">кредитного </w:t>
      </w:r>
      <w:r w:rsidRPr="005C7BD0">
        <w:t xml:space="preserve">качества. </w:t>
      </w:r>
      <w:r>
        <w:t xml:space="preserve">Аналогично размер кредитного риска </w:t>
      </w:r>
      <w:r w:rsidRPr="005C7BD0">
        <w:t>может быть увеличен на ту часть требований</w:t>
      </w:r>
      <w:r>
        <w:t xml:space="preserve"> к связанным с банком лицам</w:t>
      </w:r>
      <w:r w:rsidRPr="005C7BD0">
        <w:t>, кредитный риск по которым уменьше</w:t>
      </w:r>
      <w:r>
        <w:t>н в отчетности путем снижения фактически формируемых резервов на возможные потери относительно расчетного уровня за счет обеспечения, которое А</w:t>
      </w:r>
      <w:r w:rsidRPr="005C7BD0">
        <w:t>гентство не считает соответствующим описанному выше кредитному качеству.</w:t>
      </w:r>
      <w:r>
        <w:t xml:space="preserve"> Кроме того, кредитный риск, приходящийся на связанные стороны, может быть уменьшен на величину требований, возникших в рамках внутригруппового фондирования рыночных операций входящих в одну группу с банком лиц, если у Агентства нет сомнений, что конечные получатели средств (клиенты, заемщики, дебиторы) по фондированным банком операциям не являются связанными с банком.</w:t>
      </w:r>
    </w:p>
  </w:footnote>
  <w:footnote w:id="12">
    <w:p w14:paraId="6A43FE94" w14:textId="410E2BD8" w:rsidR="001570EF" w:rsidRDefault="001570EF" w:rsidP="004B334A">
      <w:pPr>
        <w:pStyle w:val="a7"/>
        <w:jc w:val="both"/>
      </w:pPr>
      <w:r>
        <w:rPr>
          <w:rStyle w:val="a9"/>
        </w:rPr>
        <w:footnoteRef/>
      </w:r>
      <w:r>
        <w:t xml:space="preserve"> </w:t>
      </w:r>
      <w:bookmarkStart w:id="62" w:name="_Hlk43116517"/>
      <w:r>
        <w:t>При оценке рисков инвестиционной привлекательности регионов во внимание могут приниматься актуальные исследования с</w:t>
      </w:r>
      <w:r w:rsidRPr="004B334A">
        <w:t>остояние экономического здоровья российских регионов</w:t>
      </w:r>
      <w:r>
        <w:t>, проводимые Агентством. Например, исследование за 2019 год</w:t>
      </w:r>
      <w:bookmarkEnd w:id="62"/>
      <w:r>
        <w:t xml:space="preserve">: </w:t>
      </w:r>
      <w:hyperlink r:id="rId1" w:history="1">
        <w:r>
          <w:rPr>
            <w:rStyle w:val="aa"/>
          </w:rPr>
          <w:t>https://raexpert.ru/researches/regions/economic_health_regions_2020</w:t>
        </w:r>
      </w:hyperlink>
    </w:p>
  </w:footnote>
  <w:footnote w:id="13">
    <w:p w14:paraId="16C6DD82" w14:textId="77777777" w:rsidR="001570EF" w:rsidRDefault="001570EF" w:rsidP="0045138D">
      <w:pPr>
        <w:pStyle w:val="a7"/>
        <w:jc w:val="both"/>
      </w:pPr>
      <w:r>
        <w:rPr>
          <w:rStyle w:val="a9"/>
        </w:rPr>
        <w:footnoteRef/>
      </w:r>
      <w:r>
        <w:t xml:space="preserve"> Источник информации для данного раздела – отчетность кредитной организации по РСБУ (формы 101, 123, 135).</w:t>
      </w:r>
    </w:p>
  </w:footnote>
  <w:footnote w:id="14">
    <w:p w14:paraId="2443CE1E" w14:textId="2BC7D09C" w:rsidR="001570EF" w:rsidRDefault="001570EF" w:rsidP="002A55DF">
      <w:pPr>
        <w:pStyle w:val="a7"/>
        <w:jc w:val="both"/>
      </w:pPr>
      <w:r>
        <w:rPr>
          <w:rStyle w:val="a9"/>
        </w:rPr>
        <w:footnoteRef/>
      </w:r>
      <w:r>
        <w:t xml:space="preserve"> Здесь и далее коэффициент установлен исходя из соотношения дефолтности, уровня резервирования и обесценения ценных бумаг с аналогичными усредненными показателями по другим активам под риском.</w:t>
      </w:r>
    </w:p>
  </w:footnote>
  <w:footnote w:id="15">
    <w:p w14:paraId="315E99FE" w14:textId="2C006199" w:rsidR="001570EF" w:rsidRDefault="001570EF" w:rsidP="002A55DF">
      <w:pPr>
        <w:pStyle w:val="a7"/>
        <w:jc w:val="both"/>
      </w:pPr>
      <w:r>
        <w:rPr>
          <w:rStyle w:val="a9"/>
        </w:rPr>
        <w:footnoteRef/>
      </w:r>
      <w:r>
        <w:t xml:space="preserve"> Коэффициент установлен исходя из соотношения дефолтности и уровня резервирования гарантийного портфеля с аналогичными усредненными показателями по активам под риском.</w:t>
      </w:r>
    </w:p>
  </w:footnote>
  <w:footnote w:id="16">
    <w:p w14:paraId="0B156B0C" w14:textId="77777777" w:rsidR="001570EF" w:rsidRDefault="001570EF" w:rsidP="00C00769">
      <w:pPr>
        <w:pStyle w:val="a7"/>
      </w:pPr>
      <w:r>
        <w:rPr>
          <w:rStyle w:val="a9"/>
        </w:rPr>
        <w:footnoteRef/>
      </w:r>
      <w:r>
        <w:t xml:space="preserve"> В соответствии с разделом 1 формы 0409118.</w:t>
      </w:r>
    </w:p>
  </w:footnote>
  <w:footnote w:id="17">
    <w:p w14:paraId="662C7860" w14:textId="6EC8F6A1" w:rsidR="001570EF" w:rsidRDefault="001570EF" w:rsidP="002718D9">
      <w:pPr>
        <w:pStyle w:val="a7"/>
        <w:jc w:val="both"/>
      </w:pPr>
      <w:r>
        <w:rPr>
          <w:rStyle w:val="a9"/>
        </w:rPr>
        <w:footnoteRef/>
      </w:r>
      <w:r>
        <w:t xml:space="preserve"> При существенных различиях в оценке показателя по МСФО и РСБУ приоритет отдается международной отчетности при условии, что в </w:t>
      </w:r>
      <w:r w:rsidRPr="0075650D">
        <w:t>МСФО влияние</w:t>
      </w:r>
      <w:r>
        <w:t xml:space="preserve"> остальных участников группы на показатели </w:t>
      </w:r>
      <w:r w:rsidRPr="002718D9">
        <w:t>концентраци</w:t>
      </w:r>
      <w:r>
        <w:t>и</w:t>
      </w:r>
      <w:r w:rsidRPr="002718D9">
        <w:t xml:space="preserve"> кредитных рисков на отраслях и продуктах</w:t>
      </w:r>
      <w:r>
        <w:t xml:space="preserve"> в консолидированной отчетности МСФО некритично.</w:t>
      </w:r>
    </w:p>
  </w:footnote>
  <w:footnote w:id="18">
    <w:p w14:paraId="61402195" w14:textId="7D9BDAF7" w:rsidR="001570EF" w:rsidRDefault="001570EF" w:rsidP="00A36344">
      <w:pPr>
        <w:pStyle w:val="a7"/>
        <w:jc w:val="both"/>
      </w:pPr>
      <w:r>
        <w:rPr>
          <w:rStyle w:val="a9"/>
        </w:rPr>
        <w:footnoteRef/>
      </w:r>
      <w:r>
        <w:t xml:space="preserve"> Оборачиваемость ссудного портфеля может рассчитываться без учета искажающих экономический смысл показателя компонентов, к которым, например, могут быть отнесены уступка прав требования по ссудам, переоценка номинированных в иностранной валюте требований по ссудам.</w:t>
      </w:r>
    </w:p>
  </w:footnote>
  <w:footnote w:id="19">
    <w:p w14:paraId="6B7C4508" w14:textId="36AAF78D" w:rsidR="001570EF" w:rsidRDefault="001570EF" w:rsidP="00A36344">
      <w:pPr>
        <w:pStyle w:val="a7"/>
        <w:jc w:val="both"/>
      </w:pPr>
      <w:r>
        <w:rPr>
          <w:rStyle w:val="a9"/>
        </w:rPr>
        <w:footnoteRef/>
      </w:r>
      <w:r>
        <w:t xml:space="preserve"> Доля пролонгированных ссуд может рассчитываться без учета пролонгаций, не имеющих признаков вынужденного характера (то есть таких ссуд, которые могли быть погашены заемщиком без увеличения срока, что не оказало бы существенного влияния на его платежеспособность).</w:t>
      </w:r>
    </w:p>
  </w:footnote>
  <w:footnote w:id="20">
    <w:p w14:paraId="4F366571" w14:textId="0E2A8E5C" w:rsidR="001570EF" w:rsidRDefault="001570EF" w:rsidP="00A36344">
      <w:pPr>
        <w:pStyle w:val="a7"/>
        <w:jc w:val="both"/>
      </w:pPr>
      <w:r>
        <w:rPr>
          <w:rStyle w:val="a9"/>
        </w:rPr>
        <w:footnoteRef/>
      </w:r>
      <w:r>
        <w:t xml:space="preserve"> Доля ссуд, классифицированных в соответствии с п. 3.10 Положения Банка России №590-П, в портфеле ссуд ЮЛ и ИП может рассчитываться без учета ссуд, классифицированных как реструктурированные только из-за изменения процентной ставки по ссуде, если такое изменение ставки соответствует рыночным тенденциям (например, осуществляется после изменения ключевой ставки Банка России) и не является вынужденным (не осуществляется во избежание дефолта заемщика.</w:t>
      </w:r>
    </w:p>
  </w:footnote>
  <w:footnote w:id="21">
    <w:p w14:paraId="4A8AF4F9" w14:textId="2C1C7367" w:rsidR="001570EF" w:rsidRDefault="001570EF" w:rsidP="00A36344">
      <w:pPr>
        <w:pStyle w:val="a7"/>
        <w:jc w:val="both"/>
      </w:pPr>
      <w:r>
        <w:rPr>
          <w:rStyle w:val="a9"/>
        </w:rPr>
        <w:footnoteRef/>
      </w:r>
      <w:r>
        <w:t xml:space="preserve"> Доля ссуд, классифицированных в соответствии с п. 3.12.3 Положения Банка России №590-П, в портфеле ссуд ЮЛ и ИП может рассчитываться без учета ссуд, выданных заемщикам, имеющим формальные признаки отсутствия реальной деятельности, которые, по мнению Агентства, не характеризуют их финансовое состояние и платежеспособность.</w:t>
      </w:r>
    </w:p>
  </w:footnote>
  <w:footnote w:id="22">
    <w:p w14:paraId="5AF306F8" w14:textId="2D283754" w:rsidR="001570EF" w:rsidRDefault="001570EF" w:rsidP="00DE1A56">
      <w:pPr>
        <w:pStyle w:val="a7"/>
        <w:jc w:val="both"/>
      </w:pPr>
      <w:r>
        <w:rPr>
          <w:rStyle w:val="a9"/>
        </w:rPr>
        <w:footnoteRef/>
      </w:r>
      <w:r>
        <w:t xml:space="preserve"> Источник информации для данного раздела – отчетность кредитной организации по РСБУ (формы 101, 711).</w:t>
      </w:r>
    </w:p>
  </w:footnote>
  <w:footnote w:id="23">
    <w:p w14:paraId="385F50CE" w14:textId="643610F5" w:rsidR="001570EF" w:rsidRDefault="001570EF" w:rsidP="0045138D">
      <w:pPr>
        <w:pStyle w:val="a7"/>
        <w:jc w:val="both"/>
      </w:pPr>
      <w:r>
        <w:rPr>
          <w:rStyle w:val="a9"/>
        </w:rPr>
        <w:footnoteRef/>
      </w:r>
      <w:r>
        <w:t xml:space="preserve"> Источники информации для данного раздела – отчетность кредитной организации по РСБУ (формы 101, 102, 110, 123) и годовые, полугодовые, квартальные отчеты по МСФО.</w:t>
      </w:r>
    </w:p>
  </w:footnote>
  <w:footnote w:id="24">
    <w:p w14:paraId="48384808" w14:textId="08C930C4" w:rsidR="006C6519" w:rsidRDefault="006C6519" w:rsidP="006C6519">
      <w:pPr>
        <w:pStyle w:val="a7"/>
        <w:jc w:val="both"/>
      </w:pPr>
      <w:r>
        <w:rPr>
          <w:rStyle w:val="a9"/>
        </w:rPr>
        <w:footnoteRef/>
      </w:r>
      <w:r>
        <w:t xml:space="preserve"> Учитываются следующие чистые доходы: </w:t>
      </w:r>
      <w:r w:rsidRPr="006C6519">
        <w:t>от операций с ценными бумагами</w:t>
      </w:r>
      <w:r>
        <w:t xml:space="preserve">, </w:t>
      </w:r>
      <w:r w:rsidRPr="006C6519">
        <w:t>от операций с производными финансовыми инструментами</w:t>
      </w:r>
      <w:r>
        <w:t>,</w:t>
      </w:r>
      <w:r w:rsidRPr="006C6519">
        <w:t xml:space="preserve"> от операций с иностранной валютой, драгоценными металлами и их переоценк</w:t>
      </w:r>
      <w:r>
        <w:t>и.</w:t>
      </w:r>
    </w:p>
  </w:footnote>
  <w:footnote w:id="25">
    <w:p w14:paraId="62CE662A" w14:textId="09AD5AEC" w:rsidR="001570EF" w:rsidRDefault="001570EF" w:rsidP="000911C4">
      <w:pPr>
        <w:pStyle w:val="a7"/>
        <w:jc w:val="both"/>
      </w:pPr>
      <w:r>
        <w:rPr>
          <w:rStyle w:val="a9"/>
        </w:rPr>
        <w:footnoteRef/>
      </w:r>
      <w:r>
        <w:t xml:space="preserve"> </w:t>
      </w:r>
      <w:r>
        <w:rPr>
          <w:lang w:val="en-US"/>
        </w:rPr>
        <w:t>CIR</w:t>
      </w:r>
      <w:r w:rsidRPr="000911C4">
        <w:t xml:space="preserve"> </w:t>
      </w:r>
      <w:r>
        <w:t xml:space="preserve">может быть рассчитан </w:t>
      </w:r>
      <w:r w:rsidRPr="003547F9">
        <w:t xml:space="preserve">по МСФО, </w:t>
      </w:r>
      <w:r>
        <w:t xml:space="preserve">если у Агентства есть основания полагать, что данный тип отчетности позволяет </w:t>
      </w:r>
      <w:r w:rsidRPr="003547F9">
        <w:t xml:space="preserve">наиболее полно оценить </w:t>
      </w:r>
      <w:r>
        <w:t>уровень операционной эффективности банка</w:t>
      </w:r>
      <w:r w:rsidRPr="003547F9">
        <w:t>.</w:t>
      </w:r>
    </w:p>
  </w:footnote>
  <w:footnote w:id="26">
    <w:p w14:paraId="3BABBA37" w14:textId="3C4E49BB" w:rsidR="001570EF" w:rsidRDefault="001570EF" w:rsidP="0045138D">
      <w:pPr>
        <w:pStyle w:val="a7"/>
        <w:jc w:val="both"/>
      </w:pPr>
      <w:r>
        <w:rPr>
          <w:rStyle w:val="a9"/>
        </w:rPr>
        <w:footnoteRef/>
      </w:r>
      <w:r>
        <w:t xml:space="preserve"> Источники информации для данного раздела – отчетность кредитной организации по РСБУ (формы 101, 110, 125, 157) и данные анкеты банка по форме Агентства.</w:t>
      </w:r>
    </w:p>
  </w:footnote>
  <w:footnote w:id="27">
    <w:p w14:paraId="46139F7B" w14:textId="77777777" w:rsidR="001570EF" w:rsidRDefault="001570EF" w:rsidP="0045138D">
      <w:pPr>
        <w:pStyle w:val="a7"/>
        <w:jc w:val="both"/>
      </w:pPr>
      <w:r>
        <w:rPr>
          <w:rStyle w:val="a9"/>
        </w:rPr>
        <w:footnoteRef/>
      </w:r>
      <w:r>
        <w:t xml:space="preserve"> Источник информации для данного раздела – отчетность кредитной организации по РСБУ (формы 101, 110, 117, 125, 135).</w:t>
      </w:r>
    </w:p>
  </w:footnote>
  <w:footnote w:id="28">
    <w:p w14:paraId="3B5DD7D9" w14:textId="4DEEC563" w:rsidR="001570EF" w:rsidRDefault="001570EF" w:rsidP="00AD25CE">
      <w:pPr>
        <w:pStyle w:val="aff0"/>
        <w:jc w:val="both"/>
      </w:pPr>
      <w:r>
        <w:rPr>
          <w:rStyle w:val="a9"/>
        </w:rPr>
        <w:footnoteRef/>
      </w:r>
      <w:r>
        <w:t xml:space="preserve"> </w:t>
      </w:r>
      <w:r w:rsidRPr="00FD6F30">
        <w:rPr>
          <w:sz w:val="20"/>
        </w:rPr>
        <w:t>Здесь и далее в</w:t>
      </w:r>
      <w:r w:rsidRPr="00072F21">
        <w:rPr>
          <w:sz w:val="20"/>
        </w:rPr>
        <w:t xml:space="preserve">ысоколиквидные активы определяются как показатель </w:t>
      </w:r>
      <w:r w:rsidRPr="00FD6F30">
        <w:rPr>
          <w:sz w:val="20"/>
        </w:rPr>
        <w:t>LAM</w:t>
      </w:r>
      <w:r w:rsidRPr="00072F21">
        <w:rPr>
          <w:sz w:val="20"/>
        </w:rPr>
        <w:t xml:space="preserve"> из регулятивной</w:t>
      </w:r>
      <w:r>
        <w:rPr>
          <w:sz w:val="20"/>
        </w:rPr>
        <w:t xml:space="preserve"> </w:t>
      </w:r>
      <w:r w:rsidRPr="00072F21">
        <w:rPr>
          <w:sz w:val="20"/>
        </w:rPr>
        <w:t>/</w:t>
      </w:r>
      <w:r>
        <w:rPr>
          <w:sz w:val="20"/>
        </w:rPr>
        <w:t xml:space="preserve"> </w:t>
      </w:r>
      <w:r w:rsidRPr="00072F21">
        <w:rPr>
          <w:sz w:val="20"/>
        </w:rPr>
        <w:t>управленческой отчетности банка, если такой учет ведется. В противном случае высоколиквидные активы рассчитываются Агентством как финансовые активы, которые могут быть востребованы банком в течение одного календарного дня и отвечающие регулятивным критериям для включения в состав высоколиквидных активов банков с универсальной лицензией.</w:t>
      </w:r>
    </w:p>
  </w:footnote>
  <w:footnote w:id="29">
    <w:p w14:paraId="1A2E60CC" w14:textId="77777777" w:rsidR="001570EF" w:rsidRDefault="001570EF" w:rsidP="0045138D">
      <w:pPr>
        <w:pStyle w:val="a7"/>
        <w:jc w:val="both"/>
      </w:pPr>
      <w:r>
        <w:rPr>
          <w:rStyle w:val="a9"/>
        </w:rPr>
        <w:footnoteRef/>
      </w:r>
      <w:r>
        <w:t xml:space="preserve"> Источник информации для данного раздела – отчетность кредитной организации по РСБУ (формы 101, 110, 119, 127, 128, 129, 634).</w:t>
      </w:r>
    </w:p>
  </w:footnote>
  <w:footnote w:id="30">
    <w:p w14:paraId="3770EAEC" w14:textId="3A3828F4" w:rsidR="001570EF" w:rsidRDefault="001570EF" w:rsidP="001A6B26">
      <w:pPr>
        <w:pStyle w:val="a7"/>
        <w:jc w:val="both"/>
      </w:pPr>
      <w:bookmarkStart w:id="193" w:name="_Hlk43309717"/>
      <w:r>
        <w:rPr>
          <w:rStyle w:val="a9"/>
        </w:rPr>
        <w:footnoteRef/>
      </w:r>
      <w:r>
        <w:t xml:space="preserve"> Под плавающей</w:t>
      </w:r>
      <w:r w:rsidRPr="003A475E">
        <w:t xml:space="preserve"> процентной ставкой понимается такая система начисления процентов, которая «привязана» к какому-либо внешнему по отношению к банку и заемщику индикатору. При этом в расчет принимаются только индикаторы, подверженные существенным колебаниям (более 2 п. п.) за последние 12 месяцев</w:t>
      </w:r>
      <w:r>
        <w:t>.</w:t>
      </w:r>
    </w:p>
    <w:bookmarkEnd w:id="193"/>
  </w:footnote>
  <w:footnote w:id="31">
    <w:p w14:paraId="00443819" w14:textId="56C5021C" w:rsidR="001570EF" w:rsidRDefault="001570EF">
      <w:pPr>
        <w:pStyle w:val="a7"/>
      </w:pPr>
      <w:r>
        <w:rPr>
          <w:rStyle w:val="a9"/>
        </w:rPr>
        <w:footnoteRef/>
      </w:r>
      <w:r>
        <w:t xml:space="preserve"> Базовый уровень доходности вкладов.</w:t>
      </w:r>
    </w:p>
  </w:footnote>
  <w:footnote w:id="32">
    <w:p w14:paraId="4329A289" w14:textId="4D123BC9" w:rsidR="001570EF" w:rsidRDefault="001570EF" w:rsidP="004D4CDB">
      <w:pPr>
        <w:pStyle w:val="a7"/>
        <w:jc w:val="both"/>
      </w:pPr>
      <w:r>
        <w:rPr>
          <w:rStyle w:val="a9"/>
        </w:rPr>
        <w:footnoteRef/>
      </w:r>
      <w:r>
        <w:t xml:space="preserve"> Здесь и далее эти органы управления считаются равнозначными и к ним применяются равные требования.</w:t>
      </w:r>
    </w:p>
  </w:footnote>
  <w:footnote w:id="33">
    <w:p w14:paraId="09623AFB" w14:textId="77777777" w:rsidR="001570EF" w:rsidRPr="009C70A4" w:rsidRDefault="001570EF" w:rsidP="00A55F91">
      <w:pPr>
        <w:pStyle w:val="a7"/>
      </w:pPr>
      <w:r w:rsidRPr="009C70A4">
        <w:rPr>
          <w:rStyle w:val="a9"/>
        </w:rPr>
        <w:footnoteRef/>
      </w:r>
      <w:r w:rsidRPr="009C70A4">
        <w:t xml:space="preserve"> Независимый член СД не может являться основным собственником или представлять ключевых собственников, не может (ранее или на текущий момент) занимать должность в Правлении, являться сотрудником фирмы, оказывавшей объекту рейтинга аудиторские, юридические или консультационные услуги.</w:t>
      </w:r>
    </w:p>
  </w:footnote>
  <w:footnote w:id="34">
    <w:p w14:paraId="187D5F84" w14:textId="77777777" w:rsidR="001570EF" w:rsidRPr="00EF7D8F" w:rsidRDefault="001570EF" w:rsidP="00A55F91">
      <w:pPr>
        <w:pStyle w:val="a7"/>
        <w:rPr>
          <w:color w:val="000000"/>
        </w:rPr>
      </w:pPr>
      <w:r w:rsidRPr="009C70A4">
        <w:rPr>
          <w:rStyle w:val="a9"/>
        </w:rPr>
        <w:footnoteRef/>
      </w:r>
      <w:r w:rsidRPr="009C70A4">
        <w:t xml:space="preserve"> </w:t>
      </w:r>
      <w:r w:rsidRPr="009C70A4">
        <w:rPr>
          <w:color w:val="000000"/>
        </w:rPr>
        <w:t xml:space="preserve">Комитет по </w:t>
      </w:r>
      <w:r w:rsidRPr="009C70A4">
        <w:t>в</w:t>
      </w:r>
      <w:r w:rsidRPr="009C70A4">
        <w:rPr>
          <w:color w:val="000000"/>
        </w:rPr>
        <w:t>ознаграждениям либо</w:t>
      </w:r>
      <w:r w:rsidRPr="009C70A4">
        <w:rPr>
          <w:rStyle w:val="aff1"/>
          <w:b/>
          <w:bCs/>
          <w:color w:val="6A6A6A"/>
          <w:shd w:val="clear" w:color="auto" w:fill="FFFFFF"/>
        </w:rPr>
        <w:t xml:space="preserve"> </w:t>
      </w:r>
      <w:r w:rsidRPr="009C70A4">
        <w:rPr>
          <w:color w:val="000000"/>
        </w:rPr>
        <w:t>Комитет по кадрам и вознаграждениям, либо Комитет по назначениям и вознаграждениям, либо Комитета по вознаграждениям, корпоративному управлению и назначениям, либо иной комитет схожего функционала при СД.</w:t>
      </w:r>
    </w:p>
  </w:footnote>
  <w:footnote w:id="35">
    <w:p w14:paraId="6C4AE035" w14:textId="45C6EE95" w:rsidR="001570EF" w:rsidRDefault="001570EF" w:rsidP="00F663FF">
      <w:pPr>
        <w:pStyle w:val="a7"/>
        <w:jc w:val="both"/>
      </w:pPr>
      <w:r>
        <w:rPr>
          <w:rStyle w:val="a9"/>
        </w:rPr>
        <w:footnoteRef/>
      </w:r>
      <w:r>
        <w:t xml:space="preserve"> </w:t>
      </w:r>
      <w:bookmarkStart w:id="212" w:name="_Hlk43310011"/>
      <w:r>
        <w:t xml:space="preserve">В один уровень может быть объединено несколько компаний, характеризующихся высокой транспарентностью финансовой и нефинансовой информации для неограниченно круга </w:t>
      </w:r>
      <w:r w:rsidRPr="00FE3B86">
        <w:t>(</w:t>
      </w:r>
      <w:r>
        <w:t>в том числе, например, обладающих публичным кредитным рейтингом и (или)</w:t>
      </w:r>
      <w:r w:rsidRPr="00FE3B86">
        <w:t xml:space="preserve"> </w:t>
      </w:r>
      <w:r>
        <w:t xml:space="preserve">регулярно раскрывающих в открытом доступе </w:t>
      </w:r>
      <w:r w:rsidRPr="00FE3B86">
        <w:t>отч</w:t>
      </w:r>
      <w:r>
        <w:t>е</w:t>
      </w:r>
      <w:r w:rsidRPr="00FE3B86">
        <w:t>тность по МСФО</w:t>
      </w:r>
      <w:r>
        <w:t>, включая аудиторское заключение к отчетности</w:t>
      </w:r>
      <w:r w:rsidRPr="00FE3B86">
        <w:t>)</w:t>
      </w:r>
      <w:r>
        <w:t>.</w:t>
      </w:r>
      <w:bookmarkEnd w:id="212"/>
    </w:p>
  </w:footnote>
  <w:footnote w:id="36">
    <w:p w14:paraId="5428BD38" w14:textId="3D12F57D" w:rsidR="001570EF" w:rsidRPr="00D53140" w:rsidRDefault="001570EF" w:rsidP="009B681E">
      <w:pPr>
        <w:pStyle w:val="af9"/>
        <w:spacing w:before="0" w:beforeAutospacing="0" w:after="0" w:afterAutospacing="0"/>
        <w:rPr>
          <w:sz w:val="20"/>
          <w:szCs w:val="20"/>
        </w:rPr>
      </w:pPr>
      <w:r w:rsidRPr="00D53140">
        <w:rPr>
          <w:rStyle w:val="a9"/>
          <w:sz w:val="20"/>
          <w:szCs w:val="20"/>
        </w:rPr>
        <w:footnoteRef/>
      </w:r>
      <w:r w:rsidRPr="00D53140">
        <w:rPr>
          <w:sz w:val="20"/>
          <w:szCs w:val="20"/>
        </w:rPr>
        <w:t xml:space="preserve"> </w:t>
      </w:r>
      <w:proofErr w:type="spellStart"/>
      <w:r w:rsidRPr="00C6229E">
        <w:rPr>
          <w:iCs/>
          <w:sz w:val="20"/>
          <w:szCs w:val="20"/>
        </w:rPr>
        <w:t>Free</w:t>
      </w:r>
      <w:proofErr w:type="spellEnd"/>
      <w:r w:rsidRPr="00C6229E">
        <w:rPr>
          <w:iCs/>
          <w:sz w:val="20"/>
          <w:szCs w:val="20"/>
        </w:rPr>
        <w:t xml:space="preserve"> </w:t>
      </w:r>
      <w:proofErr w:type="spellStart"/>
      <w:r w:rsidRPr="00C6229E">
        <w:rPr>
          <w:iCs/>
          <w:sz w:val="20"/>
          <w:szCs w:val="20"/>
        </w:rPr>
        <w:t>float</w:t>
      </w:r>
      <w:proofErr w:type="spellEnd"/>
      <w:r w:rsidRPr="00C6229E">
        <w:rPr>
          <w:iCs/>
          <w:sz w:val="20"/>
          <w:szCs w:val="20"/>
        </w:rPr>
        <w:t>,</w:t>
      </w:r>
      <w:r w:rsidRPr="00C6229E">
        <w:rPr>
          <w:sz w:val="20"/>
          <w:szCs w:val="20"/>
        </w:rPr>
        <w:t xml:space="preserve"> или </w:t>
      </w:r>
      <w:proofErr w:type="spellStart"/>
      <w:r w:rsidRPr="00C6229E">
        <w:rPr>
          <w:iCs/>
          <w:sz w:val="20"/>
          <w:szCs w:val="20"/>
        </w:rPr>
        <w:t>public</w:t>
      </w:r>
      <w:proofErr w:type="spellEnd"/>
      <w:r w:rsidRPr="00C6229E">
        <w:rPr>
          <w:iCs/>
          <w:sz w:val="20"/>
          <w:szCs w:val="20"/>
        </w:rPr>
        <w:t xml:space="preserve"> </w:t>
      </w:r>
      <w:proofErr w:type="spellStart"/>
      <w:r w:rsidRPr="00C6229E">
        <w:rPr>
          <w:iCs/>
          <w:sz w:val="20"/>
          <w:szCs w:val="20"/>
        </w:rPr>
        <w:t>float</w:t>
      </w:r>
      <w:proofErr w:type="spellEnd"/>
      <w:r w:rsidRPr="00C6229E">
        <w:rPr>
          <w:iCs/>
          <w:sz w:val="20"/>
          <w:szCs w:val="20"/>
        </w:rPr>
        <w:t>,</w:t>
      </w:r>
      <w:r w:rsidRPr="00C6229E">
        <w:rPr>
          <w:sz w:val="20"/>
          <w:szCs w:val="20"/>
        </w:rPr>
        <w:t xml:space="preserve"> определяется</w:t>
      </w:r>
      <w:r w:rsidRPr="00D53140">
        <w:rPr>
          <w:sz w:val="20"/>
          <w:szCs w:val="20"/>
        </w:rPr>
        <w:t xml:space="preserve"> как доля акций, которые держат инвесторы, за исключением:</w:t>
      </w:r>
    </w:p>
    <w:p w14:paraId="39EFF8A5" w14:textId="77777777" w:rsidR="001570EF" w:rsidRPr="00B83BE7" w:rsidRDefault="001570EF" w:rsidP="00E8209D">
      <w:pPr>
        <w:pStyle w:val="RAEXdefault"/>
        <w:numPr>
          <w:ilvl w:val="0"/>
          <w:numId w:val="82"/>
        </w:numPr>
        <w:rPr>
          <w:sz w:val="20"/>
          <w:lang w:val="ru-RU"/>
        </w:rPr>
      </w:pPr>
      <w:r w:rsidRPr="00B83BE7">
        <w:rPr>
          <w:sz w:val="20"/>
          <w:lang w:val="ru-RU"/>
        </w:rPr>
        <w:t>доли во владении инвесторов, держащих более 5% всех акций компании (это могут быть основатели, высшее руководство, инсайдеры, стратегические держатели акций и т. д.);</w:t>
      </w:r>
    </w:p>
    <w:p w14:paraId="46229800" w14:textId="021092F3" w:rsidR="001570EF" w:rsidRPr="00B83BE7" w:rsidRDefault="001570EF" w:rsidP="00E8209D">
      <w:pPr>
        <w:pStyle w:val="RAEXdefault"/>
        <w:numPr>
          <w:ilvl w:val="0"/>
          <w:numId w:val="82"/>
        </w:numPr>
        <w:rPr>
          <w:sz w:val="20"/>
          <w:lang w:val="ru-RU"/>
        </w:rPr>
      </w:pPr>
      <w:r w:rsidRPr="00B83BE7">
        <w:rPr>
          <w:sz w:val="20"/>
          <w:lang w:val="ru-RU"/>
        </w:rPr>
        <w:t>акций, имеющих ограниченное хождение (например, выданные сотрудникам);</w:t>
      </w:r>
    </w:p>
    <w:p w14:paraId="597AE1C5" w14:textId="772D5286" w:rsidR="001570EF" w:rsidRPr="00B83BE7" w:rsidRDefault="001570EF" w:rsidP="00E8209D">
      <w:pPr>
        <w:pStyle w:val="RAEXdefault"/>
        <w:numPr>
          <w:ilvl w:val="0"/>
          <w:numId w:val="82"/>
        </w:numPr>
        <w:rPr>
          <w:sz w:val="20"/>
          <w:lang w:val="ru-RU"/>
        </w:rPr>
      </w:pPr>
      <w:r w:rsidRPr="00B83BE7">
        <w:rPr>
          <w:sz w:val="20"/>
          <w:lang w:val="ru-RU"/>
        </w:rPr>
        <w:t>акций, принадлежащих инсайдерам (считается, что инсайдеры будут держать активы долгое время).</w:t>
      </w:r>
    </w:p>
  </w:footnote>
  <w:footnote w:id="37">
    <w:p w14:paraId="1B45AA53" w14:textId="77777777" w:rsidR="001570EF" w:rsidRPr="00C40099" w:rsidRDefault="001570EF" w:rsidP="00651F1B">
      <w:pPr>
        <w:pStyle w:val="a7"/>
        <w:jc w:val="both"/>
        <w:rPr>
          <w:bCs/>
          <w:szCs w:val="24"/>
        </w:rPr>
      </w:pPr>
      <w:r>
        <w:rPr>
          <w:rStyle w:val="a9"/>
        </w:rPr>
        <w:footnoteRef/>
      </w:r>
      <w:r>
        <w:t xml:space="preserve"> </w:t>
      </w:r>
      <w:proofErr w:type="spellStart"/>
      <w:r w:rsidRPr="00C40099">
        <w:rPr>
          <w:bCs/>
          <w:szCs w:val="24"/>
        </w:rPr>
        <w:t>Due</w:t>
      </w:r>
      <w:proofErr w:type="spellEnd"/>
      <w:r w:rsidRPr="00C40099">
        <w:rPr>
          <w:bCs/>
          <w:szCs w:val="24"/>
        </w:rPr>
        <w:t xml:space="preserve"> </w:t>
      </w:r>
      <w:proofErr w:type="spellStart"/>
      <w:r w:rsidRPr="00C40099">
        <w:rPr>
          <w:bCs/>
          <w:szCs w:val="24"/>
        </w:rPr>
        <w:t>Diligence</w:t>
      </w:r>
      <w:proofErr w:type="spellEnd"/>
      <w:r w:rsidRPr="00C40099">
        <w:rPr>
          <w:rFonts w:ascii="Arial" w:hAnsi="Arial" w:cs="Arial"/>
          <w:color w:val="000000"/>
          <w:sz w:val="14"/>
          <w:szCs w:val="18"/>
          <w:shd w:val="clear" w:color="auto" w:fill="FFFFFF"/>
        </w:rPr>
        <w:t xml:space="preserve"> </w:t>
      </w:r>
      <w:r>
        <w:rPr>
          <w:bCs/>
          <w:szCs w:val="24"/>
        </w:rPr>
        <w:t>–</w:t>
      </w:r>
      <w:r w:rsidRPr="00C40099">
        <w:rPr>
          <w:bCs/>
          <w:szCs w:val="24"/>
        </w:rPr>
        <w:t xml:space="preserve"> формирование объективного представления об объекте инвестирования, позволяющее определить целесообразность финансовых вложений в рассматриваемый актив. </w:t>
      </w:r>
    </w:p>
  </w:footnote>
  <w:footnote w:id="38">
    <w:p w14:paraId="1CE1EB91" w14:textId="77777777" w:rsidR="001570EF" w:rsidRPr="006B3FE7" w:rsidRDefault="001570EF" w:rsidP="007108E2">
      <w:pPr>
        <w:pStyle w:val="a7"/>
        <w:jc w:val="both"/>
      </w:pPr>
      <w:r>
        <w:rPr>
          <w:rStyle w:val="a9"/>
        </w:rPr>
        <w:footnoteRef/>
      </w:r>
      <w:r>
        <w:t xml:space="preserve"> </w:t>
      </w:r>
      <w:r>
        <w:rPr>
          <w:lang w:val="en-US"/>
        </w:rPr>
        <w:t>SMART</w:t>
      </w:r>
      <w:r w:rsidRPr="00485F3D">
        <w:t xml:space="preserve"> – </w:t>
      </w:r>
      <w:r>
        <w:t>аббревиатура, включающая пять основных характеристик эффективной цели. Цель должна быть четкой (</w:t>
      </w:r>
      <w:r>
        <w:rPr>
          <w:lang w:val="en-US"/>
        </w:rPr>
        <w:t>Specific</w:t>
      </w:r>
      <w:r>
        <w:t>), измеримой с помощью каких-либо показателей (</w:t>
      </w:r>
      <w:r>
        <w:rPr>
          <w:lang w:val="en-US"/>
        </w:rPr>
        <w:t>Measurable</w:t>
      </w:r>
      <w:r w:rsidRPr="00485F3D">
        <w:t>)</w:t>
      </w:r>
      <w:r>
        <w:t>, реальной в исполнении (</w:t>
      </w:r>
      <w:r>
        <w:rPr>
          <w:lang w:val="en-US"/>
        </w:rPr>
        <w:t>Attainable</w:t>
      </w:r>
      <w:r>
        <w:t>)</w:t>
      </w:r>
      <w:r w:rsidRPr="006B3FE7">
        <w:t xml:space="preserve">, </w:t>
      </w:r>
      <w:r>
        <w:t>ориентированной на результат (</w:t>
      </w:r>
      <w:r>
        <w:rPr>
          <w:lang w:val="en-US"/>
        </w:rPr>
        <w:t>Result</w:t>
      </w:r>
      <w:r w:rsidRPr="006B3FE7">
        <w:t>-</w:t>
      </w:r>
      <w:r>
        <w:rPr>
          <w:lang w:val="en-US"/>
        </w:rPr>
        <w:t>oriented</w:t>
      </w:r>
      <w:r w:rsidRPr="006B3FE7">
        <w:t xml:space="preserve">) </w:t>
      </w:r>
      <w:r>
        <w:t>и привязанной к конкретным срокам (</w:t>
      </w:r>
      <w:r>
        <w:rPr>
          <w:lang w:val="en-US"/>
        </w:rPr>
        <w:t>Time</w:t>
      </w:r>
      <w:r w:rsidRPr="006B3FE7">
        <w:t>-</w:t>
      </w:r>
      <w:r>
        <w:rPr>
          <w:lang w:val="en-US"/>
        </w:rPr>
        <w:t>bounded</w:t>
      </w:r>
      <w:r w:rsidRPr="006B3FE7">
        <w:t xml:space="preserve">). </w:t>
      </w:r>
    </w:p>
  </w:footnote>
  <w:footnote w:id="39">
    <w:p w14:paraId="2216DDDD" w14:textId="2357D5AF" w:rsidR="001570EF" w:rsidRPr="00D2590B" w:rsidRDefault="001570EF" w:rsidP="00742D8F">
      <w:pPr>
        <w:pStyle w:val="a7"/>
        <w:jc w:val="both"/>
      </w:pPr>
      <w:r w:rsidRPr="00D2590B">
        <w:rPr>
          <w:rStyle w:val="a9"/>
        </w:rPr>
        <w:footnoteRef/>
      </w:r>
      <w:r w:rsidRPr="00D2590B">
        <w:t xml:space="preserve"> </w:t>
      </w:r>
      <w:r>
        <w:t xml:space="preserve">Размер кредитного риска при расчете показателя </w:t>
      </w:r>
      <w:r w:rsidRPr="005C7BD0">
        <w:t xml:space="preserve">может быть экспертно уменьшен на требования, имеющие условный рейтинговый класс не ниже ruAA- или имеющие обеспечение такого </w:t>
      </w:r>
      <w:r>
        <w:t xml:space="preserve">кредитного </w:t>
      </w:r>
      <w:r w:rsidRPr="005C7BD0">
        <w:t xml:space="preserve">качества. </w:t>
      </w:r>
      <w:r>
        <w:t xml:space="preserve">Аналогично размер кредитного риска </w:t>
      </w:r>
      <w:r w:rsidRPr="005C7BD0">
        <w:t>может быть увеличен на ту часть требований</w:t>
      </w:r>
      <w:r>
        <w:t xml:space="preserve"> к связанным с банком лицам</w:t>
      </w:r>
      <w:r w:rsidRPr="005C7BD0">
        <w:t>, кредитный риск по которым уменьше</w:t>
      </w:r>
      <w:r>
        <w:t>н в отчетности путем снижения фактически формируемых резервов на возможные потери относительно расчетного уровня за счет обеспечения, которое А</w:t>
      </w:r>
      <w:r w:rsidRPr="005C7BD0">
        <w:t>гентство не считает соответствующим описанному выше кредитному качеству.</w:t>
      </w:r>
    </w:p>
    <w:p w14:paraId="624A2600" w14:textId="77777777" w:rsidR="001570EF" w:rsidRDefault="001570EF">
      <w:pPr>
        <w:pStyle w:val="a7"/>
      </w:pPr>
    </w:p>
  </w:footnote>
  <w:footnote w:id="40">
    <w:p w14:paraId="51A0A91D" w14:textId="19FA9FE0" w:rsidR="001570EF" w:rsidRDefault="001570EF" w:rsidP="00AA41E3">
      <w:pPr>
        <w:pStyle w:val="a7"/>
        <w:jc w:val="both"/>
      </w:pPr>
      <w:r>
        <w:rPr>
          <w:rStyle w:val="a9"/>
        </w:rPr>
        <w:footnoteRef/>
      </w:r>
      <w:r>
        <w:t xml:space="preserve"> В случае если отнесение банка к 3-й (или ниже) классификационной группе </w:t>
      </w:r>
      <w:r w:rsidRPr="002B3153">
        <w:t xml:space="preserve">в соответствии с </w:t>
      </w:r>
      <w:r>
        <w:t>у</w:t>
      </w:r>
      <w:r w:rsidRPr="002B3153">
        <w:t xml:space="preserve">казанием Банка России </w:t>
      </w:r>
      <w:r>
        <w:t>№4336</w:t>
      </w:r>
      <w:r w:rsidRPr="002B3153">
        <w:t>-У</w:t>
      </w:r>
      <w:r>
        <w:t xml:space="preserve"> </w:t>
      </w:r>
      <w:r w:rsidRPr="002B3153">
        <w:t xml:space="preserve">«Об оценке экономического положения банков» </w:t>
      </w:r>
      <w:r>
        <w:t>связано с финансовыми показателями, данный фактор будет отражен в первичной оценке кредитоспособности (при оценке финансовых показателей), в связи с чем дополнительный учет данного фактора в виде выставления стресс-фактора не требуется.</w:t>
      </w:r>
    </w:p>
  </w:footnote>
  <w:footnote w:id="41">
    <w:p w14:paraId="06253871" w14:textId="312B2101" w:rsidR="001570EF" w:rsidRPr="007308F6" w:rsidRDefault="001570EF" w:rsidP="007308F6">
      <w:pPr>
        <w:pStyle w:val="a7"/>
        <w:jc w:val="both"/>
      </w:pPr>
      <w:r w:rsidRPr="007308F6">
        <w:rPr>
          <w:rStyle w:val="a9"/>
        </w:rPr>
        <w:footnoteRef/>
      </w:r>
      <w:r w:rsidRPr="007308F6">
        <w:t xml:space="preserve"> </w:t>
      </w:r>
      <w:r w:rsidRPr="007308F6">
        <w:rPr>
          <w:bCs/>
        </w:rPr>
        <w:t>Распределение весов показателей, характеризующих сбалансированность активов и пассивов по срокам на долгосрочном горизонте, приведено для банков и банков, не являющихся системно значимыми</w:t>
      </w:r>
      <w:r>
        <w:rPr>
          <w:bCs/>
        </w:rPr>
        <w:t>.</w:t>
      </w:r>
    </w:p>
  </w:footnote>
  <w:footnote w:id="42">
    <w:p w14:paraId="4B688168" w14:textId="7531917B" w:rsidR="001570EF" w:rsidRDefault="001570EF" w:rsidP="00222083">
      <w:pPr>
        <w:pStyle w:val="a7"/>
        <w:jc w:val="both"/>
      </w:pPr>
      <w:r>
        <w:rPr>
          <w:rStyle w:val="a9"/>
        </w:rPr>
        <w:footnoteRef/>
      </w:r>
      <w:r>
        <w:t xml:space="preserve"> </w:t>
      </w:r>
      <w:r>
        <w:rPr>
          <w:bCs/>
        </w:rPr>
        <w:t>Распределение весов показателя, характеризующего</w:t>
      </w:r>
      <w:r w:rsidRPr="007308F6">
        <w:rPr>
          <w:bCs/>
        </w:rPr>
        <w:t xml:space="preserve"> </w:t>
      </w:r>
      <w:r>
        <w:rPr>
          <w:bCs/>
        </w:rPr>
        <w:t>выполнение норматива</w:t>
      </w:r>
      <w:r w:rsidRPr="007308F6">
        <w:rPr>
          <w:bCs/>
        </w:rPr>
        <w:t xml:space="preserve"> </w:t>
      </w:r>
      <w:r>
        <w:rPr>
          <w:bCs/>
        </w:rPr>
        <w:t xml:space="preserve">НЧСФ, </w:t>
      </w:r>
      <w:r w:rsidRPr="007308F6">
        <w:rPr>
          <w:bCs/>
        </w:rPr>
        <w:t>приведено для системно значимых банков и банков, не являющихся системно значимыми</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E8EE" w14:textId="17688447" w:rsidR="001570EF" w:rsidRDefault="001570EF" w:rsidP="00F801E1">
    <w:pPr>
      <w:pStyle w:val="ae"/>
      <w:jc w:val="center"/>
    </w:pPr>
    <w:r>
      <w:rPr>
        <w:noProof/>
      </w:rPr>
      <w:drawing>
        <wp:inline distT="0" distB="0" distL="0" distR="0" wp14:anchorId="0075CB5F" wp14:editId="42079E6E">
          <wp:extent cx="1797050"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1640"/>
                  </a:xfrm>
                  <a:prstGeom prst="rect">
                    <a:avLst/>
                  </a:prstGeom>
                  <a:noFill/>
                  <a:ln>
                    <a:noFill/>
                  </a:ln>
                </pic:spPr>
              </pic:pic>
            </a:graphicData>
          </a:graphic>
        </wp:inline>
      </w:drawing>
    </w:r>
  </w:p>
  <w:p w14:paraId="1FA74FD7" w14:textId="77777777" w:rsidR="001570EF" w:rsidRPr="007E4920" w:rsidRDefault="001570EF" w:rsidP="00F801E1">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EBB5" w14:textId="2BE52237" w:rsidR="001570EF" w:rsidRDefault="001570EF" w:rsidP="00F801E1">
    <w:pPr>
      <w:pStyle w:val="ae"/>
      <w:jc w:val="center"/>
    </w:pPr>
    <w:r>
      <w:rPr>
        <w:noProof/>
      </w:rPr>
      <w:drawing>
        <wp:inline distT="0" distB="0" distL="0" distR="0" wp14:anchorId="66391852" wp14:editId="3766EB70">
          <wp:extent cx="1797050" cy="421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1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E5C6" w14:textId="7A646232" w:rsidR="001570EF" w:rsidRDefault="001570EF" w:rsidP="00BB4B24">
    <w:pPr>
      <w:pStyle w:val="ae"/>
      <w:jc w:val="center"/>
    </w:pPr>
    <w:r>
      <w:rPr>
        <w:noProof/>
      </w:rPr>
      <w:drawing>
        <wp:inline distT="0" distB="0" distL="0" distR="0" wp14:anchorId="204B986D" wp14:editId="0F23499E">
          <wp:extent cx="179705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1640"/>
                  </a:xfrm>
                  <a:prstGeom prst="rect">
                    <a:avLst/>
                  </a:prstGeom>
                  <a:noFill/>
                  <a:ln>
                    <a:noFill/>
                  </a:ln>
                </pic:spPr>
              </pic:pic>
            </a:graphicData>
          </a:graphic>
        </wp:inline>
      </w:drawing>
    </w:r>
  </w:p>
  <w:p w14:paraId="78180E53" w14:textId="77777777" w:rsidR="001570EF" w:rsidRDefault="001570EF" w:rsidP="00BB4B24">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6EA"/>
    <w:multiLevelType w:val="hybridMultilevel"/>
    <w:tmpl w:val="76C270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05">
      <w:start w:val="1"/>
      <w:numFmt w:val="bullet"/>
      <w:lvlText w:val=""/>
      <w:lvlJc w:val="left"/>
      <w:pPr>
        <w:tabs>
          <w:tab w:val="num" w:pos="3600"/>
        </w:tabs>
        <w:ind w:left="3600" w:hanging="360"/>
      </w:pPr>
      <w:rPr>
        <w:rFonts w:ascii="Wingdings" w:hAnsi="Wingding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865EF"/>
    <w:multiLevelType w:val="hybridMultilevel"/>
    <w:tmpl w:val="A90CA9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16CDB"/>
    <w:multiLevelType w:val="hybridMultilevel"/>
    <w:tmpl w:val="AFB06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20AED"/>
    <w:multiLevelType w:val="hybridMultilevel"/>
    <w:tmpl w:val="4F025FC2"/>
    <w:lvl w:ilvl="0" w:tplc="04190005">
      <w:start w:val="1"/>
      <w:numFmt w:val="bullet"/>
      <w:lvlText w:val=""/>
      <w:lvlJc w:val="left"/>
      <w:pPr>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A276F"/>
    <w:multiLevelType w:val="hybridMultilevel"/>
    <w:tmpl w:val="F85440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6D9646D"/>
    <w:multiLevelType w:val="hybridMultilevel"/>
    <w:tmpl w:val="0E9E47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905AD9"/>
    <w:multiLevelType w:val="hybridMultilevel"/>
    <w:tmpl w:val="0B005E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EE330F"/>
    <w:multiLevelType w:val="hybridMultilevel"/>
    <w:tmpl w:val="17241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F400F8"/>
    <w:multiLevelType w:val="multilevel"/>
    <w:tmpl w:val="537C45CC"/>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0ABB6702"/>
    <w:multiLevelType w:val="hybridMultilevel"/>
    <w:tmpl w:val="D3FE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B66476"/>
    <w:multiLevelType w:val="multilevel"/>
    <w:tmpl w:val="CF547214"/>
    <w:styleLink w:val="a"/>
    <w:lvl w:ilvl="0">
      <w:start w:val="1"/>
      <w:numFmt w:val="decimal"/>
      <w:lvlText w:val="%1."/>
      <w:lvlJc w:val="left"/>
      <w:pPr>
        <w:tabs>
          <w:tab w:val="num" w:pos="1080"/>
        </w:tabs>
        <w:ind w:left="1080" w:hanging="360"/>
      </w:pPr>
    </w:lvl>
    <w:lvl w:ilvl="1">
      <w:start w:val="1"/>
      <w:numFmt w:val="lowerLetter"/>
      <w:lvlText w:val="%2."/>
      <w:lvlJc w:val="left"/>
      <w:pPr>
        <w:tabs>
          <w:tab w:val="num" w:pos="1620"/>
        </w:tabs>
        <w:ind w:left="1620" w:hanging="360"/>
      </w:pPr>
      <w:rPr>
        <w:sz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2F2072B"/>
    <w:multiLevelType w:val="hybridMultilevel"/>
    <w:tmpl w:val="7A2EBC18"/>
    <w:lvl w:ilvl="0" w:tplc="B6B84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414AE3"/>
    <w:multiLevelType w:val="hybridMultilevel"/>
    <w:tmpl w:val="8F901E5E"/>
    <w:lvl w:ilvl="0" w:tplc="C1DE13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3543CD"/>
    <w:multiLevelType w:val="hybridMultilevel"/>
    <w:tmpl w:val="702E04C8"/>
    <w:lvl w:ilvl="0" w:tplc="2154DC6C">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3D7E08"/>
    <w:multiLevelType w:val="hybridMultilevel"/>
    <w:tmpl w:val="A12A5594"/>
    <w:lvl w:ilvl="0" w:tplc="2624A8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6C0C87"/>
    <w:multiLevelType w:val="multilevel"/>
    <w:tmpl w:val="FDB24214"/>
    <w:lvl w:ilvl="0">
      <w:start w:val="1"/>
      <w:numFmt w:val="decimal"/>
      <w:lvlText w:val="%1)"/>
      <w:lvlJc w:val="left"/>
      <w:pPr>
        <w:ind w:left="720" w:hanging="360"/>
      </w:pPr>
    </w:lvl>
    <w:lvl w:ilvl="1">
      <w:start w:val="1"/>
      <w:numFmt w:val="decimal"/>
      <w:lvlText w:val="2.%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65F6581"/>
    <w:multiLevelType w:val="hybridMultilevel"/>
    <w:tmpl w:val="B582D9C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16DD4B5A"/>
    <w:multiLevelType w:val="hybridMultilevel"/>
    <w:tmpl w:val="1D1C1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566DC2"/>
    <w:multiLevelType w:val="hybridMultilevel"/>
    <w:tmpl w:val="13A604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8D96EE7"/>
    <w:multiLevelType w:val="hybridMultilevel"/>
    <w:tmpl w:val="443C10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1A020549"/>
    <w:multiLevelType w:val="hybridMultilevel"/>
    <w:tmpl w:val="BD0AB6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DF73EE2"/>
    <w:multiLevelType w:val="hybridMultilevel"/>
    <w:tmpl w:val="B18237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2A74F3"/>
    <w:multiLevelType w:val="hybridMultilevel"/>
    <w:tmpl w:val="90EE5F10"/>
    <w:lvl w:ilvl="0" w:tplc="D8CA5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1EF60773"/>
    <w:multiLevelType w:val="hybridMultilevel"/>
    <w:tmpl w:val="F9BC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396BE8"/>
    <w:multiLevelType w:val="hybridMultilevel"/>
    <w:tmpl w:val="F188ADB6"/>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15:restartNumberingAfterBreak="0">
    <w:nsid w:val="20B74177"/>
    <w:multiLevelType w:val="hybridMultilevel"/>
    <w:tmpl w:val="59FEE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0DF4434"/>
    <w:multiLevelType w:val="multilevel"/>
    <w:tmpl w:val="9810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12B20E6"/>
    <w:multiLevelType w:val="hybridMultilevel"/>
    <w:tmpl w:val="FA82F6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5862BA"/>
    <w:multiLevelType w:val="hybridMultilevel"/>
    <w:tmpl w:val="731428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7154A"/>
    <w:multiLevelType w:val="hybridMultilevel"/>
    <w:tmpl w:val="B7BC345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3744240"/>
    <w:multiLevelType w:val="hybridMultilevel"/>
    <w:tmpl w:val="AF6EC5B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28964389"/>
    <w:multiLevelType w:val="multilevel"/>
    <w:tmpl w:val="0A32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9CA5AE6"/>
    <w:multiLevelType w:val="hybridMultilevel"/>
    <w:tmpl w:val="C9C29E6A"/>
    <w:lvl w:ilvl="0" w:tplc="04190005">
      <w:start w:val="1"/>
      <w:numFmt w:val="bullet"/>
      <w:lvlText w:val=""/>
      <w:lvlJc w:val="left"/>
      <w:pPr>
        <w:tabs>
          <w:tab w:val="num" w:pos="935"/>
        </w:tabs>
        <w:ind w:left="935" w:hanging="360"/>
      </w:pPr>
      <w:rPr>
        <w:rFonts w:ascii="Wingdings" w:hAnsi="Wingdings" w:hint="default"/>
      </w:rPr>
    </w:lvl>
    <w:lvl w:ilvl="1" w:tplc="0419000F">
      <w:start w:val="1"/>
      <w:numFmt w:val="decimal"/>
      <w:lvlText w:val="%2."/>
      <w:lvlJc w:val="left"/>
      <w:pPr>
        <w:tabs>
          <w:tab w:val="num" w:pos="1655"/>
        </w:tabs>
        <w:ind w:left="1655" w:hanging="360"/>
      </w:pPr>
      <w:rPr>
        <w:rFonts w:hint="default"/>
      </w:rPr>
    </w:lvl>
    <w:lvl w:ilvl="2" w:tplc="04190005">
      <w:start w:val="1"/>
      <w:numFmt w:val="bullet"/>
      <w:lvlText w:val=""/>
      <w:lvlJc w:val="left"/>
      <w:pPr>
        <w:tabs>
          <w:tab w:val="num" w:pos="2375"/>
        </w:tabs>
        <w:ind w:left="2375" w:hanging="360"/>
      </w:pPr>
      <w:rPr>
        <w:rFonts w:ascii="Wingdings" w:hAnsi="Wingdings" w:hint="default"/>
      </w:rPr>
    </w:lvl>
    <w:lvl w:ilvl="3" w:tplc="04190001" w:tentative="1">
      <w:start w:val="1"/>
      <w:numFmt w:val="bullet"/>
      <w:lvlText w:val=""/>
      <w:lvlJc w:val="left"/>
      <w:pPr>
        <w:tabs>
          <w:tab w:val="num" w:pos="3095"/>
        </w:tabs>
        <w:ind w:left="3095" w:hanging="360"/>
      </w:pPr>
      <w:rPr>
        <w:rFonts w:ascii="Symbol" w:hAnsi="Symbol" w:hint="default"/>
      </w:rPr>
    </w:lvl>
    <w:lvl w:ilvl="4" w:tplc="04190003" w:tentative="1">
      <w:start w:val="1"/>
      <w:numFmt w:val="bullet"/>
      <w:lvlText w:val="o"/>
      <w:lvlJc w:val="left"/>
      <w:pPr>
        <w:tabs>
          <w:tab w:val="num" w:pos="3815"/>
        </w:tabs>
        <w:ind w:left="3815" w:hanging="360"/>
      </w:pPr>
      <w:rPr>
        <w:rFonts w:ascii="Courier New" w:hAnsi="Courier New" w:cs="Courier New" w:hint="default"/>
      </w:rPr>
    </w:lvl>
    <w:lvl w:ilvl="5" w:tplc="04190005" w:tentative="1">
      <w:start w:val="1"/>
      <w:numFmt w:val="bullet"/>
      <w:lvlText w:val=""/>
      <w:lvlJc w:val="left"/>
      <w:pPr>
        <w:tabs>
          <w:tab w:val="num" w:pos="4535"/>
        </w:tabs>
        <w:ind w:left="4535" w:hanging="360"/>
      </w:pPr>
      <w:rPr>
        <w:rFonts w:ascii="Wingdings" w:hAnsi="Wingdings" w:hint="default"/>
      </w:rPr>
    </w:lvl>
    <w:lvl w:ilvl="6" w:tplc="04190001" w:tentative="1">
      <w:start w:val="1"/>
      <w:numFmt w:val="bullet"/>
      <w:lvlText w:val=""/>
      <w:lvlJc w:val="left"/>
      <w:pPr>
        <w:tabs>
          <w:tab w:val="num" w:pos="5255"/>
        </w:tabs>
        <w:ind w:left="5255" w:hanging="360"/>
      </w:pPr>
      <w:rPr>
        <w:rFonts w:ascii="Symbol" w:hAnsi="Symbol" w:hint="default"/>
      </w:rPr>
    </w:lvl>
    <w:lvl w:ilvl="7" w:tplc="04190003" w:tentative="1">
      <w:start w:val="1"/>
      <w:numFmt w:val="bullet"/>
      <w:lvlText w:val="o"/>
      <w:lvlJc w:val="left"/>
      <w:pPr>
        <w:tabs>
          <w:tab w:val="num" w:pos="5975"/>
        </w:tabs>
        <w:ind w:left="5975" w:hanging="360"/>
      </w:pPr>
      <w:rPr>
        <w:rFonts w:ascii="Courier New" w:hAnsi="Courier New" w:cs="Courier New" w:hint="default"/>
      </w:rPr>
    </w:lvl>
    <w:lvl w:ilvl="8" w:tplc="04190005" w:tentative="1">
      <w:start w:val="1"/>
      <w:numFmt w:val="bullet"/>
      <w:lvlText w:val=""/>
      <w:lvlJc w:val="left"/>
      <w:pPr>
        <w:tabs>
          <w:tab w:val="num" w:pos="6695"/>
        </w:tabs>
        <w:ind w:left="6695" w:hanging="360"/>
      </w:pPr>
      <w:rPr>
        <w:rFonts w:ascii="Wingdings" w:hAnsi="Wingdings" w:hint="default"/>
      </w:rPr>
    </w:lvl>
  </w:abstractNum>
  <w:abstractNum w:abstractNumId="33" w15:restartNumberingAfterBreak="0">
    <w:nsid w:val="2D1376A3"/>
    <w:multiLevelType w:val="hybridMultilevel"/>
    <w:tmpl w:val="1D1C1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F551B96"/>
    <w:multiLevelType w:val="hybridMultilevel"/>
    <w:tmpl w:val="EB7A279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30C66765"/>
    <w:multiLevelType w:val="hybridMultilevel"/>
    <w:tmpl w:val="5D1EC028"/>
    <w:lvl w:ilvl="0" w:tplc="29A4E854">
      <w:start w:val="1"/>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6" w15:restartNumberingAfterBreak="0">
    <w:nsid w:val="31FE1469"/>
    <w:multiLevelType w:val="hybridMultilevel"/>
    <w:tmpl w:val="0106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31F6EE7"/>
    <w:multiLevelType w:val="multilevel"/>
    <w:tmpl w:val="C3924748"/>
    <w:lvl w:ilvl="0">
      <w:start w:val="1"/>
      <w:numFmt w:val="upperRoman"/>
      <w:lvlText w:val="%1."/>
      <w:lvlJc w:val="left"/>
      <w:pPr>
        <w:ind w:left="1080" w:hanging="72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3DB0641"/>
    <w:multiLevelType w:val="hybridMultilevel"/>
    <w:tmpl w:val="1BCCC61E"/>
    <w:lvl w:ilvl="0" w:tplc="789EBFA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5AA065A"/>
    <w:multiLevelType w:val="hybridMultilevel"/>
    <w:tmpl w:val="CF32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7F5F4D"/>
    <w:multiLevelType w:val="hybridMultilevel"/>
    <w:tmpl w:val="D0D28C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378D4E9E"/>
    <w:multiLevelType w:val="hybridMultilevel"/>
    <w:tmpl w:val="66B0E8E0"/>
    <w:lvl w:ilvl="0" w:tplc="04190011">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15:restartNumberingAfterBreak="0">
    <w:nsid w:val="38957CFA"/>
    <w:multiLevelType w:val="multilevel"/>
    <w:tmpl w:val="B34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483CDD"/>
    <w:multiLevelType w:val="hybridMultilevel"/>
    <w:tmpl w:val="7158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A1D2567"/>
    <w:multiLevelType w:val="hybridMultilevel"/>
    <w:tmpl w:val="6CAC5E5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DF26CC"/>
    <w:multiLevelType w:val="hybridMultilevel"/>
    <w:tmpl w:val="4DC4A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1D17BD"/>
    <w:multiLevelType w:val="hybridMultilevel"/>
    <w:tmpl w:val="3DEA9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FAA2601"/>
    <w:multiLevelType w:val="hybridMultilevel"/>
    <w:tmpl w:val="596E6AB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8" w15:restartNumberingAfterBreak="0">
    <w:nsid w:val="40007A9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C3281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3F717B6"/>
    <w:multiLevelType w:val="hybridMultilevel"/>
    <w:tmpl w:val="ADDE99D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1" w15:restartNumberingAfterBreak="0">
    <w:nsid w:val="45201C1B"/>
    <w:multiLevelType w:val="hybridMultilevel"/>
    <w:tmpl w:val="DD6626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45AB7EF0"/>
    <w:multiLevelType w:val="hybridMultilevel"/>
    <w:tmpl w:val="BB22B1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183AF8"/>
    <w:multiLevelType w:val="hybridMultilevel"/>
    <w:tmpl w:val="FB74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CF2D42"/>
    <w:multiLevelType w:val="hybridMultilevel"/>
    <w:tmpl w:val="E57209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48147BC2"/>
    <w:multiLevelType w:val="multilevel"/>
    <w:tmpl w:val="0A32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9E34F0F"/>
    <w:multiLevelType w:val="hybridMultilevel"/>
    <w:tmpl w:val="855A6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A44652C"/>
    <w:multiLevelType w:val="hybridMultilevel"/>
    <w:tmpl w:val="AFF289F8"/>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AE03EC8"/>
    <w:multiLevelType w:val="hybridMultilevel"/>
    <w:tmpl w:val="9F50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BF07065"/>
    <w:multiLevelType w:val="hybridMultilevel"/>
    <w:tmpl w:val="29724FFC"/>
    <w:lvl w:ilvl="0" w:tplc="B6B84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4DDA7AB9"/>
    <w:multiLevelType w:val="hybridMultilevel"/>
    <w:tmpl w:val="D2022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E235DE4"/>
    <w:multiLevelType w:val="hybridMultilevel"/>
    <w:tmpl w:val="64F0A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18D4B64"/>
    <w:multiLevelType w:val="multilevel"/>
    <w:tmpl w:val="754A293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5E335F"/>
    <w:multiLevelType w:val="hybridMultilevel"/>
    <w:tmpl w:val="44D89F16"/>
    <w:lvl w:ilvl="0" w:tplc="0BE82E1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15:restartNumberingAfterBreak="0">
    <w:nsid w:val="568B6297"/>
    <w:multiLevelType w:val="hybridMultilevel"/>
    <w:tmpl w:val="1D408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A3D2960"/>
    <w:multiLevelType w:val="multilevel"/>
    <w:tmpl w:val="F74A6908"/>
    <w:lvl w:ilvl="0">
      <w:start w:val="2"/>
      <w:numFmt w:val="decimal"/>
      <w:lvlText w:val="%1."/>
      <w:lvlJc w:val="left"/>
      <w:pPr>
        <w:ind w:left="630" w:hanging="63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6" w15:restartNumberingAfterBreak="0">
    <w:nsid w:val="5B941366"/>
    <w:multiLevelType w:val="hybridMultilevel"/>
    <w:tmpl w:val="A9C6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D08373C"/>
    <w:multiLevelType w:val="hybridMultilevel"/>
    <w:tmpl w:val="CB840A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DDB665F"/>
    <w:multiLevelType w:val="hybridMultilevel"/>
    <w:tmpl w:val="44444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2BE5228"/>
    <w:multiLevelType w:val="hybridMultilevel"/>
    <w:tmpl w:val="258EF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2EE1FA5"/>
    <w:multiLevelType w:val="hybridMultilevel"/>
    <w:tmpl w:val="B51A2396"/>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36C6083"/>
    <w:multiLevelType w:val="multilevel"/>
    <w:tmpl w:val="9C96C7CA"/>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63951153"/>
    <w:multiLevelType w:val="hybridMultilevel"/>
    <w:tmpl w:val="A0A2E2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65A447C"/>
    <w:multiLevelType w:val="multilevel"/>
    <w:tmpl w:val="EF042C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84858C7"/>
    <w:multiLevelType w:val="hybridMultilevel"/>
    <w:tmpl w:val="239697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E01C76"/>
    <w:multiLevelType w:val="hybridMultilevel"/>
    <w:tmpl w:val="1C02C4F0"/>
    <w:lvl w:ilvl="0" w:tplc="04190001">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76" w15:restartNumberingAfterBreak="0">
    <w:nsid w:val="72020F5C"/>
    <w:multiLevelType w:val="hybridMultilevel"/>
    <w:tmpl w:val="F04AE2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77F42F9C"/>
    <w:multiLevelType w:val="hybridMultilevel"/>
    <w:tmpl w:val="7CDEE976"/>
    <w:lvl w:ilvl="0" w:tplc="C4E63D9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79EE77BF"/>
    <w:multiLevelType w:val="hybridMultilevel"/>
    <w:tmpl w:val="D66A2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B2043CE"/>
    <w:multiLevelType w:val="multilevel"/>
    <w:tmpl w:val="471C58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15:restartNumberingAfterBreak="0">
    <w:nsid w:val="7CE70479"/>
    <w:multiLevelType w:val="hybridMultilevel"/>
    <w:tmpl w:val="84345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F73386C"/>
    <w:multiLevelType w:val="hybridMultilevel"/>
    <w:tmpl w:val="8604E0A8"/>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0"/>
  </w:num>
  <w:num w:numId="2">
    <w:abstractNumId w:val="3"/>
  </w:num>
  <w:num w:numId="3">
    <w:abstractNumId w:val="32"/>
  </w:num>
  <w:num w:numId="4">
    <w:abstractNumId w:val="10"/>
  </w:num>
  <w:num w:numId="5">
    <w:abstractNumId w:val="14"/>
  </w:num>
  <w:num w:numId="6">
    <w:abstractNumId w:val="46"/>
  </w:num>
  <w:num w:numId="7">
    <w:abstractNumId w:val="59"/>
  </w:num>
  <w:num w:numId="8">
    <w:abstractNumId w:val="79"/>
  </w:num>
  <w:num w:numId="9">
    <w:abstractNumId w:val="6"/>
  </w:num>
  <w:num w:numId="10">
    <w:abstractNumId w:val="44"/>
  </w:num>
  <w:num w:numId="11">
    <w:abstractNumId w:val="42"/>
  </w:num>
  <w:num w:numId="12">
    <w:abstractNumId w:val="11"/>
  </w:num>
  <w:num w:numId="13">
    <w:abstractNumId w:val="15"/>
  </w:num>
  <w:num w:numId="14">
    <w:abstractNumId w:val="74"/>
  </w:num>
  <w:num w:numId="15">
    <w:abstractNumId w:val="25"/>
  </w:num>
  <w:num w:numId="16">
    <w:abstractNumId w:val="1"/>
  </w:num>
  <w:num w:numId="17">
    <w:abstractNumId w:val="37"/>
  </w:num>
  <w:num w:numId="18">
    <w:abstractNumId w:val="67"/>
  </w:num>
  <w:num w:numId="19">
    <w:abstractNumId w:val="13"/>
  </w:num>
  <w:num w:numId="20">
    <w:abstractNumId w:val="66"/>
  </w:num>
  <w:num w:numId="21">
    <w:abstractNumId w:val="48"/>
  </w:num>
  <w:num w:numId="22">
    <w:abstractNumId w:val="60"/>
  </w:num>
  <w:num w:numId="23">
    <w:abstractNumId w:val="26"/>
  </w:num>
  <w:num w:numId="24">
    <w:abstractNumId w:val="52"/>
  </w:num>
  <w:num w:numId="25">
    <w:abstractNumId w:val="36"/>
  </w:num>
  <w:num w:numId="26">
    <w:abstractNumId w:val="9"/>
  </w:num>
  <w:num w:numId="27">
    <w:abstractNumId w:val="27"/>
  </w:num>
  <w:num w:numId="28">
    <w:abstractNumId w:val="73"/>
  </w:num>
  <w:num w:numId="29">
    <w:abstractNumId w:val="21"/>
  </w:num>
  <w:num w:numId="30">
    <w:abstractNumId w:val="17"/>
  </w:num>
  <w:num w:numId="31">
    <w:abstractNumId w:val="33"/>
  </w:num>
  <w:num w:numId="32">
    <w:abstractNumId w:val="63"/>
  </w:num>
  <w:num w:numId="33">
    <w:abstractNumId w:val="80"/>
  </w:num>
  <w:num w:numId="34">
    <w:abstractNumId w:val="68"/>
  </w:num>
  <w:num w:numId="35">
    <w:abstractNumId w:val="2"/>
  </w:num>
  <w:num w:numId="36">
    <w:abstractNumId w:val="70"/>
  </w:num>
  <w:num w:numId="37">
    <w:abstractNumId w:val="12"/>
  </w:num>
  <w:num w:numId="38">
    <w:abstractNumId w:val="71"/>
  </w:num>
  <w:num w:numId="39">
    <w:abstractNumId w:val="62"/>
  </w:num>
  <w:num w:numId="40">
    <w:abstractNumId w:val="8"/>
  </w:num>
  <w:num w:numId="41">
    <w:abstractNumId w:val="41"/>
  </w:num>
  <w:num w:numId="42">
    <w:abstractNumId w:val="64"/>
  </w:num>
  <w:num w:numId="43">
    <w:abstractNumId w:val="31"/>
  </w:num>
  <w:num w:numId="44">
    <w:abstractNumId w:val="57"/>
  </w:num>
  <w:num w:numId="45">
    <w:abstractNumId w:val="40"/>
  </w:num>
  <w:num w:numId="46">
    <w:abstractNumId w:val="35"/>
  </w:num>
  <w:num w:numId="47">
    <w:abstractNumId w:val="39"/>
  </w:num>
  <w:num w:numId="48">
    <w:abstractNumId w:val="58"/>
  </w:num>
  <w:num w:numId="49">
    <w:abstractNumId w:val="78"/>
  </w:num>
  <w:num w:numId="50">
    <w:abstractNumId w:val="38"/>
  </w:num>
  <w:num w:numId="51">
    <w:abstractNumId w:val="34"/>
  </w:num>
  <w:num w:numId="52">
    <w:abstractNumId w:val="30"/>
  </w:num>
  <w:num w:numId="53">
    <w:abstractNumId w:val="7"/>
  </w:num>
  <w:num w:numId="54">
    <w:abstractNumId w:val="53"/>
  </w:num>
  <w:num w:numId="55">
    <w:abstractNumId w:val="56"/>
  </w:num>
  <w:num w:numId="56">
    <w:abstractNumId w:val="5"/>
  </w:num>
  <w:num w:numId="57">
    <w:abstractNumId w:val="29"/>
  </w:num>
  <w:num w:numId="58">
    <w:abstractNumId w:val="65"/>
  </w:num>
  <w:num w:numId="59">
    <w:abstractNumId w:val="28"/>
  </w:num>
  <w:num w:numId="60">
    <w:abstractNumId w:val="43"/>
  </w:num>
  <w:num w:numId="61">
    <w:abstractNumId w:val="61"/>
  </w:num>
  <w:num w:numId="62">
    <w:abstractNumId w:val="22"/>
  </w:num>
  <w:num w:numId="63">
    <w:abstractNumId w:val="4"/>
  </w:num>
  <w:num w:numId="64">
    <w:abstractNumId w:val="18"/>
  </w:num>
  <w:num w:numId="65">
    <w:abstractNumId w:val="51"/>
  </w:num>
  <w:num w:numId="66">
    <w:abstractNumId w:val="16"/>
  </w:num>
  <w:num w:numId="67">
    <w:abstractNumId w:val="50"/>
  </w:num>
  <w:num w:numId="68">
    <w:abstractNumId w:val="20"/>
  </w:num>
  <w:num w:numId="69">
    <w:abstractNumId w:val="76"/>
  </w:num>
  <w:num w:numId="70">
    <w:abstractNumId w:val="54"/>
  </w:num>
  <w:num w:numId="71">
    <w:abstractNumId w:val="81"/>
  </w:num>
  <w:num w:numId="72">
    <w:abstractNumId w:val="72"/>
  </w:num>
  <w:num w:numId="73">
    <w:abstractNumId w:val="19"/>
  </w:num>
  <w:num w:numId="74">
    <w:abstractNumId w:val="75"/>
  </w:num>
  <w:num w:numId="75">
    <w:abstractNumId w:val="45"/>
  </w:num>
  <w:num w:numId="76">
    <w:abstractNumId w:val="23"/>
  </w:num>
  <w:num w:numId="77">
    <w:abstractNumId w:val="49"/>
  </w:num>
  <w:num w:numId="78">
    <w:abstractNumId w:val="55"/>
  </w:num>
  <w:num w:numId="79">
    <w:abstractNumId w:val="24"/>
  </w:num>
  <w:num w:numId="80">
    <w:abstractNumId w:val="77"/>
  </w:num>
  <w:num w:numId="81">
    <w:abstractNumId w:val="64"/>
  </w:num>
  <w:num w:numId="82">
    <w:abstractNumId w:val="69"/>
  </w:num>
  <w:num w:numId="83">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D8"/>
    <w:rsid w:val="000004FF"/>
    <w:rsid w:val="0000093E"/>
    <w:rsid w:val="00000990"/>
    <w:rsid w:val="000014BF"/>
    <w:rsid w:val="000015FA"/>
    <w:rsid w:val="00001A22"/>
    <w:rsid w:val="00002B65"/>
    <w:rsid w:val="00002CD5"/>
    <w:rsid w:val="00002DD2"/>
    <w:rsid w:val="000032E8"/>
    <w:rsid w:val="00003528"/>
    <w:rsid w:val="00004A68"/>
    <w:rsid w:val="00004EE6"/>
    <w:rsid w:val="0000527A"/>
    <w:rsid w:val="0000528B"/>
    <w:rsid w:val="00005F50"/>
    <w:rsid w:val="000062E3"/>
    <w:rsid w:val="000065E3"/>
    <w:rsid w:val="000067D4"/>
    <w:rsid w:val="00006E24"/>
    <w:rsid w:val="000071C5"/>
    <w:rsid w:val="0000798F"/>
    <w:rsid w:val="00007A12"/>
    <w:rsid w:val="00007A8D"/>
    <w:rsid w:val="00007FD8"/>
    <w:rsid w:val="00010882"/>
    <w:rsid w:val="00011214"/>
    <w:rsid w:val="00011278"/>
    <w:rsid w:val="000113EC"/>
    <w:rsid w:val="0001177F"/>
    <w:rsid w:val="00011815"/>
    <w:rsid w:val="00011E23"/>
    <w:rsid w:val="00011EBF"/>
    <w:rsid w:val="0001235A"/>
    <w:rsid w:val="00012AEF"/>
    <w:rsid w:val="00012D8A"/>
    <w:rsid w:val="00012EAC"/>
    <w:rsid w:val="000130B1"/>
    <w:rsid w:val="000131E0"/>
    <w:rsid w:val="0001346A"/>
    <w:rsid w:val="0001381A"/>
    <w:rsid w:val="000138B9"/>
    <w:rsid w:val="00013E01"/>
    <w:rsid w:val="00015282"/>
    <w:rsid w:val="000153EF"/>
    <w:rsid w:val="00015BB3"/>
    <w:rsid w:val="00015FC2"/>
    <w:rsid w:val="0001618D"/>
    <w:rsid w:val="00016857"/>
    <w:rsid w:val="00016913"/>
    <w:rsid w:val="00016C32"/>
    <w:rsid w:val="00017038"/>
    <w:rsid w:val="00017805"/>
    <w:rsid w:val="00020450"/>
    <w:rsid w:val="00020742"/>
    <w:rsid w:val="0002115B"/>
    <w:rsid w:val="00021BD6"/>
    <w:rsid w:val="00021C9C"/>
    <w:rsid w:val="00023580"/>
    <w:rsid w:val="00023A65"/>
    <w:rsid w:val="00023B24"/>
    <w:rsid w:val="00023B46"/>
    <w:rsid w:val="00023C03"/>
    <w:rsid w:val="00024377"/>
    <w:rsid w:val="000243DC"/>
    <w:rsid w:val="000246ED"/>
    <w:rsid w:val="000248A7"/>
    <w:rsid w:val="00024D35"/>
    <w:rsid w:val="00026067"/>
    <w:rsid w:val="00026363"/>
    <w:rsid w:val="00026975"/>
    <w:rsid w:val="00026E9D"/>
    <w:rsid w:val="000272DF"/>
    <w:rsid w:val="0002746A"/>
    <w:rsid w:val="0002760A"/>
    <w:rsid w:val="00027B42"/>
    <w:rsid w:val="00027FA2"/>
    <w:rsid w:val="0003043D"/>
    <w:rsid w:val="0003064F"/>
    <w:rsid w:val="00030DBF"/>
    <w:rsid w:val="00032233"/>
    <w:rsid w:val="00032A78"/>
    <w:rsid w:val="000339A2"/>
    <w:rsid w:val="00033C92"/>
    <w:rsid w:val="00033DC3"/>
    <w:rsid w:val="00033EC1"/>
    <w:rsid w:val="00034A47"/>
    <w:rsid w:val="000352C8"/>
    <w:rsid w:val="00036320"/>
    <w:rsid w:val="0003657A"/>
    <w:rsid w:val="00036C73"/>
    <w:rsid w:val="00036CA0"/>
    <w:rsid w:val="00036D10"/>
    <w:rsid w:val="0003707E"/>
    <w:rsid w:val="00037282"/>
    <w:rsid w:val="00037866"/>
    <w:rsid w:val="00037AAB"/>
    <w:rsid w:val="00037C8F"/>
    <w:rsid w:val="00040129"/>
    <w:rsid w:val="0004049B"/>
    <w:rsid w:val="0004077B"/>
    <w:rsid w:val="0004088C"/>
    <w:rsid w:val="00040A55"/>
    <w:rsid w:val="0004125B"/>
    <w:rsid w:val="00041496"/>
    <w:rsid w:val="000417FA"/>
    <w:rsid w:val="00041E0C"/>
    <w:rsid w:val="000423CB"/>
    <w:rsid w:val="00043391"/>
    <w:rsid w:val="00043B7D"/>
    <w:rsid w:val="00044081"/>
    <w:rsid w:val="000441A4"/>
    <w:rsid w:val="000447E6"/>
    <w:rsid w:val="00044A03"/>
    <w:rsid w:val="00046DC4"/>
    <w:rsid w:val="00047251"/>
    <w:rsid w:val="00047A09"/>
    <w:rsid w:val="00047EF1"/>
    <w:rsid w:val="00050222"/>
    <w:rsid w:val="000504E0"/>
    <w:rsid w:val="00050D71"/>
    <w:rsid w:val="00051E67"/>
    <w:rsid w:val="0005240F"/>
    <w:rsid w:val="0005256C"/>
    <w:rsid w:val="000525E0"/>
    <w:rsid w:val="000529FB"/>
    <w:rsid w:val="00053712"/>
    <w:rsid w:val="00053FB7"/>
    <w:rsid w:val="00054316"/>
    <w:rsid w:val="0005460F"/>
    <w:rsid w:val="00054718"/>
    <w:rsid w:val="00055355"/>
    <w:rsid w:val="00055726"/>
    <w:rsid w:val="00055DF4"/>
    <w:rsid w:val="00056204"/>
    <w:rsid w:val="00056A4D"/>
    <w:rsid w:val="00056AA9"/>
    <w:rsid w:val="000572E2"/>
    <w:rsid w:val="0005751E"/>
    <w:rsid w:val="0005752C"/>
    <w:rsid w:val="00057B24"/>
    <w:rsid w:val="00057E86"/>
    <w:rsid w:val="00057F2D"/>
    <w:rsid w:val="00057F4D"/>
    <w:rsid w:val="000601F5"/>
    <w:rsid w:val="00060441"/>
    <w:rsid w:val="00060E20"/>
    <w:rsid w:val="00061379"/>
    <w:rsid w:val="000614CE"/>
    <w:rsid w:val="0006153A"/>
    <w:rsid w:val="00061BE0"/>
    <w:rsid w:val="00061C31"/>
    <w:rsid w:val="00062844"/>
    <w:rsid w:val="00062DF7"/>
    <w:rsid w:val="00062F8A"/>
    <w:rsid w:val="00063ACF"/>
    <w:rsid w:val="0006475F"/>
    <w:rsid w:val="000649A5"/>
    <w:rsid w:val="000649BA"/>
    <w:rsid w:val="000650B9"/>
    <w:rsid w:val="00065152"/>
    <w:rsid w:val="00065960"/>
    <w:rsid w:val="00065C32"/>
    <w:rsid w:val="0006680B"/>
    <w:rsid w:val="00066A2B"/>
    <w:rsid w:val="00066CC6"/>
    <w:rsid w:val="00066E81"/>
    <w:rsid w:val="000672BC"/>
    <w:rsid w:val="000677CF"/>
    <w:rsid w:val="00067F06"/>
    <w:rsid w:val="0007043E"/>
    <w:rsid w:val="000705D5"/>
    <w:rsid w:val="00070ADE"/>
    <w:rsid w:val="00070CFB"/>
    <w:rsid w:val="00070F03"/>
    <w:rsid w:val="00071AD1"/>
    <w:rsid w:val="00071EE7"/>
    <w:rsid w:val="000721AB"/>
    <w:rsid w:val="00072458"/>
    <w:rsid w:val="00072F21"/>
    <w:rsid w:val="00072FD0"/>
    <w:rsid w:val="0007376C"/>
    <w:rsid w:val="0007435A"/>
    <w:rsid w:val="00074686"/>
    <w:rsid w:val="00074C2D"/>
    <w:rsid w:val="00074E82"/>
    <w:rsid w:val="00075520"/>
    <w:rsid w:val="000758F5"/>
    <w:rsid w:val="00075909"/>
    <w:rsid w:val="000759D8"/>
    <w:rsid w:val="00076224"/>
    <w:rsid w:val="00076469"/>
    <w:rsid w:val="00076767"/>
    <w:rsid w:val="00076CB8"/>
    <w:rsid w:val="0007747E"/>
    <w:rsid w:val="0007766F"/>
    <w:rsid w:val="00077911"/>
    <w:rsid w:val="0008004D"/>
    <w:rsid w:val="000803F6"/>
    <w:rsid w:val="000806FC"/>
    <w:rsid w:val="00081400"/>
    <w:rsid w:val="0008198C"/>
    <w:rsid w:val="00081B20"/>
    <w:rsid w:val="00081B8D"/>
    <w:rsid w:val="00081F01"/>
    <w:rsid w:val="00082BE6"/>
    <w:rsid w:val="00083068"/>
    <w:rsid w:val="000832B9"/>
    <w:rsid w:val="000834FC"/>
    <w:rsid w:val="000835A6"/>
    <w:rsid w:val="00083FC0"/>
    <w:rsid w:val="000840D4"/>
    <w:rsid w:val="000843A5"/>
    <w:rsid w:val="00084DFB"/>
    <w:rsid w:val="00085280"/>
    <w:rsid w:val="00085625"/>
    <w:rsid w:val="0008675A"/>
    <w:rsid w:val="00086CAD"/>
    <w:rsid w:val="00086D92"/>
    <w:rsid w:val="00086EA1"/>
    <w:rsid w:val="000873E3"/>
    <w:rsid w:val="00087479"/>
    <w:rsid w:val="00087584"/>
    <w:rsid w:val="000875E0"/>
    <w:rsid w:val="00087F2D"/>
    <w:rsid w:val="0009062C"/>
    <w:rsid w:val="00090EA1"/>
    <w:rsid w:val="000911C4"/>
    <w:rsid w:val="00091207"/>
    <w:rsid w:val="000919DB"/>
    <w:rsid w:val="00091AE3"/>
    <w:rsid w:val="000932E2"/>
    <w:rsid w:val="00093A17"/>
    <w:rsid w:val="00093D43"/>
    <w:rsid w:val="00093E81"/>
    <w:rsid w:val="000948B4"/>
    <w:rsid w:val="00094A3B"/>
    <w:rsid w:val="00094BCF"/>
    <w:rsid w:val="00094C79"/>
    <w:rsid w:val="0009502A"/>
    <w:rsid w:val="00095120"/>
    <w:rsid w:val="000951A8"/>
    <w:rsid w:val="0009543B"/>
    <w:rsid w:val="0009573F"/>
    <w:rsid w:val="00095C5A"/>
    <w:rsid w:val="00095C5F"/>
    <w:rsid w:val="00095EC5"/>
    <w:rsid w:val="00095F30"/>
    <w:rsid w:val="000965A9"/>
    <w:rsid w:val="00096AC9"/>
    <w:rsid w:val="0009723F"/>
    <w:rsid w:val="0009756F"/>
    <w:rsid w:val="00097590"/>
    <w:rsid w:val="000A0632"/>
    <w:rsid w:val="000A09C0"/>
    <w:rsid w:val="000A102A"/>
    <w:rsid w:val="000A1177"/>
    <w:rsid w:val="000A14C2"/>
    <w:rsid w:val="000A17ED"/>
    <w:rsid w:val="000A19E4"/>
    <w:rsid w:val="000A1A18"/>
    <w:rsid w:val="000A1AE1"/>
    <w:rsid w:val="000A1AE5"/>
    <w:rsid w:val="000A1E3A"/>
    <w:rsid w:val="000A1E4F"/>
    <w:rsid w:val="000A2321"/>
    <w:rsid w:val="000A2C10"/>
    <w:rsid w:val="000A333E"/>
    <w:rsid w:val="000A3A87"/>
    <w:rsid w:val="000A3AC0"/>
    <w:rsid w:val="000A3D7A"/>
    <w:rsid w:val="000A3E88"/>
    <w:rsid w:val="000A4009"/>
    <w:rsid w:val="000A4B79"/>
    <w:rsid w:val="000A5114"/>
    <w:rsid w:val="000A54F4"/>
    <w:rsid w:val="000A5984"/>
    <w:rsid w:val="000A6DA2"/>
    <w:rsid w:val="000A6F9D"/>
    <w:rsid w:val="000A7D79"/>
    <w:rsid w:val="000A7D80"/>
    <w:rsid w:val="000A7E43"/>
    <w:rsid w:val="000A7E76"/>
    <w:rsid w:val="000B0523"/>
    <w:rsid w:val="000B059F"/>
    <w:rsid w:val="000B0F40"/>
    <w:rsid w:val="000B2553"/>
    <w:rsid w:val="000B28F8"/>
    <w:rsid w:val="000B378A"/>
    <w:rsid w:val="000B37C1"/>
    <w:rsid w:val="000B3973"/>
    <w:rsid w:val="000B4125"/>
    <w:rsid w:val="000B44E8"/>
    <w:rsid w:val="000B45D8"/>
    <w:rsid w:val="000B4888"/>
    <w:rsid w:val="000B49D7"/>
    <w:rsid w:val="000B49EC"/>
    <w:rsid w:val="000B5641"/>
    <w:rsid w:val="000B5B74"/>
    <w:rsid w:val="000B5CB9"/>
    <w:rsid w:val="000B5EC3"/>
    <w:rsid w:val="000B61A9"/>
    <w:rsid w:val="000B73C6"/>
    <w:rsid w:val="000B7CB0"/>
    <w:rsid w:val="000B7F4E"/>
    <w:rsid w:val="000C16BB"/>
    <w:rsid w:val="000C2005"/>
    <w:rsid w:val="000C2613"/>
    <w:rsid w:val="000C2D7E"/>
    <w:rsid w:val="000C3953"/>
    <w:rsid w:val="000C3B1A"/>
    <w:rsid w:val="000C3CC9"/>
    <w:rsid w:val="000C3CF8"/>
    <w:rsid w:val="000C3DBA"/>
    <w:rsid w:val="000C3ECB"/>
    <w:rsid w:val="000C3F58"/>
    <w:rsid w:val="000C409B"/>
    <w:rsid w:val="000C4137"/>
    <w:rsid w:val="000C49D8"/>
    <w:rsid w:val="000C4EB6"/>
    <w:rsid w:val="000C52C8"/>
    <w:rsid w:val="000C555B"/>
    <w:rsid w:val="000C66B1"/>
    <w:rsid w:val="000C76B5"/>
    <w:rsid w:val="000C7929"/>
    <w:rsid w:val="000C792C"/>
    <w:rsid w:val="000C7F9B"/>
    <w:rsid w:val="000D01FD"/>
    <w:rsid w:val="000D0858"/>
    <w:rsid w:val="000D0950"/>
    <w:rsid w:val="000D0CB4"/>
    <w:rsid w:val="000D0D18"/>
    <w:rsid w:val="000D0FAF"/>
    <w:rsid w:val="000D1213"/>
    <w:rsid w:val="000D17DD"/>
    <w:rsid w:val="000D1BA9"/>
    <w:rsid w:val="000D2168"/>
    <w:rsid w:val="000D2427"/>
    <w:rsid w:val="000D2688"/>
    <w:rsid w:val="000D2707"/>
    <w:rsid w:val="000D2932"/>
    <w:rsid w:val="000D307F"/>
    <w:rsid w:val="000D4217"/>
    <w:rsid w:val="000D42F6"/>
    <w:rsid w:val="000D4661"/>
    <w:rsid w:val="000D4CD9"/>
    <w:rsid w:val="000D5932"/>
    <w:rsid w:val="000D5A25"/>
    <w:rsid w:val="000D62C2"/>
    <w:rsid w:val="000D666C"/>
    <w:rsid w:val="000D6E2F"/>
    <w:rsid w:val="000D7840"/>
    <w:rsid w:val="000D7EE2"/>
    <w:rsid w:val="000E00B5"/>
    <w:rsid w:val="000E01FE"/>
    <w:rsid w:val="000E0B29"/>
    <w:rsid w:val="000E0B5F"/>
    <w:rsid w:val="000E22D3"/>
    <w:rsid w:val="000E23CC"/>
    <w:rsid w:val="000E2F87"/>
    <w:rsid w:val="000E341F"/>
    <w:rsid w:val="000E36EE"/>
    <w:rsid w:val="000E4134"/>
    <w:rsid w:val="000E4F36"/>
    <w:rsid w:val="000E50C6"/>
    <w:rsid w:val="000E585D"/>
    <w:rsid w:val="000E58BA"/>
    <w:rsid w:val="000E5DD5"/>
    <w:rsid w:val="000E5E3B"/>
    <w:rsid w:val="000E5FEA"/>
    <w:rsid w:val="000E67F3"/>
    <w:rsid w:val="000E68D9"/>
    <w:rsid w:val="000E6960"/>
    <w:rsid w:val="000E6A72"/>
    <w:rsid w:val="000E70D2"/>
    <w:rsid w:val="000E728C"/>
    <w:rsid w:val="000E7506"/>
    <w:rsid w:val="000E7726"/>
    <w:rsid w:val="000E786D"/>
    <w:rsid w:val="000E7EBA"/>
    <w:rsid w:val="000E7F24"/>
    <w:rsid w:val="000F01AF"/>
    <w:rsid w:val="000F0847"/>
    <w:rsid w:val="000F0C3D"/>
    <w:rsid w:val="000F0F70"/>
    <w:rsid w:val="000F102C"/>
    <w:rsid w:val="000F131A"/>
    <w:rsid w:val="000F14C6"/>
    <w:rsid w:val="000F1907"/>
    <w:rsid w:val="000F1A79"/>
    <w:rsid w:val="000F266F"/>
    <w:rsid w:val="000F2886"/>
    <w:rsid w:val="000F2B39"/>
    <w:rsid w:val="000F3590"/>
    <w:rsid w:val="000F3760"/>
    <w:rsid w:val="000F384C"/>
    <w:rsid w:val="000F3BDC"/>
    <w:rsid w:val="000F5B38"/>
    <w:rsid w:val="000F5D2A"/>
    <w:rsid w:val="000F5F89"/>
    <w:rsid w:val="000F6CE3"/>
    <w:rsid w:val="000F71B3"/>
    <w:rsid w:val="000F78F6"/>
    <w:rsid w:val="000F7E52"/>
    <w:rsid w:val="001002FF"/>
    <w:rsid w:val="0010085A"/>
    <w:rsid w:val="00100D4E"/>
    <w:rsid w:val="00101AA0"/>
    <w:rsid w:val="00101B22"/>
    <w:rsid w:val="00101C28"/>
    <w:rsid w:val="0010266A"/>
    <w:rsid w:val="00102816"/>
    <w:rsid w:val="00102826"/>
    <w:rsid w:val="001038CF"/>
    <w:rsid w:val="00103A44"/>
    <w:rsid w:val="00103E1F"/>
    <w:rsid w:val="001042A2"/>
    <w:rsid w:val="00105085"/>
    <w:rsid w:val="00105708"/>
    <w:rsid w:val="00105814"/>
    <w:rsid w:val="00105B80"/>
    <w:rsid w:val="0010639C"/>
    <w:rsid w:val="00106424"/>
    <w:rsid w:val="001065B8"/>
    <w:rsid w:val="00106DCD"/>
    <w:rsid w:val="00106DF2"/>
    <w:rsid w:val="00107AD1"/>
    <w:rsid w:val="00107B31"/>
    <w:rsid w:val="00107BB1"/>
    <w:rsid w:val="00110870"/>
    <w:rsid w:val="001110FF"/>
    <w:rsid w:val="001112C9"/>
    <w:rsid w:val="001116AD"/>
    <w:rsid w:val="00111711"/>
    <w:rsid w:val="00112365"/>
    <w:rsid w:val="00113D37"/>
    <w:rsid w:val="00113DE2"/>
    <w:rsid w:val="00114085"/>
    <w:rsid w:val="001140E5"/>
    <w:rsid w:val="00114A51"/>
    <w:rsid w:val="00114DE4"/>
    <w:rsid w:val="00115809"/>
    <w:rsid w:val="00115EB0"/>
    <w:rsid w:val="001169AD"/>
    <w:rsid w:val="00116CF5"/>
    <w:rsid w:val="00116D94"/>
    <w:rsid w:val="00116DEB"/>
    <w:rsid w:val="00117541"/>
    <w:rsid w:val="001202D5"/>
    <w:rsid w:val="001209DF"/>
    <w:rsid w:val="00120D2C"/>
    <w:rsid w:val="00120DDA"/>
    <w:rsid w:val="0012187B"/>
    <w:rsid w:val="00121F9F"/>
    <w:rsid w:val="00122147"/>
    <w:rsid w:val="001221F8"/>
    <w:rsid w:val="00122999"/>
    <w:rsid w:val="00123225"/>
    <w:rsid w:val="00123515"/>
    <w:rsid w:val="00123720"/>
    <w:rsid w:val="00123741"/>
    <w:rsid w:val="0012414C"/>
    <w:rsid w:val="00124794"/>
    <w:rsid w:val="00124A24"/>
    <w:rsid w:val="00124B7B"/>
    <w:rsid w:val="00124C47"/>
    <w:rsid w:val="00124F72"/>
    <w:rsid w:val="00124FE9"/>
    <w:rsid w:val="00125497"/>
    <w:rsid w:val="001256CD"/>
    <w:rsid w:val="00125F4F"/>
    <w:rsid w:val="00126758"/>
    <w:rsid w:val="00126B23"/>
    <w:rsid w:val="00126B2B"/>
    <w:rsid w:val="00126FD4"/>
    <w:rsid w:val="001303D8"/>
    <w:rsid w:val="001306EA"/>
    <w:rsid w:val="00130CD3"/>
    <w:rsid w:val="00131D9F"/>
    <w:rsid w:val="00131E37"/>
    <w:rsid w:val="00132155"/>
    <w:rsid w:val="00132CA0"/>
    <w:rsid w:val="00132FCE"/>
    <w:rsid w:val="001331CB"/>
    <w:rsid w:val="001333DE"/>
    <w:rsid w:val="00133908"/>
    <w:rsid w:val="00133AE8"/>
    <w:rsid w:val="00134080"/>
    <w:rsid w:val="00134345"/>
    <w:rsid w:val="00134679"/>
    <w:rsid w:val="0013471A"/>
    <w:rsid w:val="00134752"/>
    <w:rsid w:val="001347B9"/>
    <w:rsid w:val="00134FE0"/>
    <w:rsid w:val="00135414"/>
    <w:rsid w:val="00136771"/>
    <w:rsid w:val="00136E8C"/>
    <w:rsid w:val="001377BC"/>
    <w:rsid w:val="001378B5"/>
    <w:rsid w:val="00137A4C"/>
    <w:rsid w:val="00137E18"/>
    <w:rsid w:val="00137EFD"/>
    <w:rsid w:val="00140B1B"/>
    <w:rsid w:val="00140DFA"/>
    <w:rsid w:val="00140FF9"/>
    <w:rsid w:val="0014120A"/>
    <w:rsid w:val="001414C7"/>
    <w:rsid w:val="001416D5"/>
    <w:rsid w:val="00141F73"/>
    <w:rsid w:val="00143516"/>
    <w:rsid w:val="00143EF2"/>
    <w:rsid w:val="0014413F"/>
    <w:rsid w:val="001443E1"/>
    <w:rsid w:val="00144673"/>
    <w:rsid w:val="00144A2C"/>
    <w:rsid w:val="00144C31"/>
    <w:rsid w:val="00144D7E"/>
    <w:rsid w:val="001450CF"/>
    <w:rsid w:val="00145573"/>
    <w:rsid w:val="00145687"/>
    <w:rsid w:val="0014586F"/>
    <w:rsid w:val="00145F27"/>
    <w:rsid w:val="0014658E"/>
    <w:rsid w:val="00146668"/>
    <w:rsid w:val="0014694B"/>
    <w:rsid w:val="00146990"/>
    <w:rsid w:val="00146BC9"/>
    <w:rsid w:val="001473C1"/>
    <w:rsid w:val="0014752D"/>
    <w:rsid w:val="001475A1"/>
    <w:rsid w:val="00147615"/>
    <w:rsid w:val="0015012B"/>
    <w:rsid w:val="0015149F"/>
    <w:rsid w:val="001521E5"/>
    <w:rsid w:val="00152642"/>
    <w:rsid w:val="00152C07"/>
    <w:rsid w:val="00152C9A"/>
    <w:rsid w:val="00153270"/>
    <w:rsid w:val="001533C0"/>
    <w:rsid w:val="00153476"/>
    <w:rsid w:val="00153C72"/>
    <w:rsid w:val="00153D08"/>
    <w:rsid w:val="00153E68"/>
    <w:rsid w:val="00153EA4"/>
    <w:rsid w:val="001541EC"/>
    <w:rsid w:val="00154349"/>
    <w:rsid w:val="00154D16"/>
    <w:rsid w:val="00155786"/>
    <w:rsid w:val="001563F2"/>
    <w:rsid w:val="00156877"/>
    <w:rsid w:val="001568DF"/>
    <w:rsid w:val="00156A6D"/>
    <w:rsid w:val="001570EF"/>
    <w:rsid w:val="0015764F"/>
    <w:rsid w:val="0015779C"/>
    <w:rsid w:val="00157CE4"/>
    <w:rsid w:val="00160C44"/>
    <w:rsid w:val="00160C4B"/>
    <w:rsid w:val="00160CF0"/>
    <w:rsid w:val="0016102E"/>
    <w:rsid w:val="001611B3"/>
    <w:rsid w:val="00161F31"/>
    <w:rsid w:val="001623F1"/>
    <w:rsid w:val="00162680"/>
    <w:rsid w:val="00162805"/>
    <w:rsid w:val="001639E4"/>
    <w:rsid w:val="00163EC6"/>
    <w:rsid w:val="00163F3E"/>
    <w:rsid w:val="0016427B"/>
    <w:rsid w:val="001645F5"/>
    <w:rsid w:val="001647A0"/>
    <w:rsid w:val="00164800"/>
    <w:rsid w:val="00164916"/>
    <w:rsid w:val="00164EF4"/>
    <w:rsid w:val="00165704"/>
    <w:rsid w:val="0016599F"/>
    <w:rsid w:val="00166368"/>
    <w:rsid w:val="001666FB"/>
    <w:rsid w:val="00166B93"/>
    <w:rsid w:val="00167C7D"/>
    <w:rsid w:val="00167EDD"/>
    <w:rsid w:val="00170119"/>
    <w:rsid w:val="00170142"/>
    <w:rsid w:val="00170693"/>
    <w:rsid w:val="001708D9"/>
    <w:rsid w:val="001709AD"/>
    <w:rsid w:val="00171382"/>
    <w:rsid w:val="00171552"/>
    <w:rsid w:val="001716E7"/>
    <w:rsid w:val="0017170D"/>
    <w:rsid w:val="00171EF6"/>
    <w:rsid w:val="0017219D"/>
    <w:rsid w:val="00172559"/>
    <w:rsid w:val="001728E8"/>
    <w:rsid w:val="00172A15"/>
    <w:rsid w:val="00172FBE"/>
    <w:rsid w:val="001736DD"/>
    <w:rsid w:val="00173855"/>
    <w:rsid w:val="00173F6E"/>
    <w:rsid w:val="00174377"/>
    <w:rsid w:val="00174D14"/>
    <w:rsid w:val="00174EE4"/>
    <w:rsid w:val="001752FC"/>
    <w:rsid w:val="00175313"/>
    <w:rsid w:val="00175498"/>
    <w:rsid w:val="001754A9"/>
    <w:rsid w:val="00175892"/>
    <w:rsid w:val="001760E9"/>
    <w:rsid w:val="0017612E"/>
    <w:rsid w:val="0017661B"/>
    <w:rsid w:val="001768E2"/>
    <w:rsid w:val="00176B6E"/>
    <w:rsid w:val="001770A4"/>
    <w:rsid w:val="001770BE"/>
    <w:rsid w:val="00177942"/>
    <w:rsid w:val="00177A09"/>
    <w:rsid w:val="00177E12"/>
    <w:rsid w:val="00177E83"/>
    <w:rsid w:val="001800B8"/>
    <w:rsid w:val="00180462"/>
    <w:rsid w:val="00180C64"/>
    <w:rsid w:val="00180ED1"/>
    <w:rsid w:val="0018102A"/>
    <w:rsid w:val="00181428"/>
    <w:rsid w:val="00181796"/>
    <w:rsid w:val="001817FE"/>
    <w:rsid w:val="0018285B"/>
    <w:rsid w:val="00182C0F"/>
    <w:rsid w:val="00183261"/>
    <w:rsid w:val="001837E2"/>
    <w:rsid w:val="001838ED"/>
    <w:rsid w:val="00183A5E"/>
    <w:rsid w:val="00184763"/>
    <w:rsid w:val="00184AB4"/>
    <w:rsid w:val="00185D8B"/>
    <w:rsid w:val="0018703B"/>
    <w:rsid w:val="001871CB"/>
    <w:rsid w:val="00187421"/>
    <w:rsid w:val="00187C37"/>
    <w:rsid w:val="0019062B"/>
    <w:rsid w:val="00191451"/>
    <w:rsid w:val="0019148B"/>
    <w:rsid w:val="00191668"/>
    <w:rsid w:val="00191763"/>
    <w:rsid w:val="0019216E"/>
    <w:rsid w:val="0019246F"/>
    <w:rsid w:val="00192EFE"/>
    <w:rsid w:val="00193BF8"/>
    <w:rsid w:val="00193CBE"/>
    <w:rsid w:val="00193E14"/>
    <w:rsid w:val="00194887"/>
    <w:rsid w:val="00194FEE"/>
    <w:rsid w:val="001954A8"/>
    <w:rsid w:val="00195984"/>
    <w:rsid w:val="00195E78"/>
    <w:rsid w:val="00196283"/>
    <w:rsid w:val="00197550"/>
    <w:rsid w:val="00197D90"/>
    <w:rsid w:val="001A038F"/>
    <w:rsid w:val="001A0731"/>
    <w:rsid w:val="001A0853"/>
    <w:rsid w:val="001A09FA"/>
    <w:rsid w:val="001A0E1F"/>
    <w:rsid w:val="001A0E6D"/>
    <w:rsid w:val="001A105F"/>
    <w:rsid w:val="001A10CF"/>
    <w:rsid w:val="001A17E6"/>
    <w:rsid w:val="001A1DE3"/>
    <w:rsid w:val="001A20FB"/>
    <w:rsid w:val="001A2CAA"/>
    <w:rsid w:val="001A2F7B"/>
    <w:rsid w:val="001A31DE"/>
    <w:rsid w:val="001A3ADA"/>
    <w:rsid w:val="001A4750"/>
    <w:rsid w:val="001A47FC"/>
    <w:rsid w:val="001A4CC9"/>
    <w:rsid w:val="001A50C6"/>
    <w:rsid w:val="001A54EC"/>
    <w:rsid w:val="001A56C8"/>
    <w:rsid w:val="001A57ED"/>
    <w:rsid w:val="001A58AC"/>
    <w:rsid w:val="001A59EF"/>
    <w:rsid w:val="001A608F"/>
    <w:rsid w:val="001A64ED"/>
    <w:rsid w:val="001A6827"/>
    <w:rsid w:val="001A6B26"/>
    <w:rsid w:val="001A6BDA"/>
    <w:rsid w:val="001A7737"/>
    <w:rsid w:val="001A7EA1"/>
    <w:rsid w:val="001B0684"/>
    <w:rsid w:val="001B0FE7"/>
    <w:rsid w:val="001B22E2"/>
    <w:rsid w:val="001B276F"/>
    <w:rsid w:val="001B2A99"/>
    <w:rsid w:val="001B2F47"/>
    <w:rsid w:val="001B38D4"/>
    <w:rsid w:val="001B418E"/>
    <w:rsid w:val="001B4D6D"/>
    <w:rsid w:val="001B4EBA"/>
    <w:rsid w:val="001B51E0"/>
    <w:rsid w:val="001B5A0A"/>
    <w:rsid w:val="001B5C53"/>
    <w:rsid w:val="001B61CB"/>
    <w:rsid w:val="001B633D"/>
    <w:rsid w:val="001B6BFE"/>
    <w:rsid w:val="001B6C27"/>
    <w:rsid w:val="001B7125"/>
    <w:rsid w:val="001B7133"/>
    <w:rsid w:val="001B71E1"/>
    <w:rsid w:val="001B7421"/>
    <w:rsid w:val="001B7615"/>
    <w:rsid w:val="001B7A9E"/>
    <w:rsid w:val="001C025C"/>
    <w:rsid w:val="001C0615"/>
    <w:rsid w:val="001C0908"/>
    <w:rsid w:val="001C09C3"/>
    <w:rsid w:val="001C1137"/>
    <w:rsid w:val="001C11B0"/>
    <w:rsid w:val="001C1436"/>
    <w:rsid w:val="001C1498"/>
    <w:rsid w:val="001C244C"/>
    <w:rsid w:val="001C2543"/>
    <w:rsid w:val="001C2591"/>
    <w:rsid w:val="001C2900"/>
    <w:rsid w:val="001C2EDD"/>
    <w:rsid w:val="001C2FA7"/>
    <w:rsid w:val="001C30AD"/>
    <w:rsid w:val="001C32C6"/>
    <w:rsid w:val="001C3F33"/>
    <w:rsid w:val="001C413A"/>
    <w:rsid w:val="001C41C3"/>
    <w:rsid w:val="001C41E6"/>
    <w:rsid w:val="001C45B4"/>
    <w:rsid w:val="001C4DF2"/>
    <w:rsid w:val="001C5308"/>
    <w:rsid w:val="001C59DB"/>
    <w:rsid w:val="001C59F8"/>
    <w:rsid w:val="001C5D09"/>
    <w:rsid w:val="001C6172"/>
    <w:rsid w:val="001C692F"/>
    <w:rsid w:val="001C7C50"/>
    <w:rsid w:val="001C7C6A"/>
    <w:rsid w:val="001D00AD"/>
    <w:rsid w:val="001D0299"/>
    <w:rsid w:val="001D088C"/>
    <w:rsid w:val="001D0962"/>
    <w:rsid w:val="001D0A06"/>
    <w:rsid w:val="001D0A0F"/>
    <w:rsid w:val="001D0EDE"/>
    <w:rsid w:val="001D1A87"/>
    <w:rsid w:val="001D23A4"/>
    <w:rsid w:val="001D2460"/>
    <w:rsid w:val="001D2A0C"/>
    <w:rsid w:val="001D2C3C"/>
    <w:rsid w:val="001D31CD"/>
    <w:rsid w:val="001D3219"/>
    <w:rsid w:val="001D3276"/>
    <w:rsid w:val="001D3DE3"/>
    <w:rsid w:val="001D4754"/>
    <w:rsid w:val="001D4AB3"/>
    <w:rsid w:val="001D4BC6"/>
    <w:rsid w:val="001D4DE4"/>
    <w:rsid w:val="001D54A0"/>
    <w:rsid w:val="001D5661"/>
    <w:rsid w:val="001D5851"/>
    <w:rsid w:val="001D612C"/>
    <w:rsid w:val="001D718D"/>
    <w:rsid w:val="001D77FA"/>
    <w:rsid w:val="001D7EFC"/>
    <w:rsid w:val="001D7FDF"/>
    <w:rsid w:val="001E01E2"/>
    <w:rsid w:val="001E029E"/>
    <w:rsid w:val="001E0EEE"/>
    <w:rsid w:val="001E10DC"/>
    <w:rsid w:val="001E1BDB"/>
    <w:rsid w:val="001E1D1E"/>
    <w:rsid w:val="001E1F03"/>
    <w:rsid w:val="001E23B0"/>
    <w:rsid w:val="001E25A3"/>
    <w:rsid w:val="001E316B"/>
    <w:rsid w:val="001E3331"/>
    <w:rsid w:val="001E35E4"/>
    <w:rsid w:val="001E39AA"/>
    <w:rsid w:val="001E3CB2"/>
    <w:rsid w:val="001E47F6"/>
    <w:rsid w:val="001E4A0C"/>
    <w:rsid w:val="001E4B73"/>
    <w:rsid w:val="001E50D5"/>
    <w:rsid w:val="001E5195"/>
    <w:rsid w:val="001E5FFC"/>
    <w:rsid w:val="001E628F"/>
    <w:rsid w:val="001E6528"/>
    <w:rsid w:val="001E6731"/>
    <w:rsid w:val="001E69E0"/>
    <w:rsid w:val="001E6C22"/>
    <w:rsid w:val="001E6D5B"/>
    <w:rsid w:val="001E76B4"/>
    <w:rsid w:val="001E76B8"/>
    <w:rsid w:val="001F0CD6"/>
    <w:rsid w:val="001F0EA9"/>
    <w:rsid w:val="001F15D9"/>
    <w:rsid w:val="001F1B30"/>
    <w:rsid w:val="001F247A"/>
    <w:rsid w:val="001F2702"/>
    <w:rsid w:val="001F2979"/>
    <w:rsid w:val="001F2D22"/>
    <w:rsid w:val="001F31BF"/>
    <w:rsid w:val="001F3BF8"/>
    <w:rsid w:val="001F3FF3"/>
    <w:rsid w:val="001F4155"/>
    <w:rsid w:val="001F46BB"/>
    <w:rsid w:val="001F541A"/>
    <w:rsid w:val="001F5BC1"/>
    <w:rsid w:val="001F5F93"/>
    <w:rsid w:val="001F5FE4"/>
    <w:rsid w:val="001F6791"/>
    <w:rsid w:val="001F6B70"/>
    <w:rsid w:val="001F6FE3"/>
    <w:rsid w:val="001F75CA"/>
    <w:rsid w:val="001F78DD"/>
    <w:rsid w:val="001F7BAA"/>
    <w:rsid w:val="001F7DFC"/>
    <w:rsid w:val="001F7E84"/>
    <w:rsid w:val="00200647"/>
    <w:rsid w:val="002007CB"/>
    <w:rsid w:val="00200A3E"/>
    <w:rsid w:val="00200BFD"/>
    <w:rsid w:val="00200CB2"/>
    <w:rsid w:val="00200D9F"/>
    <w:rsid w:val="0020106B"/>
    <w:rsid w:val="0020135E"/>
    <w:rsid w:val="00201511"/>
    <w:rsid w:val="00201D2F"/>
    <w:rsid w:val="00202090"/>
    <w:rsid w:val="0020216F"/>
    <w:rsid w:val="00202316"/>
    <w:rsid w:val="002032C1"/>
    <w:rsid w:val="002035B1"/>
    <w:rsid w:val="002038BD"/>
    <w:rsid w:val="00203A07"/>
    <w:rsid w:val="00203B1E"/>
    <w:rsid w:val="00203C65"/>
    <w:rsid w:val="00204739"/>
    <w:rsid w:val="00204E6E"/>
    <w:rsid w:val="002052AA"/>
    <w:rsid w:val="00205B4D"/>
    <w:rsid w:val="002069AA"/>
    <w:rsid w:val="002070EA"/>
    <w:rsid w:val="00207A24"/>
    <w:rsid w:val="002101BE"/>
    <w:rsid w:val="002104EC"/>
    <w:rsid w:val="0021074E"/>
    <w:rsid w:val="00210ECA"/>
    <w:rsid w:val="00211FAA"/>
    <w:rsid w:val="002121C0"/>
    <w:rsid w:val="00212238"/>
    <w:rsid w:val="00212BC4"/>
    <w:rsid w:val="00212C9A"/>
    <w:rsid w:val="00212F43"/>
    <w:rsid w:val="00213656"/>
    <w:rsid w:val="002137FA"/>
    <w:rsid w:val="0021397C"/>
    <w:rsid w:val="002139A2"/>
    <w:rsid w:val="002145AD"/>
    <w:rsid w:val="00214758"/>
    <w:rsid w:val="00214933"/>
    <w:rsid w:val="00214A55"/>
    <w:rsid w:val="00214B30"/>
    <w:rsid w:val="00215C19"/>
    <w:rsid w:val="00215E57"/>
    <w:rsid w:val="00216019"/>
    <w:rsid w:val="00216643"/>
    <w:rsid w:val="002166CA"/>
    <w:rsid w:val="0021707D"/>
    <w:rsid w:val="0021767B"/>
    <w:rsid w:val="0021796A"/>
    <w:rsid w:val="00217AA9"/>
    <w:rsid w:val="002201D2"/>
    <w:rsid w:val="0022043A"/>
    <w:rsid w:val="00220AE8"/>
    <w:rsid w:val="00220D52"/>
    <w:rsid w:val="00220D74"/>
    <w:rsid w:val="00221089"/>
    <w:rsid w:val="002217C9"/>
    <w:rsid w:val="00221854"/>
    <w:rsid w:val="00221A0E"/>
    <w:rsid w:val="00221C4D"/>
    <w:rsid w:val="00222083"/>
    <w:rsid w:val="0022226A"/>
    <w:rsid w:val="002223E5"/>
    <w:rsid w:val="002226DE"/>
    <w:rsid w:val="00222934"/>
    <w:rsid w:val="00222A9F"/>
    <w:rsid w:val="00223178"/>
    <w:rsid w:val="00223454"/>
    <w:rsid w:val="00223558"/>
    <w:rsid w:val="00224186"/>
    <w:rsid w:val="002241F9"/>
    <w:rsid w:val="002246E5"/>
    <w:rsid w:val="00224CFF"/>
    <w:rsid w:val="00225774"/>
    <w:rsid w:val="002257B7"/>
    <w:rsid w:val="00225AE8"/>
    <w:rsid w:val="0022601B"/>
    <w:rsid w:val="0022636E"/>
    <w:rsid w:val="00226580"/>
    <w:rsid w:val="002267F4"/>
    <w:rsid w:val="00226A1D"/>
    <w:rsid w:val="00230378"/>
    <w:rsid w:val="0023046D"/>
    <w:rsid w:val="00230797"/>
    <w:rsid w:val="00230C73"/>
    <w:rsid w:val="002311BD"/>
    <w:rsid w:val="002314AE"/>
    <w:rsid w:val="00231B32"/>
    <w:rsid w:val="00232973"/>
    <w:rsid w:val="00232D1B"/>
    <w:rsid w:val="00233D29"/>
    <w:rsid w:val="0023408C"/>
    <w:rsid w:val="0023408F"/>
    <w:rsid w:val="002340D6"/>
    <w:rsid w:val="00234152"/>
    <w:rsid w:val="00234180"/>
    <w:rsid w:val="002343BE"/>
    <w:rsid w:val="00234455"/>
    <w:rsid w:val="0023528D"/>
    <w:rsid w:val="00236E44"/>
    <w:rsid w:val="00237539"/>
    <w:rsid w:val="002377F0"/>
    <w:rsid w:val="00237969"/>
    <w:rsid w:val="00240007"/>
    <w:rsid w:val="002400B9"/>
    <w:rsid w:val="00240486"/>
    <w:rsid w:val="002404CC"/>
    <w:rsid w:val="00240ACB"/>
    <w:rsid w:val="002410B4"/>
    <w:rsid w:val="002417CD"/>
    <w:rsid w:val="00241D6E"/>
    <w:rsid w:val="002423E3"/>
    <w:rsid w:val="0024248F"/>
    <w:rsid w:val="002425DA"/>
    <w:rsid w:val="00242861"/>
    <w:rsid w:val="00242D15"/>
    <w:rsid w:val="00243653"/>
    <w:rsid w:val="00243719"/>
    <w:rsid w:val="00243AE0"/>
    <w:rsid w:val="00243B2F"/>
    <w:rsid w:val="00243D8C"/>
    <w:rsid w:val="00243F41"/>
    <w:rsid w:val="00243FFF"/>
    <w:rsid w:val="00244185"/>
    <w:rsid w:val="0024420F"/>
    <w:rsid w:val="00244292"/>
    <w:rsid w:val="002449BD"/>
    <w:rsid w:val="00244CA3"/>
    <w:rsid w:val="00244E55"/>
    <w:rsid w:val="00245171"/>
    <w:rsid w:val="0024533F"/>
    <w:rsid w:val="0024579D"/>
    <w:rsid w:val="00245A6D"/>
    <w:rsid w:val="00245AFE"/>
    <w:rsid w:val="002467EF"/>
    <w:rsid w:val="00246880"/>
    <w:rsid w:val="00246D47"/>
    <w:rsid w:val="00246F6E"/>
    <w:rsid w:val="00246FA4"/>
    <w:rsid w:val="002513EC"/>
    <w:rsid w:val="0025195C"/>
    <w:rsid w:val="00251987"/>
    <w:rsid w:val="002519C7"/>
    <w:rsid w:val="00252025"/>
    <w:rsid w:val="00252721"/>
    <w:rsid w:val="00253944"/>
    <w:rsid w:val="00253961"/>
    <w:rsid w:val="00253D51"/>
    <w:rsid w:val="002540F8"/>
    <w:rsid w:val="00254A23"/>
    <w:rsid w:val="00254AA7"/>
    <w:rsid w:val="00254DB5"/>
    <w:rsid w:val="00255788"/>
    <w:rsid w:val="002558F7"/>
    <w:rsid w:val="0025594C"/>
    <w:rsid w:val="00256348"/>
    <w:rsid w:val="0025666B"/>
    <w:rsid w:val="002567EF"/>
    <w:rsid w:val="00257393"/>
    <w:rsid w:val="0025751D"/>
    <w:rsid w:val="00257665"/>
    <w:rsid w:val="00257D08"/>
    <w:rsid w:val="0026021C"/>
    <w:rsid w:val="00260651"/>
    <w:rsid w:val="00260CA1"/>
    <w:rsid w:val="00260D3C"/>
    <w:rsid w:val="00260D82"/>
    <w:rsid w:val="00260DD2"/>
    <w:rsid w:val="0026122B"/>
    <w:rsid w:val="002618A7"/>
    <w:rsid w:val="00261F37"/>
    <w:rsid w:val="00262006"/>
    <w:rsid w:val="0026267C"/>
    <w:rsid w:val="0026284B"/>
    <w:rsid w:val="00262AC0"/>
    <w:rsid w:val="00262FE2"/>
    <w:rsid w:val="00263199"/>
    <w:rsid w:val="0026323A"/>
    <w:rsid w:val="0026335D"/>
    <w:rsid w:val="00263740"/>
    <w:rsid w:val="0026381D"/>
    <w:rsid w:val="0026485D"/>
    <w:rsid w:val="00264BC0"/>
    <w:rsid w:val="00264E10"/>
    <w:rsid w:val="002652C9"/>
    <w:rsid w:val="002659AD"/>
    <w:rsid w:val="00265E1B"/>
    <w:rsid w:val="002660A5"/>
    <w:rsid w:val="00266297"/>
    <w:rsid w:val="0026672A"/>
    <w:rsid w:val="00266AF4"/>
    <w:rsid w:val="00266F34"/>
    <w:rsid w:val="002671A6"/>
    <w:rsid w:val="002675A3"/>
    <w:rsid w:val="002675E0"/>
    <w:rsid w:val="002677F1"/>
    <w:rsid w:val="00267A50"/>
    <w:rsid w:val="00267E11"/>
    <w:rsid w:val="002702EB"/>
    <w:rsid w:val="002708CE"/>
    <w:rsid w:val="002716DC"/>
    <w:rsid w:val="002718D9"/>
    <w:rsid w:val="002726BB"/>
    <w:rsid w:val="00272BFF"/>
    <w:rsid w:val="00272CC1"/>
    <w:rsid w:val="00273288"/>
    <w:rsid w:val="002733D6"/>
    <w:rsid w:val="00273622"/>
    <w:rsid w:val="002739D6"/>
    <w:rsid w:val="00273DDF"/>
    <w:rsid w:val="00274043"/>
    <w:rsid w:val="00274F90"/>
    <w:rsid w:val="002759B8"/>
    <w:rsid w:val="00275AFA"/>
    <w:rsid w:val="00275D0C"/>
    <w:rsid w:val="00275DB9"/>
    <w:rsid w:val="00275E6A"/>
    <w:rsid w:val="002763F8"/>
    <w:rsid w:val="00276421"/>
    <w:rsid w:val="002764EE"/>
    <w:rsid w:val="00276D23"/>
    <w:rsid w:val="00280138"/>
    <w:rsid w:val="0028030B"/>
    <w:rsid w:val="00280BDC"/>
    <w:rsid w:val="00280E2D"/>
    <w:rsid w:val="00281074"/>
    <w:rsid w:val="002818EA"/>
    <w:rsid w:val="00281C5E"/>
    <w:rsid w:val="002827B3"/>
    <w:rsid w:val="002828AA"/>
    <w:rsid w:val="00283398"/>
    <w:rsid w:val="0028352B"/>
    <w:rsid w:val="002836D2"/>
    <w:rsid w:val="00283AF3"/>
    <w:rsid w:val="00283CA6"/>
    <w:rsid w:val="00283D6A"/>
    <w:rsid w:val="00283E5C"/>
    <w:rsid w:val="0028428E"/>
    <w:rsid w:val="00284DE1"/>
    <w:rsid w:val="00285368"/>
    <w:rsid w:val="00285704"/>
    <w:rsid w:val="0028580E"/>
    <w:rsid w:val="00285851"/>
    <w:rsid w:val="00285C56"/>
    <w:rsid w:val="00286158"/>
    <w:rsid w:val="00286473"/>
    <w:rsid w:val="002864B5"/>
    <w:rsid w:val="00286561"/>
    <w:rsid w:val="00286C38"/>
    <w:rsid w:val="002871C2"/>
    <w:rsid w:val="00287A68"/>
    <w:rsid w:val="00290187"/>
    <w:rsid w:val="002902EC"/>
    <w:rsid w:val="0029039A"/>
    <w:rsid w:val="0029053D"/>
    <w:rsid w:val="00290677"/>
    <w:rsid w:val="00290C70"/>
    <w:rsid w:val="00290F90"/>
    <w:rsid w:val="00291496"/>
    <w:rsid w:val="00292098"/>
    <w:rsid w:val="00292D61"/>
    <w:rsid w:val="00293ADE"/>
    <w:rsid w:val="00293E04"/>
    <w:rsid w:val="00293EE3"/>
    <w:rsid w:val="0029410D"/>
    <w:rsid w:val="00294366"/>
    <w:rsid w:val="002947F1"/>
    <w:rsid w:val="00294AD0"/>
    <w:rsid w:val="002955B8"/>
    <w:rsid w:val="00295834"/>
    <w:rsid w:val="002966B6"/>
    <w:rsid w:val="00296BD8"/>
    <w:rsid w:val="00296C1F"/>
    <w:rsid w:val="00296C97"/>
    <w:rsid w:val="00296CEB"/>
    <w:rsid w:val="00296F74"/>
    <w:rsid w:val="002977B3"/>
    <w:rsid w:val="002A0177"/>
    <w:rsid w:val="002A0390"/>
    <w:rsid w:val="002A0783"/>
    <w:rsid w:val="002A0798"/>
    <w:rsid w:val="002A0C8A"/>
    <w:rsid w:val="002A101C"/>
    <w:rsid w:val="002A1700"/>
    <w:rsid w:val="002A170C"/>
    <w:rsid w:val="002A1864"/>
    <w:rsid w:val="002A2922"/>
    <w:rsid w:val="002A2A70"/>
    <w:rsid w:val="002A2CD9"/>
    <w:rsid w:val="002A36AB"/>
    <w:rsid w:val="002A3BFC"/>
    <w:rsid w:val="002A4792"/>
    <w:rsid w:val="002A4800"/>
    <w:rsid w:val="002A4D9A"/>
    <w:rsid w:val="002A4EA9"/>
    <w:rsid w:val="002A55DF"/>
    <w:rsid w:val="002A56AF"/>
    <w:rsid w:val="002A5C5E"/>
    <w:rsid w:val="002A5F31"/>
    <w:rsid w:val="002A65B7"/>
    <w:rsid w:val="002A6D1E"/>
    <w:rsid w:val="002A6D57"/>
    <w:rsid w:val="002A6D75"/>
    <w:rsid w:val="002A709B"/>
    <w:rsid w:val="002A78AD"/>
    <w:rsid w:val="002B0234"/>
    <w:rsid w:val="002B08FA"/>
    <w:rsid w:val="002B0AAE"/>
    <w:rsid w:val="002B0AB2"/>
    <w:rsid w:val="002B0B6A"/>
    <w:rsid w:val="002B0CF4"/>
    <w:rsid w:val="002B15FD"/>
    <w:rsid w:val="002B1BCC"/>
    <w:rsid w:val="002B2425"/>
    <w:rsid w:val="002B2E11"/>
    <w:rsid w:val="002B2EC4"/>
    <w:rsid w:val="002B2F63"/>
    <w:rsid w:val="002B333C"/>
    <w:rsid w:val="002B39F5"/>
    <w:rsid w:val="002B47E3"/>
    <w:rsid w:val="002B4B90"/>
    <w:rsid w:val="002B4E7D"/>
    <w:rsid w:val="002B4EC0"/>
    <w:rsid w:val="002B556C"/>
    <w:rsid w:val="002B5C3F"/>
    <w:rsid w:val="002B5C8E"/>
    <w:rsid w:val="002B5DA2"/>
    <w:rsid w:val="002B670D"/>
    <w:rsid w:val="002B6CE8"/>
    <w:rsid w:val="002B7067"/>
    <w:rsid w:val="002B72C4"/>
    <w:rsid w:val="002B7980"/>
    <w:rsid w:val="002B79CC"/>
    <w:rsid w:val="002B7E87"/>
    <w:rsid w:val="002C018D"/>
    <w:rsid w:val="002C0666"/>
    <w:rsid w:val="002C170A"/>
    <w:rsid w:val="002C1F0B"/>
    <w:rsid w:val="002C1FF5"/>
    <w:rsid w:val="002C2095"/>
    <w:rsid w:val="002C2443"/>
    <w:rsid w:val="002C280D"/>
    <w:rsid w:val="002C3131"/>
    <w:rsid w:val="002C417E"/>
    <w:rsid w:val="002C424F"/>
    <w:rsid w:val="002C4743"/>
    <w:rsid w:val="002C4DA2"/>
    <w:rsid w:val="002C523E"/>
    <w:rsid w:val="002C5A6D"/>
    <w:rsid w:val="002C5D23"/>
    <w:rsid w:val="002C5F1B"/>
    <w:rsid w:val="002C61C7"/>
    <w:rsid w:val="002C66A6"/>
    <w:rsid w:val="002C6A68"/>
    <w:rsid w:val="002C73BF"/>
    <w:rsid w:val="002C7F18"/>
    <w:rsid w:val="002C7FFB"/>
    <w:rsid w:val="002D029D"/>
    <w:rsid w:val="002D0451"/>
    <w:rsid w:val="002D0781"/>
    <w:rsid w:val="002D083C"/>
    <w:rsid w:val="002D09E5"/>
    <w:rsid w:val="002D0BDD"/>
    <w:rsid w:val="002D0D9A"/>
    <w:rsid w:val="002D1062"/>
    <w:rsid w:val="002D1325"/>
    <w:rsid w:val="002D14AA"/>
    <w:rsid w:val="002D1E03"/>
    <w:rsid w:val="002D267B"/>
    <w:rsid w:val="002D3D1D"/>
    <w:rsid w:val="002D475D"/>
    <w:rsid w:val="002D502D"/>
    <w:rsid w:val="002D5478"/>
    <w:rsid w:val="002D6351"/>
    <w:rsid w:val="002D675E"/>
    <w:rsid w:val="002D678D"/>
    <w:rsid w:val="002D6F1F"/>
    <w:rsid w:val="002D6F76"/>
    <w:rsid w:val="002D74F9"/>
    <w:rsid w:val="002D7954"/>
    <w:rsid w:val="002E00CF"/>
    <w:rsid w:val="002E012D"/>
    <w:rsid w:val="002E025D"/>
    <w:rsid w:val="002E0368"/>
    <w:rsid w:val="002E10B8"/>
    <w:rsid w:val="002E1623"/>
    <w:rsid w:val="002E18F6"/>
    <w:rsid w:val="002E1A00"/>
    <w:rsid w:val="002E2698"/>
    <w:rsid w:val="002E2716"/>
    <w:rsid w:val="002E2AFB"/>
    <w:rsid w:val="002E2B61"/>
    <w:rsid w:val="002E2DE9"/>
    <w:rsid w:val="002E3715"/>
    <w:rsid w:val="002E3863"/>
    <w:rsid w:val="002E3DB0"/>
    <w:rsid w:val="002E5040"/>
    <w:rsid w:val="002E5444"/>
    <w:rsid w:val="002E586D"/>
    <w:rsid w:val="002E69F2"/>
    <w:rsid w:val="002E6D44"/>
    <w:rsid w:val="002E7120"/>
    <w:rsid w:val="002E7687"/>
    <w:rsid w:val="002E76C3"/>
    <w:rsid w:val="002F102D"/>
    <w:rsid w:val="002F19A2"/>
    <w:rsid w:val="002F1EC7"/>
    <w:rsid w:val="002F1FEB"/>
    <w:rsid w:val="002F31DF"/>
    <w:rsid w:val="002F33D6"/>
    <w:rsid w:val="002F352B"/>
    <w:rsid w:val="002F3B20"/>
    <w:rsid w:val="002F449E"/>
    <w:rsid w:val="002F47F7"/>
    <w:rsid w:val="002F492D"/>
    <w:rsid w:val="002F4987"/>
    <w:rsid w:val="002F4E99"/>
    <w:rsid w:val="002F54E8"/>
    <w:rsid w:val="002F60BD"/>
    <w:rsid w:val="002F6392"/>
    <w:rsid w:val="002F64AA"/>
    <w:rsid w:val="002F6FC8"/>
    <w:rsid w:val="002F6FE1"/>
    <w:rsid w:val="002F702F"/>
    <w:rsid w:val="002F721F"/>
    <w:rsid w:val="002F74BC"/>
    <w:rsid w:val="002F7510"/>
    <w:rsid w:val="002F7CA7"/>
    <w:rsid w:val="002F7F51"/>
    <w:rsid w:val="003012AD"/>
    <w:rsid w:val="00301B13"/>
    <w:rsid w:val="00301B5A"/>
    <w:rsid w:val="00301FE2"/>
    <w:rsid w:val="003020C6"/>
    <w:rsid w:val="00303599"/>
    <w:rsid w:val="00303614"/>
    <w:rsid w:val="003036FB"/>
    <w:rsid w:val="00303A9E"/>
    <w:rsid w:val="00303EB0"/>
    <w:rsid w:val="00304138"/>
    <w:rsid w:val="003042DE"/>
    <w:rsid w:val="003044AA"/>
    <w:rsid w:val="003045A3"/>
    <w:rsid w:val="0030492B"/>
    <w:rsid w:val="00305066"/>
    <w:rsid w:val="00305414"/>
    <w:rsid w:val="00305444"/>
    <w:rsid w:val="00305636"/>
    <w:rsid w:val="00306215"/>
    <w:rsid w:val="00306369"/>
    <w:rsid w:val="00306D47"/>
    <w:rsid w:val="00306DC5"/>
    <w:rsid w:val="00307385"/>
    <w:rsid w:val="0030758D"/>
    <w:rsid w:val="0030798A"/>
    <w:rsid w:val="003108D4"/>
    <w:rsid w:val="0031104B"/>
    <w:rsid w:val="003118BE"/>
    <w:rsid w:val="00312A09"/>
    <w:rsid w:val="003133C7"/>
    <w:rsid w:val="003136D6"/>
    <w:rsid w:val="003137B8"/>
    <w:rsid w:val="00313886"/>
    <w:rsid w:val="00313DB1"/>
    <w:rsid w:val="0031445C"/>
    <w:rsid w:val="00314C43"/>
    <w:rsid w:val="00314CBC"/>
    <w:rsid w:val="00315D0A"/>
    <w:rsid w:val="0031641A"/>
    <w:rsid w:val="0031683A"/>
    <w:rsid w:val="0031688A"/>
    <w:rsid w:val="00316A70"/>
    <w:rsid w:val="00316CD6"/>
    <w:rsid w:val="00316EDB"/>
    <w:rsid w:val="00316F73"/>
    <w:rsid w:val="003174E5"/>
    <w:rsid w:val="0031775A"/>
    <w:rsid w:val="00317868"/>
    <w:rsid w:val="003179E0"/>
    <w:rsid w:val="00317B29"/>
    <w:rsid w:val="00317CD3"/>
    <w:rsid w:val="00317DA3"/>
    <w:rsid w:val="00320694"/>
    <w:rsid w:val="00320ED6"/>
    <w:rsid w:val="0032117D"/>
    <w:rsid w:val="0032211A"/>
    <w:rsid w:val="003223FE"/>
    <w:rsid w:val="00322973"/>
    <w:rsid w:val="00322B2B"/>
    <w:rsid w:val="00323803"/>
    <w:rsid w:val="00323B86"/>
    <w:rsid w:val="003244A5"/>
    <w:rsid w:val="00324BDF"/>
    <w:rsid w:val="00324D2D"/>
    <w:rsid w:val="0032555F"/>
    <w:rsid w:val="00325D97"/>
    <w:rsid w:val="00325E4A"/>
    <w:rsid w:val="003263A8"/>
    <w:rsid w:val="0032681F"/>
    <w:rsid w:val="003269AA"/>
    <w:rsid w:val="00326BA5"/>
    <w:rsid w:val="0032790D"/>
    <w:rsid w:val="00327CD1"/>
    <w:rsid w:val="00327DCF"/>
    <w:rsid w:val="00330E58"/>
    <w:rsid w:val="00331DF2"/>
    <w:rsid w:val="00332213"/>
    <w:rsid w:val="00332711"/>
    <w:rsid w:val="00332C72"/>
    <w:rsid w:val="00332F42"/>
    <w:rsid w:val="00334474"/>
    <w:rsid w:val="00334A72"/>
    <w:rsid w:val="00334E37"/>
    <w:rsid w:val="0033570B"/>
    <w:rsid w:val="00335E5D"/>
    <w:rsid w:val="0033632D"/>
    <w:rsid w:val="003364E6"/>
    <w:rsid w:val="00336876"/>
    <w:rsid w:val="00336E65"/>
    <w:rsid w:val="00337126"/>
    <w:rsid w:val="003371C9"/>
    <w:rsid w:val="0033745A"/>
    <w:rsid w:val="003376C6"/>
    <w:rsid w:val="00337D87"/>
    <w:rsid w:val="0034013E"/>
    <w:rsid w:val="00340581"/>
    <w:rsid w:val="003408F3"/>
    <w:rsid w:val="00340C63"/>
    <w:rsid w:val="00341125"/>
    <w:rsid w:val="00341188"/>
    <w:rsid w:val="003425A3"/>
    <w:rsid w:val="00342981"/>
    <w:rsid w:val="00342A72"/>
    <w:rsid w:val="00343103"/>
    <w:rsid w:val="003433D9"/>
    <w:rsid w:val="00343B45"/>
    <w:rsid w:val="00343D69"/>
    <w:rsid w:val="00343F70"/>
    <w:rsid w:val="003445F3"/>
    <w:rsid w:val="00344864"/>
    <w:rsid w:val="00344F6A"/>
    <w:rsid w:val="003450A3"/>
    <w:rsid w:val="00345109"/>
    <w:rsid w:val="003453DB"/>
    <w:rsid w:val="003457DD"/>
    <w:rsid w:val="00347061"/>
    <w:rsid w:val="00347196"/>
    <w:rsid w:val="00347218"/>
    <w:rsid w:val="003478E4"/>
    <w:rsid w:val="00347A8B"/>
    <w:rsid w:val="00347BDA"/>
    <w:rsid w:val="00350063"/>
    <w:rsid w:val="003502AE"/>
    <w:rsid w:val="00350410"/>
    <w:rsid w:val="00350580"/>
    <w:rsid w:val="003518EA"/>
    <w:rsid w:val="003524EF"/>
    <w:rsid w:val="003527C3"/>
    <w:rsid w:val="003534E8"/>
    <w:rsid w:val="00353AFB"/>
    <w:rsid w:val="00353C0D"/>
    <w:rsid w:val="00353CE4"/>
    <w:rsid w:val="00353D24"/>
    <w:rsid w:val="00353D6C"/>
    <w:rsid w:val="00354364"/>
    <w:rsid w:val="0035544A"/>
    <w:rsid w:val="00355A74"/>
    <w:rsid w:val="00355D7A"/>
    <w:rsid w:val="00356782"/>
    <w:rsid w:val="00356813"/>
    <w:rsid w:val="00356A6F"/>
    <w:rsid w:val="00356D27"/>
    <w:rsid w:val="0035758E"/>
    <w:rsid w:val="003579B2"/>
    <w:rsid w:val="0036009C"/>
    <w:rsid w:val="003601E5"/>
    <w:rsid w:val="00360649"/>
    <w:rsid w:val="00360E01"/>
    <w:rsid w:val="003617CF"/>
    <w:rsid w:val="00361882"/>
    <w:rsid w:val="00361C01"/>
    <w:rsid w:val="00361E06"/>
    <w:rsid w:val="00362009"/>
    <w:rsid w:val="00362CD5"/>
    <w:rsid w:val="003635D7"/>
    <w:rsid w:val="003641B7"/>
    <w:rsid w:val="00364375"/>
    <w:rsid w:val="003644B0"/>
    <w:rsid w:val="00364531"/>
    <w:rsid w:val="003648E5"/>
    <w:rsid w:val="00364ABF"/>
    <w:rsid w:val="00364D3C"/>
    <w:rsid w:val="003655CF"/>
    <w:rsid w:val="00365BE2"/>
    <w:rsid w:val="00365F24"/>
    <w:rsid w:val="003662D3"/>
    <w:rsid w:val="003669CE"/>
    <w:rsid w:val="00366CBF"/>
    <w:rsid w:val="00366E31"/>
    <w:rsid w:val="00366FF6"/>
    <w:rsid w:val="003670B5"/>
    <w:rsid w:val="00367393"/>
    <w:rsid w:val="00367409"/>
    <w:rsid w:val="00367FEA"/>
    <w:rsid w:val="00370467"/>
    <w:rsid w:val="00370FB1"/>
    <w:rsid w:val="003730B1"/>
    <w:rsid w:val="0037331A"/>
    <w:rsid w:val="003736A6"/>
    <w:rsid w:val="00373ABD"/>
    <w:rsid w:val="0037436C"/>
    <w:rsid w:val="003748B4"/>
    <w:rsid w:val="003748DD"/>
    <w:rsid w:val="00374CF6"/>
    <w:rsid w:val="00375214"/>
    <w:rsid w:val="0037541E"/>
    <w:rsid w:val="00375576"/>
    <w:rsid w:val="00376502"/>
    <w:rsid w:val="00376508"/>
    <w:rsid w:val="0037667C"/>
    <w:rsid w:val="00376D5E"/>
    <w:rsid w:val="00376F44"/>
    <w:rsid w:val="00377021"/>
    <w:rsid w:val="003772CE"/>
    <w:rsid w:val="0037758E"/>
    <w:rsid w:val="00380418"/>
    <w:rsid w:val="003805A4"/>
    <w:rsid w:val="00380AF2"/>
    <w:rsid w:val="003813FE"/>
    <w:rsid w:val="00382A0C"/>
    <w:rsid w:val="003835A8"/>
    <w:rsid w:val="00383639"/>
    <w:rsid w:val="003838CB"/>
    <w:rsid w:val="00383DDC"/>
    <w:rsid w:val="00383F0C"/>
    <w:rsid w:val="003840CF"/>
    <w:rsid w:val="0038467A"/>
    <w:rsid w:val="00384BBF"/>
    <w:rsid w:val="00384CA3"/>
    <w:rsid w:val="0038526E"/>
    <w:rsid w:val="003854BF"/>
    <w:rsid w:val="003857F6"/>
    <w:rsid w:val="00385B76"/>
    <w:rsid w:val="0038650C"/>
    <w:rsid w:val="003867A6"/>
    <w:rsid w:val="00386ED8"/>
    <w:rsid w:val="0038702E"/>
    <w:rsid w:val="00387119"/>
    <w:rsid w:val="003874B8"/>
    <w:rsid w:val="0038773F"/>
    <w:rsid w:val="00387BD1"/>
    <w:rsid w:val="003904D2"/>
    <w:rsid w:val="00390BBF"/>
    <w:rsid w:val="00390F60"/>
    <w:rsid w:val="003910E4"/>
    <w:rsid w:val="003914B1"/>
    <w:rsid w:val="00391505"/>
    <w:rsid w:val="00391673"/>
    <w:rsid w:val="00391B68"/>
    <w:rsid w:val="00392665"/>
    <w:rsid w:val="0039281F"/>
    <w:rsid w:val="00392D10"/>
    <w:rsid w:val="003934FE"/>
    <w:rsid w:val="00394347"/>
    <w:rsid w:val="00394502"/>
    <w:rsid w:val="00394D1A"/>
    <w:rsid w:val="00394F16"/>
    <w:rsid w:val="00395570"/>
    <w:rsid w:val="00396574"/>
    <w:rsid w:val="0039691B"/>
    <w:rsid w:val="003971A5"/>
    <w:rsid w:val="00397786"/>
    <w:rsid w:val="00397EE8"/>
    <w:rsid w:val="003A0258"/>
    <w:rsid w:val="003A0A33"/>
    <w:rsid w:val="003A0B68"/>
    <w:rsid w:val="003A0FF5"/>
    <w:rsid w:val="003A10ED"/>
    <w:rsid w:val="003A1662"/>
    <w:rsid w:val="003A2614"/>
    <w:rsid w:val="003A2EFB"/>
    <w:rsid w:val="003A2FA6"/>
    <w:rsid w:val="003A30AA"/>
    <w:rsid w:val="003A311A"/>
    <w:rsid w:val="003A35AD"/>
    <w:rsid w:val="003A37F5"/>
    <w:rsid w:val="003A3E6B"/>
    <w:rsid w:val="003A41FD"/>
    <w:rsid w:val="003A45E6"/>
    <w:rsid w:val="003A475E"/>
    <w:rsid w:val="003A6636"/>
    <w:rsid w:val="003A6B5B"/>
    <w:rsid w:val="003A7BFE"/>
    <w:rsid w:val="003A7C5A"/>
    <w:rsid w:val="003B0614"/>
    <w:rsid w:val="003B0D09"/>
    <w:rsid w:val="003B0E5D"/>
    <w:rsid w:val="003B105C"/>
    <w:rsid w:val="003B180E"/>
    <w:rsid w:val="003B1A51"/>
    <w:rsid w:val="003B1EC6"/>
    <w:rsid w:val="003B20EE"/>
    <w:rsid w:val="003B21CF"/>
    <w:rsid w:val="003B2511"/>
    <w:rsid w:val="003B26AA"/>
    <w:rsid w:val="003B2AA9"/>
    <w:rsid w:val="003B2FE4"/>
    <w:rsid w:val="003B33DE"/>
    <w:rsid w:val="003B3C8D"/>
    <w:rsid w:val="003B4703"/>
    <w:rsid w:val="003B4C6F"/>
    <w:rsid w:val="003B4DB3"/>
    <w:rsid w:val="003B4FA5"/>
    <w:rsid w:val="003B5187"/>
    <w:rsid w:val="003B540D"/>
    <w:rsid w:val="003B54D8"/>
    <w:rsid w:val="003B59C2"/>
    <w:rsid w:val="003B6753"/>
    <w:rsid w:val="003B6CFC"/>
    <w:rsid w:val="003B6E0D"/>
    <w:rsid w:val="003B6EC2"/>
    <w:rsid w:val="003B6FB2"/>
    <w:rsid w:val="003B7792"/>
    <w:rsid w:val="003B77CD"/>
    <w:rsid w:val="003B7ACF"/>
    <w:rsid w:val="003B7E35"/>
    <w:rsid w:val="003C03F8"/>
    <w:rsid w:val="003C0580"/>
    <w:rsid w:val="003C0976"/>
    <w:rsid w:val="003C0ECF"/>
    <w:rsid w:val="003C0ED0"/>
    <w:rsid w:val="003C16CD"/>
    <w:rsid w:val="003C1EA4"/>
    <w:rsid w:val="003C23B1"/>
    <w:rsid w:val="003C2540"/>
    <w:rsid w:val="003C2977"/>
    <w:rsid w:val="003C2F14"/>
    <w:rsid w:val="003C3121"/>
    <w:rsid w:val="003C3DA3"/>
    <w:rsid w:val="003C430B"/>
    <w:rsid w:val="003C55B4"/>
    <w:rsid w:val="003C5B2E"/>
    <w:rsid w:val="003C5C45"/>
    <w:rsid w:val="003C5D28"/>
    <w:rsid w:val="003C5E05"/>
    <w:rsid w:val="003C6055"/>
    <w:rsid w:val="003C61A7"/>
    <w:rsid w:val="003C644D"/>
    <w:rsid w:val="003C6754"/>
    <w:rsid w:val="003C7215"/>
    <w:rsid w:val="003D3360"/>
    <w:rsid w:val="003D33F5"/>
    <w:rsid w:val="003D37D8"/>
    <w:rsid w:val="003D3C10"/>
    <w:rsid w:val="003D3C4E"/>
    <w:rsid w:val="003D3D6D"/>
    <w:rsid w:val="003D407F"/>
    <w:rsid w:val="003D421A"/>
    <w:rsid w:val="003D4921"/>
    <w:rsid w:val="003D4DF4"/>
    <w:rsid w:val="003D4E80"/>
    <w:rsid w:val="003D528B"/>
    <w:rsid w:val="003D60B8"/>
    <w:rsid w:val="003D654E"/>
    <w:rsid w:val="003D669B"/>
    <w:rsid w:val="003D6F40"/>
    <w:rsid w:val="003D70B7"/>
    <w:rsid w:val="003D79EA"/>
    <w:rsid w:val="003D7D6B"/>
    <w:rsid w:val="003D7EEB"/>
    <w:rsid w:val="003E031F"/>
    <w:rsid w:val="003E0644"/>
    <w:rsid w:val="003E1137"/>
    <w:rsid w:val="003E2733"/>
    <w:rsid w:val="003E29F5"/>
    <w:rsid w:val="003E2CDB"/>
    <w:rsid w:val="003E362B"/>
    <w:rsid w:val="003E3896"/>
    <w:rsid w:val="003E38FC"/>
    <w:rsid w:val="003E4582"/>
    <w:rsid w:val="003E4592"/>
    <w:rsid w:val="003E45B0"/>
    <w:rsid w:val="003E4F12"/>
    <w:rsid w:val="003E5172"/>
    <w:rsid w:val="003E53E0"/>
    <w:rsid w:val="003E5BD7"/>
    <w:rsid w:val="003E5EA2"/>
    <w:rsid w:val="003E63B6"/>
    <w:rsid w:val="003E6591"/>
    <w:rsid w:val="003E65CB"/>
    <w:rsid w:val="003E6722"/>
    <w:rsid w:val="003E6D27"/>
    <w:rsid w:val="003E72EE"/>
    <w:rsid w:val="003E76E1"/>
    <w:rsid w:val="003E7CFD"/>
    <w:rsid w:val="003E7D0B"/>
    <w:rsid w:val="003F0CE3"/>
    <w:rsid w:val="003F14A8"/>
    <w:rsid w:val="003F18FF"/>
    <w:rsid w:val="003F1C1C"/>
    <w:rsid w:val="003F1C65"/>
    <w:rsid w:val="003F1D7C"/>
    <w:rsid w:val="003F2B91"/>
    <w:rsid w:val="003F2BCD"/>
    <w:rsid w:val="003F3055"/>
    <w:rsid w:val="003F31BC"/>
    <w:rsid w:val="003F35DD"/>
    <w:rsid w:val="003F364E"/>
    <w:rsid w:val="003F3894"/>
    <w:rsid w:val="003F4D09"/>
    <w:rsid w:val="003F4EF3"/>
    <w:rsid w:val="003F51FC"/>
    <w:rsid w:val="003F5216"/>
    <w:rsid w:val="003F5224"/>
    <w:rsid w:val="003F5495"/>
    <w:rsid w:val="003F5968"/>
    <w:rsid w:val="003F617B"/>
    <w:rsid w:val="003F6F47"/>
    <w:rsid w:val="003F6F57"/>
    <w:rsid w:val="003F730A"/>
    <w:rsid w:val="003F7312"/>
    <w:rsid w:val="003F76AD"/>
    <w:rsid w:val="003F76FE"/>
    <w:rsid w:val="003F7D51"/>
    <w:rsid w:val="00400098"/>
    <w:rsid w:val="0040086A"/>
    <w:rsid w:val="0040139E"/>
    <w:rsid w:val="00402898"/>
    <w:rsid w:val="004029DF"/>
    <w:rsid w:val="004040D4"/>
    <w:rsid w:val="004040F2"/>
    <w:rsid w:val="004045A8"/>
    <w:rsid w:val="00404AF8"/>
    <w:rsid w:val="00404C0E"/>
    <w:rsid w:val="00405186"/>
    <w:rsid w:val="00405417"/>
    <w:rsid w:val="004057CA"/>
    <w:rsid w:val="00405C6A"/>
    <w:rsid w:val="00405FF1"/>
    <w:rsid w:val="0040701F"/>
    <w:rsid w:val="0040741F"/>
    <w:rsid w:val="00407C8F"/>
    <w:rsid w:val="004108D7"/>
    <w:rsid w:val="00411609"/>
    <w:rsid w:val="004117C7"/>
    <w:rsid w:val="00411813"/>
    <w:rsid w:val="0041181C"/>
    <w:rsid w:val="00411C3D"/>
    <w:rsid w:val="0041313E"/>
    <w:rsid w:val="0041320A"/>
    <w:rsid w:val="0041340B"/>
    <w:rsid w:val="004141B6"/>
    <w:rsid w:val="0041477E"/>
    <w:rsid w:val="004148C7"/>
    <w:rsid w:val="00414B9E"/>
    <w:rsid w:val="0041536B"/>
    <w:rsid w:val="00415E0A"/>
    <w:rsid w:val="004174CA"/>
    <w:rsid w:val="00417738"/>
    <w:rsid w:val="00417D18"/>
    <w:rsid w:val="00417D2F"/>
    <w:rsid w:val="00417D60"/>
    <w:rsid w:val="00417E43"/>
    <w:rsid w:val="00420439"/>
    <w:rsid w:val="00421038"/>
    <w:rsid w:val="00421756"/>
    <w:rsid w:val="00421DE5"/>
    <w:rsid w:val="00421F11"/>
    <w:rsid w:val="00422A87"/>
    <w:rsid w:val="00422B24"/>
    <w:rsid w:val="00422CCD"/>
    <w:rsid w:val="00422E6B"/>
    <w:rsid w:val="0042397C"/>
    <w:rsid w:val="00423ECE"/>
    <w:rsid w:val="00424520"/>
    <w:rsid w:val="00424815"/>
    <w:rsid w:val="0042482D"/>
    <w:rsid w:val="00424C2D"/>
    <w:rsid w:val="00425739"/>
    <w:rsid w:val="00425BA2"/>
    <w:rsid w:val="00425CA4"/>
    <w:rsid w:val="00426397"/>
    <w:rsid w:val="00426BEF"/>
    <w:rsid w:val="00426FCB"/>
    <w:rsid w:val="0042718D"/>
    <w:rsid w:val="0042737F"/>
    <w:rsid w:val="004274E5"/>
    <w:rsid w:val="004279FF"/>
    <w:rsid w:val="00427C03"/>
    <w:rsid w:val="00427C27"/>
    <w:rsid w:val="004303AA"/>
    <w:rsid w:val="00430802"/>
    <w:rsid w:val="00430852"/>
    <w:rsid w:val="00430DB0"/>
    <w:rsid w:val="0043126B"/>
    <w:rsid w:val="00431A1C"/>
    <w:rsid w:val="00431C44"/>
    <w:rsid w:val="004323BC"/>
    <w:rsid w:val="00432453"/>
    <w:rsid w:val="00432669"/>
    <w:rsid w:val="00432807"/>
    <w:rsid w:val="00432D98"/>
    <w:rsid w:val="00433692"/>
    <w:rsid w:val="004343F3"/>
    <w:rsid w:val="004349F0"/>
    <w:rsid w:val="00436238"/>
    <w:rsid w:val="004364D7"/>
    <w:rsid w:val="00436D07"/>
    <w:rsid w:val="00436DFD"/>
    <w:rsid w:val="004372BE"/>
    <w:rsid w:val="00437A34"/>
    <w:rsid w:val="00437FE4"/>
    <w:rsid w:val="004401B7"/>
    <w:rsid w:val="00440228"/>
    <w:rsid w:val="004408E0"/>
    <w:rsid w:val="0044096B"/>
    <w:rsid w:val="004414D8"/>
    <w:rsid w:val="00441C78"/>
    <w:rsid w:val="00441C95"/>
    <w:rsid w:val="00441CE5"/>
    <w:rsid w:val="00442AFA"/>
    <w:rsid w:val="00442B18"/>
    <w:rsid w:val="00443520"/>
    <w:rsid w:val="00443561"/>
    <w:rsid w:val="00443C6C"/>
    <w:rsid w:val="00443D2B"/>
    <w:rsid w:val="004446FA"/>
    <w:rsid w:val="0044482A"/>
    <w:rsid w:val="00444AF8"/>
    <w:rsid w:val="00444B1A"/>
    <w:rsid w:val="00445934"/>
    <w:rsid w:val="00445AEA"/>
    <w:rsid w:val="00445B6E"/>
    <w:rsid w:val="00445EDB"/>
    <w:rsid w:val="0044661C"/>
    <w:rsid w:val="00446786"/>
    <w:rsid w:val="00446881"/>
    <w:rsid w:val="00446ADE"/>
    <w:rsid w:val="00446D7E"/>
    <w:rsid w:val="00447392"/>
    <w:rsid w:val="004474E3"/>
    <w:rsid w:val="00447AEA"/>
    <w:rsid w:val="00450044"/>
    <w:rsid w:val="004506A7"/>
    <w:rsid w:val="00450816"/>
    <w:rsid w:val="00450991"/>
    <w:rsid w:val="00450C05"/>
    <w:rsid w:val="0045138D"/>
    <w:rsid w:val="00452151"/>
    <w:rsid w:val="00452351"/>
    <w:rsid w:val="0045236D"/>
    <w:rsid w:val="0045262A"/>
    <w:rsid w:val="004529CA"/>
    <w:rsid w:val="004530A4"/>
    <w:rsid w:val="004531EF"/>
    <w:rsid w:val="00453268"/>
    <w:rsid w:val="004533AA"/>
    <w:rsid w:val="004549A3"/>
    <w:rsid w:val="00454D5F"/>
    <w:rsid w:val="00455175"/>
    <w:rsid w:val="00455853"/>
    <w:rsid w:val="004558F1"/>
    <w:rsid w:val="00456312"/>
    <w:rsid w:val="0045682A"/>
    <w:rsid w:val="00456CB4"/>
    <w:rsid w:val="00457308"/>
    <w:rsid w:val="0045750C"/>
    <w:rsid w:val="00457671"/>
    <w:rsid w:val="00457F94"/>
    <w:rsid w:val="004600E2"/>
    <w:rsid w:val="004608CA"/>
    <w:rsid w:val="00460BBE"/>
    <w:rsid w:val="0046109C"/>
    <w:rsid w:val="004614B9"/>
    <w:rsid w:val="00461882"/>
    <w:rsid w:val="00462072"/>
    <w:rsid w:val="004631C1"/>
    <w:rsid w:val="00463FFC"/>
    <w:rsid w:val="00464129"/>
    <w:rsid w:val="00464166"/>
    <w:rsid w:val="004646B5"/>
    <w:rsid w:val="004647CF"/>
    <w:rsid w:val="00464C1C"/>
    <w:rsid w:val="00464D97"/>
    <w:rsid w:val="0046529A"/>
    <w:rsid w:val="0046580B"/>
    <w:rsid w:val="00465D02"/>
    <w:rsid w:val="00465E70"/>
    <w:rsid w:val="0046601E"/>
    <w:rsid w:val="004662F0"/>
    <w:rsid w:val="00466699"/>
    <w:rsid w:val="0046682E"/>
    <w:rsid w:val="00466DA8"/>
    <w:rsid w:val="004671B4"/>
    <w:rsid w:val="004674FB"/>
    <w:rsid w:val="00467947"/>
    <w:rsid w:val="004679E9"/>
    <w:rsid w:val="0047053C"/>
    <w:rsid w:val="00471374"/>
    <w:rsid w:val="004713E5"/>
    <w:rsid w:val="0047145E"/>
    <w:rsid w:val="0047173A"/>
    <w:rsid w:val="00472542"/>
    <w:rsid w:val="004726CA"/>
    <w:rsid w:val="00472875"/>
    <w:rsid w:val="00472C16"/>
    <w:rsid w:val="00472F6F"/>
    <w:rsid w:val="004735A9"/>
    <w:rsid w:val="00473A81"/>
    <w:rsid w:val="00473C75"/>
    <w:rsid w:val="00473D97"/>
    <w:rsid w:val="00473FC5"/>
    <w:rsid w:val="004746A7"/>
    <w:rsid w:val="00474F86"/>
    <w:rsid w:val="0047514F"/>
    <w:rsid w:val="004756BC"/>
    <w:rsid w:val="00475BB7"/>
    <w:rsid w:val="00475E66"/>
    <w:rsid w:val="00475FF0"/>
    <w:rsid w:val="00476652"/>
    <w:rsid w:val="00476C82"/>
    <w:rsid w:val="004775A9"/>
    <w:rsid w:val="00477CD6"/>
    <w:rsid w:val="00477FFE"/>
    <w:rsid w:val="00480759"/>
    <w:rsid w:val="00481589"/>
    <w:rsid w:val="0048174E"/>
    <w:rsid w:val="004818C6"/>
    <w:rsid w:val="00481A62"/>
    <w:rsid w:val="00481CDF"/>
    <w:rsid w:val="00482CEA"/>
    <w:rsid w:val="00482E59"/>
    <w:rsid w:val="00483379"/>
    <w:rsid w:val="004833B1"/>
    <w:rsid w:val="004833D1"/>
    <w:rsid w:val="00483854"/>
    <w:rsid w:val="004841CC"/>
    <w:rsid w:val="0048443E"/>
    <w:rsid w:val="00484752"/>
    <w:rsid w:val="0048545C"/>
    <w:rsid w:val="004854AA"/>
    <w:rsid w:val="00485BD7"/>
    <w:rsid w:val="00486EB5"/>
    <w:rsid w:val="004870CF"/>
    <w:rsid w:val="00487697"/>
    <w:rsid w:val="00487844"/>
    <w:rsid w:val="004878EA"/>
    <w:rsid w:val="00487C7E"/>
    <w:rsid w:val="00487D95"/>
    <w:rsid w:val="004905D0"/>
    <w:rsid w:val="00490B7F"/>
    <w:rsid w:val="00492711"/>
    <w:rsid w:val="00492CC9"/>
    <w:rsid w:val="004931EE"/>
    <w:rsid w:val="0049405D"/>
    <w:rsid w:val="0049443D"/>
    <w:rsid w:val="00494448"/>
    <w:rsid w:val="00495148"/>
    <w:rsid w:val="00495407"/>
    <w:rsid w:val="0049550D"/>
    <w:rsid w:val="00495545"/>
    <w:rsid w:val="00495836"/>
    <w:rsid w:val="00496474"/>
    <w:rsid w:val="00496549"/>
    <w:rsid w:val="00496D99"/>
    <w:rsid w:val="00496E2B"/>
    <w:rsid w:val="00497244"/>
    <w:rsid w:val="00497415"/>
    <w:rsid w:val="004975AC"/>
    <w:rsid w:val="00497C2F"/>
    <w:rsid w:val="004A0163"/>
    <w:rsid w:val="004A0887"/>
    <w:rsid w:val="004A0C27"/>
    <w:rsid w:val="004A0CD1"/>
    <w:rsid w:val="004A1290"/>
    <w:rsid w:val="004A1933"/>
    <w:rsid w:val="004A1A14"/>
    <w:rsid w:val="004A1FC2"/>
    <w:rsid w:val="004A2745"/>
    <w:rsid w:val="004A299D"/>
    <w:rsid w:val="004A2E1B"/>
    <w:rsid w:val="004A30BE"/>
    <w:rsid w:val="004A396D"/>
    <w:rsid w:val="004A3CEB"/>
    <w:rsid w:val="004A42BC"/>
    <w:rsid w:val="004A475A"/>
    <w:rsid w:val="004A4AE9"/>
    <w:rsid w:val="004A4B80"/>
    <w:rsid w:val="004A4D01"/>
    <w:rsid w:val="004A55C1"/>
    <w:rsid w:val="004A579D"/>
    <w:rsid w:val="004A6891"/>
    <w:rsid w:val="004A6D4E"/>
    <w:rsid w:val="004A71EA"/>
    <w:rsid w:val="004A756E"/>
    <w:rsid w:val="004A7615"/>
    <w:rsid w:val="004A7C06"/>
    <w:rsid w:val="004A7D01"/>
    <w:rsid w:val="004A7F01"/>
    <w:rsid w:val="004B00B5"/>
    <w:rsid w:val="004B0396"/>
    <w:rsid w:val="004B052F"/>
    <w:rsid w:val="004B13D9"/>
    <w:rsid w:val="004B26F3"/>
    <w:rsid w:val="004B277B"/>
    <w:rsid w:val="004B32CE"/>
    <w:rsid w:val="004B334A"/>
    <w:rsid w:val="004B35CD"/>
    <w:rsid w:val="004B37C7"/>
    <w:rsid w:val="004B40A9"/>
    <w:rsid w:val="004B4137"/>
    <w:rsid w:val="004B43B9"/>
    <w:rsid w:val="004B48A2"/>
    <w:rsid w:val="004B555A"/>
    <w:rsid w:val="004B595C"/>
    <w:rsid w:val="004B5AFD"/>
    <w:rsid w:val="004B5BF3"/>
    <w:rsid w:val="004B6668"/>
    <w:rsid w:val="004B6CCC"/>
    <w:rsid w:val="004B6D7D"/>
    <w:rsid w:val="004B6F90"/>
    <w:rsid w:val="004B76A8"/>
    <w:rsid w:val="004C01FE"/>
    <w:rsid w:val="004C03DF"/>
    <w:rsid w:val="004C1102"/>
    <w:rsid w:val="004C134A"/>
    <w:rsid w:val="004C1445"/>
    <w:rsid w:val="004C16BA"/>
    <w:rsid w:val="004C17D1"/>
    <w:rsid w:val="004C1AA0"/>
    <w:rsid w:val="004C207E"/>
    <w:rsid w:val="004C242D"/>
    <w:rsid w:val="004C2469"/>
    <w:rsid w:val="004C25E9"/>
    <w:rsid w:val="004C2BE2"/>
    <w:rsid w:val="004C2F3B"/>
    <w:rsid w:val="004C2FA5"/>
    <w:rsid w:val="004C353A"/>
    <w:rsid w:val="004C360E"/>
    <w:rsid w:val="004C390B"/>
    <w:rsid w:val="004C3B87"/>
    <w:rsid w:val="004C3D1A"/>
    <w:rsid w:val="004C3D3C"/>
    <w:rsid w:val="004C49BC"/>
    <w:rsid w:val="004C4BE3"/>
    <w:rsid w:val="004C5132"/>
    <w:rsid w:val="004C5959"/>
    <w:rsid w:val="004C5E3A"/>
    <w:rsid w:val="004C630E"/>
    <w:rsid w:val="004C64E8"/>
    <w:rsid w:val="004C684C"/>
    <w:rsid w:val="004C6D5D"/>
    <w:rsid w:val="004C6D8A"/>
    <w:rsid w:val="004C6E51"/>
    <w:rsid w:val="004C6EFC"/>
    <w:rsid w:val="004C70C1"/>
    <w:rsid w:val="004C70D5"/>
    <w:rsid w:val="004C7CC3"/>
    <w:rsid w:val="004D0640"/>
    <w:rsid w:val="004D08D3"/>
    <w:rsid w:val="004D0F4F"/>
    <w:rsid w:val="004D15CA"/>
    <w:rsid w:val="004D15FE"/>
    <w:rsid w:val="004D1652"/>
    <w:rsid w:val="004D1CBF"/>
    <w:rsid w:val="004D3484"/>
    <w:rsid w:val="004D357C"/>
    <w:rsid w:val="004D3AA0"/>
    <w:rsid w:val="004D3B44"/>
    <w:rsid w:val="004D3DF8"/>
    <w:rsid w:val="004D43AB"/>
    <w:rsid w:val="004D4CDB"/>
    <w:rsid w:val="004D5889"/>
    <w:rsid w:val="004D5B24"/>
    <w:rsid w:val="004D5DA8"/>
    <w:rsid w:val="004D6459"/>
    <w:rsid w:val="004D6905"/>
    <w:rsid w:val="004D737C"/>
    <w:rsid w:val="004D73D5"/>
    <w:rsid w:val="004D761E"/>
    <w:rsid w:val="004D7C7F"/>
    <w:rsid w:val="004E094F"/>
    <w:rsid w:val="004E0DB0"/>
    <w:rsid w:val="004E0EE0"/>
    <w:rsid w:val="004E18F8"/>
    <w:rsid w:val="004E1AFB"/>
    <w:rsid w:val="004E2355"/>
    <w:rsid w:val="004E242D"/>
    <w:rsid w:val="004E262A"/>
    <w:rsid w:val="004E2B38"/>
    <w:rsid w:val="004E2D10"/>
    <w:rsid w:val="004E3218"/>
    <w:rsid w:val="004E370C"/>
    <w:rsid w:val="004E374E"/>
    <w:rsid w:val="004E414F"/>
    <w:rsid w:val="004E448F"/>
    <w:rsid w:val="004E455A"/>
    <w:rsid w:val="004E456C"/>
    <w:rsid w:val="004E4839"/>
    <w:rsid w:val="004E4B15"/>
    <w:rsid w:val="004E4D2E"/>
    <w:rsid w:val="004E513E"/>
    <w:rsid w:val="004E53FE"/>
    <w:rsid w:val="004E5F4F"/>
    <w:rsid w:val="004E641A"/>
    <w:rsid w:val="004E656A"/>
    <w:rsid w:val="004E79B5"/>
    <w:rsid w:val="004E79EC"/>
    <w:rsid w:val="004F00F3"/>
    <w:rsid w:val="004F0190"/>
    <w:rsid w:val="004F042D"/>
    <w:rsid w:val="004F044A"/>
    <w:rsid w:val="004F0A6E"/>
    <w:rsid w:val="004F169B"/>
    <w:rsid w:val="004F2CF6"/>
    <w:rsid w:val="004F3040"/>
    <w:rsid w:val="004F31AF"/>
    <w:rsid w:val="004F3341"/>
    <w:rsid w:val="004F3910"/>
    <w:rsid w:val="004F4005"/>
    <w:rsid w:val="004F418E"/>
    <w:rsid w:val="004F446A"/>
    <w:rsid w:val="004F4685"/>
    <w:rsid w:val="004F4A72"/>
    <w:rsid w:val="004F515F"/>
    <w:rsid w:val="004F637B"/>
    <w:rsid w:val="004F70A0"/>
    <w:rsid w:val="00500054"/>
    <w:rsid w:val="005000EE"/>
    <w:rsid w:val="0050032B"/>
    <w:rsid w:val="00500394"/>
    <w:rsid w:val="0050129F"/>
    <w:rsid w:val="00501BEE"/>
    <w:rsid w:val="005020C4"/>
    <w:rsid w:val="00502147"/>
    <w:rsid w:val="00502A82"/>
    <w:rsid w:val="00502AA7"/>
    <w:rsid w:val="00502B76"/>
    <w:rsid w:val="00502EAB"/>
    <w:rsid w:val="00502FDA"/>
    <w:rsid w:val="00503A29"/>
    <w:rsid w:val="00503B2C"/>
    <w:rsid w:val="00503CB3"/>
    <w:rsid w:val="00503FBF"/>
    <w:rsid w:val="005041CD"/>
    <w:rsid w:val="0050427D"/>
    <w:rsid w:val="005043C5"/>
    <w:rsid w:val="00504882"/>
    <w:rsid w:val="00504B3E"/>
    <w:rsid w:val="00504C93"/>
    <w:rsid w:val="00504D4F"/>
    <w:rsid w:val="00504D5D"/>
    <w:rsid w:val="0050541E"/>
    <w:rsid w:val="00505B5D"/>
    <w:rsid w:val="00505D63"/>
    <w:rsid w:val="00505D70"/>
    <w:rsid w:val="00506CD9"/>
    <w:rsid w:val="00506DC6"/>
    <w:rsid w:val="00507391"/>
    <w:rsid w:val="00507C37"/>
    <w:rsid w:val="00507FAB"/>
    <w:rsid w:val="005106DB"/>
    <w:rsid w:val="005108B9"/>
    <w:rsid w:val="00511574"/>
    <w:rsid w:val="005115F3"/>
    <w:rsid w:val="0051160C"/>
    <w:rsid w:val="00511623"/>
    <w:rsid w:val="0051164D"/>
    <w:rsid w:val="005118D2"/>
    <w:rsid w:val="00511D9E"/>
    <w:rsid w:val="00511EDE"/>
    <w:rsid w:val="00512005"/>
    <w:rsid w:val="0051280A"/>
    <w:rsid w:val="00512BE8"/>
    <w:rsid w:val="00512E9F"/>
    <w:rsid w:val="00513B3A"/>
    <w:rsid w:val="00514354"/>
    <w:rsid w:val="005144F7"/>
    <w:rsid w:val="00514D81"/>
    <w:rsid w:val="00514E3E"/>
    <w:rsid w:val="00514E52"/>
    <w:rsid w:val="005151FA"/>
    <w:rsid w:val="0051548E"/>
    <w:rsid w:val="005154D3"/>
    <w:rsid w:val="00515CFE"/>
    <w:rsid w:val="005162E3"/>
    <w:rsid w:val="005164B5"/>
    <w:rsid w:val="005168C7"/>
    <w:rsid w:val="00516F64"/>
    <w:rsid w:val="005174FA"/>
    <w:rsid w:val="00517A8E"/>
    <w:rsid w:val="00517B0A"/>
    <w:rsid w:val="00517E16"/>
    <w:rsid w:val="00517FFB"/>
    <w:rsid w:val="005205B3"/>
    <w:rsid w:val="005217EA"/>
    <w:rsid w:val="00521B90"/>
    <w:rsid w:val="00522377"/>
    <w:rsid w:val="00522B84"/>
    <w:rsid w:val="00522BC5"/>
    <w:rsid w:val="00522C46"/>
    <w:rsid w:val="00522D27"/>
    <w:rsid w:val="005235F8"/>
    <w:rsid w:val="005238D0"/>
    <w:rsid w:val="00523BEF"/>
    <w:rsid w:val="005243DD"/>
    <w:rsid w:val="005244DC"/>
    <w:rsid w:val="0052497B"/>
    <w:rsid w:val="00524E09"/>
    <w:rsid w:val="00525809"/>
    <w:rsid w:val="0052593F"/>
    <w:rsid w:val="00526485"/>
    <w:rsid w:val="005266D8"/>
    <w:rsid w:val="005269F6"/>
    <w:rsid w:val="00526C09"/>
    <w:rsid w:val="0052783C"/>
    <w:rsid w:val="00527E54"/>
    <w:rsid w:val="00527FFE"/>
    <w:rsid w:val="0053062C"/>
    <w:rsid w:val="00531041"/>
    <w:rsid w:val="0053114B"/>
    <w:rsid w:val="00531232"/>
    <w:rsid w:val="0053206B"/>
    <w:rsid w:val="005324BB"/>
    <w:rsid w:val="00533A38"/>
    <w:rsid w:val="00534185"/>
    <w:rsid w:val="005344EF"/>
    <w:rsid w:val="005346B5"/>
    <w:rsid w:val="00534A13"/>
    <w:rsid w:val="00534E01"/>
    <w:rsid w:val="00534F0B"/>
    <w:rsid w:val="00534F4E"/>
    <w:rsid w:val="00534FE5"/>
    <w:rsid w:val="00535CB2"/>
    <w:rsid w:val="005361D2"/>
    <w:rsid w:val="005367B4"/>
    <w:rsid w:val="00536DEC"/>
    <w:rsid w:val="005370F1"/>
    <w:rsid w:val="00537382"/>
    <w:rsid w:val="005374BB"/>
    <w:rsid w:val="00537A0E"/>
    <w:rsid w:val="00537A84"/>
    <w:rsid w:val="0054014A"/>
    <w:rsid w:val="00540210"/>
    <w:rsid w:val="00540CC1"/>
    <w:rsid w:val="0054104E"/>
    <w:rsid w:val="005410A9"/>
    <w:rsid w:val="00541A3D"/>
    <w:rsid w:val="00541BF6"/>
    <w:rsid w:val="00541C2D"/>
    <w:rsid w:val="00541F3D"/>
    <w:rsid w:val="005427D3"/>
    <w:rsid w:val="005428CA"/>
    <w:rsid w:val="00542914"/>
    <w:rsid w:val="005429BE"/>
    <w:rsid w:val="00542DB6"/>
    <w:rsid w:val="00542E6A"/>
    <w:rsid w:val="00543A06"/>
    <w:rsid w:val="00543AE3"/>
    <w:rsid w:val="00543B2F"/>
    <w:rsid w:val="00543BD7"/>
    <w:rsid w:val="005444E0"/>
    <w:rsid w:val="00544EA4"/>
    <w:rsid w:val="00545562"/>
    <w:rsid w:val="00545667"/>
    <w:rsid w:val="005458F0"/>
    <w:rsid w:val="00545CCF"/>
    <w:rsid w:val="00546048"/>
    <w:rsid w:val="005467B7"/>
    <w:rsid w:val="005472EC"/>
    <w:rsid w:val="00547394"/>
    <w:rsid w:val="005476EC"/>
    <w:rsid w:val="005477CA"/>
    <w:rsid w:val="005477FA"/>
    <w:rsid w:val="00551520"/>
    <w:rsid w:val="00551AE9"/>
    <w:rsid w:val="005525FC"/>
    <w:rsid w:val="00552702"/>
    <w:rsid w:val="0055270A"/>
    <w:rsid w:val="005527C1"/>
    <w:rsid w:val="00552C3B"/>
    <w:rsid w:val="00552EAE"/>
    <w:rsid w:val="00552F42"/>
    <w:rsid w:val="0055315D"/>
    <w:rsid w:val="005531C5"/>
    <w:rsid w:val="00554344"/>
    <w:rsid w:val="00554474"/>
    <w:rsid w:val="005554C5"/>
    <w:rsid w:val="00555A6B"/>
    <w:rsid w:val="00555E34"/>
    <w:rsid w:val="00555FEF"/>
    <w:rsid w:val="005564B9"/>
    <w:rsid w:val="00556A40"/>
    <w:rsid w:val="00556B91"/>
    <w:rsid w:val="00556CD5"/>
    <w:rsid w:val="0055709B"/>
    <w:rsid w:val="00557D11"/>
    <w:rsid w:val="00557E73"/>
    <w:rsid w:val="00560274"/>
    <w:rsid w:val="00560A8D"/>
    <w:rsid w:val="00560AE2"/>
    <w:rsid w:val="00560C03"/>
    <w:rsid w:val="00560FD2"/>
    <w:rsid w:val="005614A0"/>
    <w:rsid w:val="005620A1"/>
    <w:rsid w:val="00562357"/>
    <w:rsid w:val="00562D9C"/>
    <w:rsid w:val="005637E1"/>
    <w:rsid w:val="0056389D"/>
    <w:rsid w:val="0056454B"/>
    <w:rsid w:val="00565090"/>
    <w:rsid w:val="005650EC"/>
    <w:rsid w:val="005651E5"/>
    <w:rsid w:val="00565549"/>
    <w:rsid w:val="005655A4"/>
    <w:rsid w:val="00565997"/>
    <w:rsid w:val="00566394"/>
    <w:rsid w:val="005663F5"/>
    <w:rsid w:val="005670BD"/>
    <w:rsid w:val="005670E9"/>
    <w:rsid w:val="005671F0"/>
    <w:rsid w:val="0056732A"/>
    <w:rsid w:val="00567337"/>
    <w:rsid w:val="0056771E"/>
    <w:rsid w:val="00570AD8"/>
    <w:rsid w:val="00571352"/>
    <w:rsid w:val="00571446"/>
    <w:rsid w:val="0057147A"/>
    <w:rsid w:val="005714BC"/>
    <w:rsid w:val="00571707"/>
    <w:rsid w:val="00571748"/>
    <w:rsid w:val="005717D7"/>
    <w:rsid w:val="00572C4E"/>
    <w:rsid w:val="00572C81"/>
    <w:rsid w:val="00572E3A"/>
    <w:rsid w:val="00572FF2"/>
    <w:rsid w:val="00573673"/>
    <w:rsid w:val="00573CC8"/>
    <w:rsid w:val="00573E9F"/>
    <w:rsid w:val="0057456E"/>
    <w:rsid w:val="00574658"/>
    <w:rsid w:val="00574E92"/>
    <w:rsid w:val="005756A5"/>
    <w:rsid w:val="00575860"/>
    <w:rsid w:val="005758EF"/>
    <w:rsid w:val="005759B2"/>
    <w:rsid w:val="00575B45"/>
    <w:rsid w:val="0057661C"/>
    <w:rsid w:val="005767F2"/>
    <w:rsid w:val="00576B3F"/>
    <w:rsid w:val="00576E54"/>
    <w:rsid w:val="00577064"/>
    <w:rsid w:val="00577687"/>
    <w:rsid w:val="00577FC5"/>
    <w:rsid w:val="005805E8"/>
    <w:rsid w:val="00580710"/>
    <w:rsid w:val="00580C41"/>
    <w:rsid w:val="005811B2"/>
    <w:rsid w:val="0058221E"/>
    <w:rsid w:val="005822BB"/>
    <w:rsid w:val="0058246A"/>
    <w:rsid w:val="00582ABA"/>
    <w:rsid w:val="005837A5"/>
    <w:rsid w:val="00583AA0"/>
    <w:rsid w:val="0058401C"/>
    <w:rsid w:val="005841EA"/>
    <w:rsid w:val="00584477"/>
    <w:rsid w:val="005844E1"/>
    <w:rsid w:val="00584A68"/>
    <w:rsid w:val="0058519E"/>
    <w:rsid w:val="00585368"/>
    <w:rsid w:val="0058546E"/>
    <w:rsid w:val="00585BF4"/>
    <w:rsid w:val="00585D52"/>
    <w:rsid w:val="00585E8A"/>
    <w:rsid w:val="005864A4"/>
    <w:rsid w:val="00586580"/>
    <w:rsid w:val="00586E39"/>
    <w:rsid w:val="0058719D"/>
    <w:rsid w:val="00587287"/>
    <w:rsid w:val="0058774F"/>
    <w:rsid w:val="00587802"/>
    <w:rsid w:val="00587B6E"/>
    <w:rsid w:val="0059036D"/>
    <w:rsid w:val="00590C10"/>
    <w:rsid w:val="00591ABF"/>
    <w:rsid w:val="0059225F"/>
    <w:rsid w:val="0059247B"/>
    <w:rsid w:val="00592878"/>
    <w:rsid w:val="00592C7F"/>
    <w:rsid w:val="00592E64"/>
    <w:rsid w:val="0059344B"/>
    <w:rsid w:val="00593693"/>
    <w:rsid w:val="00593904"/>
    <w:rsid w:val="005939B4"/>
    <w:rsid w:val="00593CBB"/>
    <w:rsid w:val="00593E41"/>
    <w:rsid w:val="00593F16"/>
    <w:rsid w:val="00594285"/>
    <w:rsid w:val="00594E5E"/>
    <w:rsid w:val="0059551A"/>
    <w:rsid w:val="00595665"/>
    <w:rsid w:val="00595C2F"/>
    <w:rsid w:val="00595DF0"/>
    <w:rsid w:val="00595F75"/>
    <w:rsid w:val="005965D8"/>
    <w:rsid w:val="00596D40"/>
    <w:rsid w:val="00596D9E"/>
    <w:rsid w:val="005975E2"/>
    <w:rsid w:val="00597F67"/>
    <w:rsid w:val="005A03F8"/>
    <w:rsid w:val="005A0DB3"/>
    <w:rsid w:val="005A0E24"/>
    <w:rsid w:val="005A1F62"/>
    <w:rsid w:val="005A1F66"/>
    <w:rsid w:val="005A2484"/>
    <w:rsid w:val="005A2E2B"/>
    <w:rsid w:val="005A2E3E"/>
    <w:rsid w:val="005A3360"/>
    <w:rsid w:val="005A3606"/>
    <w:rsid w:val="005A37D2"/>
    <w:rsid w:val="005A37D3"/>
    <w:rsid w:val="005A3E0D"/>
    <w:rsid w:val="005A4D73"/>
    <w:rsid w:val="005A4D7A"/>
    <w:rsid w:val="005A5A58"/>
    <w:rsid w:val="005A5B91"/>
    <w:rsid w:val="005A5BC4"/>
    <w:rsid w:val="005A64C6"/>
    <w:rsid w:val="005A68D7"/>
    <w:rsid w:val="005A6BB5"/>
    <w:rsid w:val="005A7866"/>
    <w:rsid w:val="005A7BA6"/>
    <w:rsid w:val="005A7FD3"/>
    <w:rsid w:val="005B0956"/>
    <w:rsid w:val="005B0A69"/>
    <w:rsid w:val="005B0C08"/>
    <w:rsid w:val="005B1072"/>
    <w:rsid w:val="005B1D61"/>
    <w:rsid w:val="005B1D91"/>
    <w:rsid w:val="005B1DF8"/>
    <w:rsid w:val="005B3E99"/>
    <w:rsid w:val="005B3F8D"/>
    <w:rsid w:val="005B3FF3"/>
    <w:rsid w:val="005B41E0"/>
    <w:rsid w:val="005B4D22"/>
    <w:rsid w:val="005B5883"/>
    <w:rsid w:val="005B58D0"/>
    <w:rsid w:val="005B58E7"/>
    <w:rsid w:val="005B593F"/>
    <w:rsid w:val="005B5D82"/>
    <w:rsid w:val="005B5EC7"/>
    <w:rsid w:val="005B6361"/>
    <w:rsid w:val="005B653B"/>
    <w:rsid w:val="005B66CF"/>
    <w:rsid w:val="005B6AD1"/>
    <w:rsid w:val="005B7087"/>
    <w:rsid w:val="005B7717"/>
    <w:rsid w:val="005B78DD"/>
    <w:rsid w:val="005B7A33"/>
    <w:rsid w:val="005B7A46"/>
    <w:rsid w:val="005B7BA0"/>
    <w:rsid w:val="005B7BD3"/>
    <w:rsid w:val="005C0A82"/>
    <w:rsid w:val="005C0D55"/>
    <w:rsid w:val="005C0D98"/>
    <w:rsid w:val="005C0D9D"/>
    <w:rsid w:val="005C14F0"/>
    <w:rsid w:val="005C1800"/>
    <w:rsid w:val="005C2501"/>
    <w:rsid w:val="005C25C5"/>
    <w:rsid w:val="005C30A7"/>
    <w:rsid w:val="005C32CF"/>
    <w:rsid w:val="005C4A32"/>
    <w:rsid w:val="005C5A4E"/>
    <w:rsid w:val="005C69F8"/>
    <w:rsid w:val="005C7BD0"/>
    <w:rsid w:val="005C7CF7"/>
    <w:rsid w:val="005C7F26"/>
    <w:rsid w:val="005D0030"/>
    <w:rsid w:val="005D0579"/>
    <w:rsid w:val="005D0F5A"/>
    <w:rsid w:val="005D0FBF"/>
    <w:rsid w:val="005D17F9"/>
    <w:rsid w:val="005D283D"/>
    <w:rsid w:val="005D2C68"/>
    <w:rsid w:val="005D304F"/>
    <w:rsid w:val="005D3847"/>
    <w:rsid w:val="005D3C56"/>
    <w:rsid w:val="005D3E5A"/>
    <w:rsid w:val="005D48FA"/>
    <w:rsid w:val="005D49D7"/>
    <w:rsid w:val="005D4BF0"/>
    <w:rsid w:val="005D553F"/>
    <w:rsid w:val="005D6C15"/>
    <w:rsid w:val="005D7208"/>
    <w:rsid w:val="005D723F"/>
    <w:rsid w:val="005D73B2"/>
    <w:rsid w:val="005D74C1"/>
    <w:rsid w:val="005D760A"/>
    <w:rsid w:val="005E06B1"/>
    <w:rsid w:val="005E0847"/>
    <w:rsid w:val="005E0FD0"/>
    <w:rsid w:val="005E18BD"/>
    <w:rsid w:val="005E18C5"/>
    <w:rsid w:val="005E23BC"/>
    <w:rsid w:val="005E2832"/>
    <w:rsid w:val="005E2B03"/>
    <w:rsid w:val="005E2D5B"/>
    <w:rsid w:val="005E2F9B"/>
    <w:rsid w:val="005E2F9C"/>
    <w:rsid w:val="005E3298"/>
    <w:rsid w:val="005E333D"/>
    <w:rsid w:val="005E36C4"/>
    <w:rsid w:val="005E43CD"/>
    <w:rsid w:val="005E4981"/>
    <w:rsid w:val="005E5388"/>
    <w:rsid w:val="005E5EC4"/>
    <w:rsid w:val="005E6415"/>
    <w:rsid w:val="005E68D7"/>
    <w:rsid w:val="005E6A9B"/>
    <w:rsid w:val="005E707D"/>
    <w:rsid w:val="005E70E1"/>
    <w:rsid w:val="005E7134"/>
    <w:rsid w:val="005E7655"/>
    <w:rsid w:val="005E77F9"/>
    <w:rsid w:val="005E7CE2"/>
    <w:rsid w:val="005F030D"/>
    <w:rsid w:val="005F04DC"/>
    <w:rsid w:val="005F05C4"/>
    <w:rsid w:val="005F0606"/>
    <w:rsid w:val="005F0863"/>
    <w:rsid w:val="005F0FEA"/>
    <w:rsid w:val="005F1719"/>
    <w:rsid w:val="005F18A9"/>
    <w:rsid w:val="005F2993"/>
    <w:rsid w:val="005F2DA7"/>
    <w:rsid w:val="005F2E0C"/>
    <w:rsid w:val="005F3E45"/>
    <w:rsid w:val="005F4856"/>
    <w:rsid w:val="005F514D"/>
    <w:rsid w:val="005F5D52"/>
    <w:rsid w:val="005F670A"/>
    <w:rsid w:val="005F68B7"/>
    <w:rsid w:val="005F6DC0"/>
    <w:rsid w:val="005F6EB9"/>
    <w:rsid w:val="005F71DF"/>
    <w:rsid w:val="005F72B6"/>
    <w:rsid w:val="005F7605"/>
    <w:rsid w:val="005F76F5"/>
    <w:rsid w:val="005F7FD4"/>
    <w:rsid w:val="00600F1A"/>
    <w:rsid w:val="00601456"/>
    <w:rsid w:val="006016E7"/>
    <w:rsid w:val="006019E9"/>
    <w:rsid w:val="00601DBF"/>
    <w:rsid w:val="006024F1"/>
    <w:rsid w:val="00603012"/>
    <w:rsid w:val="006036AD"/>
    <w:rsid w:val="00603CE3"/>
    <w:rsid w:val="00603D57"/>
    <w:rsid w:val="00604062"/>
    <w:rsid w:val="00604550"/>
    <w:rsid w:val="00604B76"/>
    <w:rsid w:val="00605C71"/>
    <w:rsid w:val="00605CE2"/>
    <w:rsid w:val="00605E50"/>
    <w:rsid w:val="006060E0"/>
    <w:rsid w:val="006060FE"/>
    <w:rsid w:val="0060655D"/>
    <w:rsid w:val="00606A81"/>
    <w:rsid w:val="00606FD5"/>
    <w:rsid w:val="00607433"/>
    <w:rsid w:val="00607732"/>
    <w:rsid w:val="006078E1"/>
    <w:rsid w:val="00607FAC"/>
    <w:rsid w:val="00610111"/>
    <w:rsid w:val="0061070C"/>
    <w:rsid w:val="00610815"/>
    <w:rsid w:val="00610DEE"/>
    <w:rsid w:val="00610FBB"/>
    <w:rsid w:val="00611D78"/>
    <w:rsid w:val="00611DC3"/>
    <w:rsid w:val="00612403"/>
    <w:rsid w:val="00612892"/>
    <w:rsid w:val="00613384"/>
    <w:rsid w:val="0061392B"/>
    <w:rsid w:val="006148ED"/>
    <w:rsid w:val="00614D27"/>
    <w:rsid w:val="00614EFE"/>
    <w:rsid w:val="00614F25"/>
    <w:rsid w:val="00615136"/>
    <w:rsid w:val="00615209"/>
    <w:rsid w:val="006152D3"/>
    <w:rsid w:val="006157FD"/>
    <w:rsid w:val="00616D70"/>
    <w:rsid w:val="00616E84"/>
    <w:rsid w:val="00617353"/>
    <w:rsid w:val="0061770B"/>
    <w:rsid w:val="006177A2"/>
    <w:rsid w:val="00620031"/>
    <w:rsid w:val="00620D03"/>
    <w:rsid w:val="00620FFF"/>
    <w:rsid w:val="006218D9"/>
    <w:rsid w:val="006219C7"/>
    <w:rsid w:val="00621B17"/>
    <w:rsid w:val="00621B7C"/>
    <w:rsid w:val="00621D9D"/>
    <w:rsid w:val="006237F9"/>
    <w:rsid w:val="00623D04"/>
    <w:rsid w:val="00624A24"/>
    <w:rsid w:val="00624E58"/>
    <w:rsid w:val="00625059"/>
    <w:rsid w:val="0062507A"/>
    <w:rsid w:val="00625095"/>
    <w:rsid w:val="0062539F"/>
    <w:rsid w:val="00625B4A"/>
    <w:rsid w:val="00625B72"/>
    <w:rsid w:val="006262BD"/>
    <w:rsid w:val="0062690B"/>
    <w:rsid w:val="00626BEF"/>
    <w:rsid w:val="00626CD9"/>
    <w:rsid w:val="00626FBC"/>
    <w:rsid w:val="006270ED"/>
    <w:rsid w:val="0062749B"/>
    <w:rsid w:val="006274E3"/>
    <w:rsid w:val="00627674"/>
    <w:rsid w:val="006301A9"/>
    <w:rsid w:val="006312A4"/>
    <w:rsid w:val="006316C2"/>
    <w:rsid w:val="0063246E"/>
    <w:rsid w:val="0063259F"/>
    <w:rsid w:val="0063354B"/>
    <w:rsid w:val="0063368D"/>
    <w:rsid w:val="006336D1"/>
    <w:rsid w:val="006337BF"/>
    <w:rsid w:val="00633CA7"/>
    <w:rsid w:val="00633F12"/>
    <w:rsid w:val="00633FD5"/>
    <w:rsid w:val="006349C4"/>
    <w:rsid w:val="00634E6F"/>
    <w:rsid w:val="00634F99"/>
    <w:rsid w:val="00635024"/>
    <w:rsid w:val="00635293"/>
    <w:rsid w:val="00635C2A"/>
    <w:rsid w:val="00635D4F"/>
    <w:rsid w:val="00635EEB"/>
    <w:rsid w:val="006360AB"/>
    <w:rsid w:val="0063674A"/>
    <w:rsid w:val="00636779"/>
    <w:rsid w:val="00636F9C"/>
    <w:rsid w:val="00637BB3"/>
    <w:rsid w:val="00640492"/>
    <w:rsid w:val="0064107F"/>
    <w:rsid w:val="006410AC"/>
    <w:rsid w:val="006415C1"/>
    <w:rsid w:val="00641863"/>
    <w:rsid w:val="00641B07"/>
    <w:rsid w:val="00641B78"/>
    <w:rsid w:val="00641FD1"/>
    <w:rsid w:val="00642E1B"/>
    <w:rsid w:val="006433A4"/>
    <w:rsid w:val="00644187"/>
    <w:rsid w:val="006443FB"/>
    <w:rsid w:val="00644608"/>
    <w:rsid w:val="006446F3"/>
    <w:rsid w:val="00644889"/>
    <w:rsid w:val="00644E3B"/>
    <w:rsid w:val="0064501E"/>
    <w:rsid w:val="00645670"/>
    <w:rsid w:val="0064582D"/>
    <w:rsid w:val="00645FB1"/>
    <w:rsid w:val="006461FB"/>
    <w:rsid w:val="00646404"/>
    <w:rsid w:val="006465D7"/>
    <w:rsid w:val="00646694"/>
    <w:rsid w:val="00646CE7"/>
    <w:rsid w:val="00646EEC"/>
    <w:rsid w:val="00646F96"/>
    <w:rsid w:val="0064794A"/>
    <w:rsid w:val="00647989"/>
    <w:rsid w:val="00647F43"/>
    <w:rsid w:val="006501E3"/>
    <w:rsid w:val="0065042C"/>
    <w:rsid w:val="00650D26"/>
    <w:rsid w:val="0065131C"/>
    <w:rsid w:val="00651CDC"/>
    <w:rsid w:val="00651D9A"/>
    <w:rsid w:val="00651F1B"/>
    <w:rsid w:val="00652FA0"/>
    <w:rsid w:val="0065305C"/>
    <w:rsid w:val="00653165"/>
    <w:rsid w:val="006537F9"/>
    <w:rsid w:val="006539DF"/>
    <w:rsid w:val="0065421B"/>
    <w:rsid w:val="00654323"/>
    <w:rsid w:val="00654767"/>
    <w:rsid w:val="00654835"/>
    <w:rsid w:val="006548CD"/>
    <w:rsid w:val="00654A62"/>
    <w:rsid w:val="00654A8E"/>
    <w:rsid w:val="00654C19"/>
    <w:rsid w:val="00654F0F"/>
    <w:rsid w:val="00655D3A"/>
    <w:rsid w:val="00655E0F"/>
    <w:rsid w:val="0065606F"/>
    <w:rsid w:val="006563EA"/>
    <w:rsid w:val="00656440"/>
    <w:rsid w:val="00656906"/>
    <w:rsid w:val="00656B00"/>
    <w:rsid w:val="00656B6E"/>
    <w:rsid w:val="00657087"/>
    <w:rsid w:val="00657867"/>
    <w:rsid w:val="0065788F"/>
    <w:rsid w:val="00657E69"/>
    <w:rsid w:val="00660133"/>
    <w:rsid w:val="006613B9"/>
    <w:rsid w:val="006617A3"/>
    <w:rsid w:val="0066184C"/>
    <w:rsid w:val="006621D4"/>
    <w:rsid w:val="006626EC"/>
    <w:rsid w:val="006631FB"/>
    <w:rsid w:val="006639BA"/>
    <w:rsid w:val="00663CD9"/>
    <w:rsid w:val="00663F8A"/>
    <w:rsid w:val="00664453"/>
    <w:rsid w:val="00664D68"/>
    <w:rsid w:val="0066514B"/>
    <w:rsid w:val="00665320"/>
    <w:rsid w:val="00665923"/>
    <w:rsid w:val="006661CD"/>
    <w:rsid w:val="0066697F"/>
    <w:rsid w:val="00667BC0"/>
    <w:rsid w:val="006701F7"/>
    <w:rsid w:val="006702F4"/>
    <w:rsid w:val="0067037A"/>
    <w:rsid w:val="006704B8"/>
    <w:rsid w:val="006705FC"/>
    <w:rsid w:val="00670A65"/>
    <w:rsid w:val="00670F80"/>
    <w:rsid w:val="0067106D"/>
    <w:rsid w:val="006710DD"/>
    <w:rsid w:val="006713BA"/>
    <w:rsid w:val="0067196D"/>
    <w:rsid w:val="00672921"/>
    <w:rsid w:val="00673472"/>
    <w:rsid w:val="00673499"/>
    <w:rsid w:val="006735C7"/>
    <w:rsid w:val="00673A38"/>
    <w:rsid w:val="006748D9"/>
    <w:rsid w:val="00674C2C"/>
    <w:rsid w:val="00674E42"/>
    <w:rsid w:val="0067541F"/>
    <w:rsid w:val="00675AF1"/>
    <w:rsid w:val="006764BE"/>
    <w:rsid w:val="00676925"/>
    <w:rsid w:val="00676BA5"/>
    <w:rsid w:val="0067713B"/>
    <w:rsid w:val="006774A9"/>
    <w:rsid w:val="0067763B"/>
    <w:rsid w:val="0067799D"/>
    <w:rsid w:val="00677F7C"/>
    <w:rsid w:val="006806E7"/>
    <w:rsid w:val="006807A0"/>
    <w:rsid w:val="006809D3"/>
    <w:rsid w:val="00680CE3"/>
    <w:rsid w:val="00680DB4"/>
    <w:rsid w:val="00680DB5"/>
    <w:rsid w:val="00681031"/>
    <w:rsid w:val="00681214"/>
    <w:rsid w:val="006812AE"/>
    <w:rsid w:val="00681AF3"/>
    <w:rsid w:val="00681D9D"/>
    <w:rsid w:val="00681E6C"/>
    <w:rsid w:val="006827F8"/>
    <w:rsid w:val="00682E64"/>
    <w:rsid w:val="0068317D"/>
    <w:rsid w:val="006831A5"/>
    <w:rsid w:val="00683238"/>
    <w:rsid w:val="006838FC"/>
    <w:rsid w:val="00683CFE"/>
    <w:rsid w:val="00683F5D"/>
    <w:rsid w:val="006840BC"/>
    <w:rsid w:val="006843D6"/>
    <w:rsid w:val="00684578"/>
    <w:rsid w:val="006845C6"/>
    <w:rsid w:val="0068489F"/>
    <w:rsid w:val="00685154"/>
    <w:rsid w:val="006855F3"/>
    <w:rsid w:val="00685DEA"/>
    <w:rsid w:val="00686AD0"/>
    <w:rsid w:val="00686FF2"/>
    <w:rsid w:val="0068751E"/>
    <w:rsid w:val="00690754"/>
    <w:rsid w:val="00690D4B"/>
    <w:rsid w:val="00691042"/>
    <w:rsid w:val="00691CFC"/>
    <w:rsid w:val="0069226A"/>
    <w:rsid w:val="0069274E"/>
    <w:rsid w:val="00692AD5"/>
    <w:rsid w:val="00692B90"/>
    <w:rsid w:val="00693357"/>
    <w:rsid w:val="0069363D"/>
    <w:rsid w:val="0069395E"/>
    <w:rsid w:val="00694C76"/>
    <w:rsid w:val="00694D0A"/>
    <w:rsid w:val="00694E32"/>
    <w:rsid w:val="006955D9"/>
    <w:rsid w:val="0069636E"/>
    <w:rsid w:val="00696716"/>
    <w:rsid w:val="0069688C"/>
    <w:rsid w:val="00696F9A"/>
    <w:rsid w:val="006971A1"/>
    <w:rsid w:val="006972F5"/>
    <w:rsid w:val="00697F0D"/>
    <w:rsid w:val="00697F61"/>
    <w:rsid w:val="006A003E"/>
    <w:rsid w:val="006A08EF"/>
    <w:rsid w:val="006A0DEA"/>
    <w:rsid w:val="006A1601"/>
    <w:rsid w:val="006A17F8"/>
    <w:rsid w:val="006A1893"/>
    <w:rsid w:val="006A1CA5"/>
    <w:rsid w:val="006A2225"/>
    <w:rsid w:val="006A279C"/>
    <w:rsid w:val="006A282D"/>
    <w:rsid w:val="006A2ACA"/>
    <w:rsid w:val="006A364B"/>
    <w:rsid w:val="006A3B9F"/>
    <w:rsid w:val="006A4308"/>
    <w:rsid w:val="006A47BC"/>
    <w:rsid w:val="006A4A88"/>
    <w:rsid w:val="006A522C"/>
    <w:rsid w:val="006A5465"/>
    <w:rsid w:val="006A5CF5"/>
    <w:rsid w:val="006A6693"/>
    <w:rsid w:val="006A6F42"/>
    <w:rsid w:val="006A7581"/>
    <w:rsid w:val="006A777B"/>
    <w:rsid w:val="006A7B67"/>
    <w:rsid w:val="006A7C8F"/>
    <w:rsid w:val="006A7DCF"/>
    <w:rsid w:val="006B00AA"/>
    <w:rsid w:val="006B0381"/>
    <w:rsid w:val="006B10DD"/>
    <w:rsid w:val="006B1C2E"/>
    <w:rsid w:val="006B2420"/>
    <w:rsid w:val="006B2D08"/>
    <w:rsid w:val="006B380E"/>
    <w:rsid w:val="006B385B"/>
    <w:rsid w:val="006B3930"/>
    <w:rsid w:val="006B3A9A"/>
    <w:rsid w:val="006B3B74"/>
    <w:rsid w:val="006B45F3"/>
    <w:rsid w:val="006B501A"/>
    <w:rsid w:val="006B504A"/>
    <w:rsid w:val="006B50C5"/>
    <w:rsid w:val="006B5649"/>
    <w:rsid w:val="006B56A1"/>
    <w:rsid w:val="006B59F7"/>
    <w:rsid w:val="006B5E14"/>
    <w:rsid w:val="006B6A35"/>
    <w:rsid w:val="006C0F61"/>
    <w:rsid w:val="006C1146"/>
    <w:rsid w:val="006C2A10"/>
    <w:rsid w:val="006C2CAA"/>
    <w:rsid w:val="006C2DDC"/>
    <w:rsid w:val="006C30C2"/>
    <w:rsid w:val="006C31DE"/>
    <w:rsid w:val="006C3C67"/>
    <w:rsid w:val="006C4B3F"/>
    <w:rsid w:val="006C4FA8"/>
    <w:rsid w:val="006C50E6"/>
    <w:rsid w:val="006C572E"/>
    <w:rsid w:val="006C5B9D"/>
    <w:rsid w:val="006C5D07"/>
    <w:rsid w:val="006C5D95"/>
    <w:rsid w:val="006C5E48"/>
    <w:rsid w:val="006C6519"/>
    <w:rsid w:val="006C7BAC"/>
    <w:rsid w:val="006C7D24"/>
    <w:rsid w:val="006D0BC9"/>
    <w:rsid w:val="006D107E"/>
    <w:rsid w:val="006D12B3"/>
    <w:rsid w:val="006D1A23"/>
    <w:rsid w:val="006D2201"/>
    <w:rsid w:val="006D2D57"/>
    <w:rsid w:val="006D2E85"/>
    <w:rsid w:val="006D3D1A"/>
    <w:rsid w:val="006D3E2A"/>
    <w:rsid w:val="006D417F"/>
    <w:rsid w:val="006D4687"/>
    <w:rsid w:val="006D46BB"/>
    <w:rsid w:val="006D4883"/>
    <w:rsid w:val="006D4ABF"/>
    <w:rsid w:val="006D58BA"/>
    <w:rsid w:val="006D5A38"/>
    <w:rsid w:val="006D5BC0"/>
    <w:rsid w:val="006D64F9"/>
    <w:rsid w:val="006D6AA7"/>
    <w:rsid w:val="006D6B5B"/>
    <w:rsid w:val="006D6BA1"/>
    <w:rsid w:val="006D6BF0"/>
    <w:rsid w:val="006D70C9"/>
    <w:rsid w:val="006D7B0B"/>
    <w:rsid w:val="006D7F4F"/>
    <w:rsid w:val="006E01D2"/>
    <w:rsid w:val="006E1334"/>
    <w:rsid w:val="006E2AC7"/>
    <w:rsid w:val="006E4266"/>
    <w:rsid w:val="006E47E4"/>
    <w:rsid w:val="006E4911"/>
    <w:rsid w:val="006E4D34"/>
    <w:rsid w:val="006E4F6B"/>
    <w:rsid w:val="006E4F93"/>
    <w:rsid w:val="006E5499"/>
    <w:rsid w:val="006E589A"/>
    <w:rsid w:val="006E5A88"/>
    <w:rsid w:val="006E5B9D"/>
    <w:rsid w:val="006E5E2F"/>
    <w:rsid w:val="006E6625"/>
    <w:rsid w:val="006E6A43"/>
    <w:rsid w:val="006E6BAC"/>
    <w:rsid w:val="006E6D96"/>
    <w:rsid w:val="006E6EB5"/>
    <w:rsid w:val="006E735F"/>
    <w:rsid w:val="006E73AD"/>
    <w:rsid w:val="006E7556"/>
    <w:rsid w:val="006E75CF"/>
    <w:rsid w:val="006F0A10"/>
    <w:rsid w:val="006F0CA8"/>
    <w:rsid w:val="006F0CFF"/>
    <w:rsid w:val="006F0D27"/>
    <w:rsid w:val="006F1629"/>
    <w:rsid w:val="006F2A6D"/>
    <w:rsid w:val="006F2E15"/>
    <w:rsid w:val="006F33D1"/>
    <w:rsid w:val="006F3546"/>
    <w:rsid w:val="006F3A6D"/>
    <w:rsid w:val="006F3BF1"/>
    <w:rsid w:val="006F488E"/>
    <w:rsid w:val="006F5164"/>
    <w:rsid w:val="006F5D57"/>
    <w:rsid w:val="006F6377"/>
    <w:rsid w:val="006F6BB7"/>
    <w:rsid w:val="006F6C68"/>
    <w:rsid w:val="006F71E4"/>
    <w:rsid w:val="006F7B0C"/>
    <w:rsid w:val="0070081C"/>
    <w:rsid w:val="00700EB0"/>
    <w:rsid w:val="0070134F"/>
    <w:rsid w:val="00701C56"/>
    <w:rsid w:val="00702C42"/>
    <w:rsid w:val="00703203"/>
    <w:rsid w:val="00703423"/>
    <w:rsid w:val="007036D6"/>
    <w:rsid w:val="007038D1"/>
    <w:rsid w:val="00703C29"/>
    <w:rsid w:val="00704020"/>
    <w:rsid w:val="00704064"/>
    <w:rsid w:val="00704087"/>
    <w:rsid w:val="00704C28"/>
    <w:rsid w:val="00704CAD"/>
    <w:rsid w:val="00704EE7"/>
    <w:rsid w:val="00706086"/>
    <w:rsid w:val="007060DE"/>
    <w:rsid w:val="007061F3"/>
    <w:rsid w:val="00706381"/>
    <w:rsid w:val="0070678B"/>
    <w:rsid w:val="00706CEB"/>
    <w:rsid w:val="007071C0"/>
    <w:rsid w:val="00707840"/>
    <w:rsid w:val="00707EA8"/>
    <w:rsid w:val="0071005F"/>
    <w:rsid w:val="007108E2"/>
    <w:rsid w:val="0071183A"/>
    <w:rsid w:val="00711888"/>
    <w:rsid w:val="0071190B"/>
    <w:rsid w:val="00711A8C"/>
    <w:rsid w:val="00711B5C"/>
    <w:rsid w:val="00711DA3"/>
    <w:rsid w:val="007121D1"/>
    <w:rsid w:val="00712BBB"/>
    <w:rsid w:val="007136DB"/>
    <w:rsid w:val="007138C6"/>
    <w:rsid w:val="00713D1F"/>
    <w:rsid w:val="0071421D"/>
    <w:rsid w:val="00714F2F"/>
    <w:rsid w:val="00715392"/>
    <w:rsid w:val="00715952"/>
    <w:rsid w:val="00715E12"/>
    <w:rsid w:val="007166D3"/>
    <w:rsid w:val="0071692A"/>
    <w:rsid w:val="00716AA4"/>
    <w:rsid w:val="00717AA2"/>
    <w:rsid w:val="00720A3F"/>
    <w:rsid w:val="00720CB3"/>
    <w:rsid w:val="00721013"/>
    <w:rsid w:val="007210C6"/>
    <w:rsid w:val="00721A6F"/>
    <w:rsid w:val="00722435"/>
    <w:rsid w:val="00722616"/>
    <w:rsid w:val="007227C0"/>
    <w:rsid w:val="007227E1"/>
    <w:rsid w:val="00722A71"/>
    <w:rsid w:val="00723B18"/>
    <w:rsid w:val="00723C1F"/>
    <w:rsid w:val="00723D0C"/>
    <w:rsid w:val="0072402F"/>
    <w:rsid w:val="00724056"/>
    <w:rsid w:val="00724541"/>
    <w:rsid w:val="00724B9E"/>
    <w:rsid w:val="00725455"/>
    <w:rsid w:val="007258B9"/>
    <w:rsid w:val="007258BB"/>
    <w:rsid w:val="00725B53"/>
    <w:rsid w:val="00725C6C"/>
    <w:rsid w:val="00725F95"/>
    <w:rsid w:val="00726166"/>
    <w:rsid w:val="00726486"/>
    <w:rsid w:val="00726488"/>
    <w:rsid w:val="0072692A"/>
    <w:rsid w:val="007269D4"/>
    <w:rsid w:val="00727997"/>
    <w:rsid w:val="00727A94"/>
    <w:rsid w:val="00727AF6"/>
    <w:rsid w:val="00727B0C"/>
    <w:rsid w:val="00727D78"/>
    <w:rsid w:val="0073030B"/>
    <w:rsid w:val="007308F6"/>
    <w:rsid w:val="00731309"/>
    <w:rsid w:val="0073177D"/>
    <w:rsid w:val="00733D89"/>
    <w:rsid w:val="00734813"/>
    <w:rsid w:val="00734967"/>
    <w:rsid w:val="00734BC1"/>
    <w:rsid w:val="00734E44"/>
    <w:rsid w:val="00734F11"/>
    <w:rsid w:val="00735BDD"/>
    <w:rsid w:val="0073616D"/>
    <w:rsid w:val="00736714"/>
    <w:rsid w:val="00737400"/>
    <w:rsid w:val="00737651"/>
    <w:rsid w:val="00737870"/>
    <w:rsid w:val="00737C4E"/>
    <w:rsid w:val="00737FF5"/>
    <w:rsid w:val="007409B4"/>
    <w:rsid w:val="00741AD3"/>
    <w:rsid w:val="00742A46"/>
    <w:rsid w:val="00742D8F"/>
    <w:rsid w:val="00742E7B"/>
    <w:rsid w:val="00743B17"/>
    <w:rsid w:val="00743DDB"/>
    <w:rsid w:val="00744D17"/>
    <w:rsid w:val="00744E2E"/>
    <w:rsid w:val="00745A52"/>
    <w:rsid w:val="007460CD"/>
    <w:rsid w:val="0074629A"/>
    <w:rsid w:val="00746769"/>
    <w:rsid w:val="0074683C"/>
    <w:rsid w:val="00746CDC"/>
    <w:rsid w:val="00746FB2"/>
    <w:rsid w:val="007477E7"/>
    <w:rsid w:val="00747EE7"/>
    <w:rsid w:val="007503DD"/>
    <w:rsid w:val="0075048B"/>
    <w:rsid w:val="0075106A"/>
    <w:rsid w:val="007513A5"/>
    <w:rsid w:val="00751625"/>
    <w:rsid w:val="00751795"/>
    <w:rsid w:val="00751F01"/>
    <w:rsid w:val="00752351"/>
    <w:rsid w:val="00752932"/>
    <w:rsid w:val="00753385"/>
    <w:rsid w:val="00753489"/>
    <w:rsid w:val="00753741"/>
    <w:rsid w:val="0075393D"/>
    <w:rsid w:val="00753A40"/>
    <w:rsid w:val="00753D53"/>
    <w:rsid w:val="00753EE1"/>
    <w:rsid w:val="00754112"/>
    <w:rsid w:val="0075419D"/>
    <w:rsid w:val="007542E2"/>
    <w:rsid w:val="00754C4E"/>
    <w:rsid w:val="007552DA"/>
    <w:rsid w:val="007559BC"/>
    <w:rsid w:val="00756240"/>
    <w:rsid w:val="0075650D"/>
    <w:rsid w:val="0075684B"/>
    <w:rsid w:val="00756958"/>
    <w:rsid w:val="00756C78"/>
    <w:rsid w:val="00756E3E"/>
    <w:rsid w:val="00756EB2"/>
    <w:rsid w:val="00756ED3"/>
    <w:rsid w:val="00756F6F"/>
    <w:rsid w:val="00757617"/>
    <w:rsid w:val="00757AB7"/>
    <w:rsid w:val="00757FD1"/>
    <w:rsid w:val="0076031D"/>
    <w:rsid w:val="00760BC0"/>
    <w:rsid w:val="00760C85"/>
    <w:rsid w:val="00761151"/>
    <w:rsid w:val="007611FC"/>
    <w:rsid w:val="00761471"/>
    <w:rsid w:val="0076166B"/>
    <w:rsid w:val="00761CDA"/>
    <w:rsid w:val="00762F88"/>
    <w:rsid w:val="0076307E"/>
    <w:rsid w:val="007639E8"/>
    <w:rsid w:val="00763C8F"/>
    <w:rsid w:val="00763D5F"/>
    <w:rsid w:val="00763FC1"/>
    <w:rsid w:val="00764A9C"/>
    <w:rsid w:val="00764B17"/>
    <w:rsid w:val="00764C9F"/>
    <w:rsid w:val="00765258"/>
    <w:rsid w:val="00765509"/>
    <w:rsid w:val="0076591B"/>
    <w:rsid w:val="00766B9D"/>
    <w:rsid w:val="00766ECF"/>
    <w:rsid w:val="00766FBF"/>
    <w:rsid w:val="007677F0"/>
    <w:rsid w:val="00770BB7"/>
    <w:rsid w:val="00770FB8"/>
    <w:rsid w:val="0077154C"/>
    <w:rsid w:val="007722F4"/>
    <w:rsid w:val="00772613"/>
    <w:rsid w:val="00772FB6"/>
    <w:rsid w:val="00772FEB"/>
    <w:rsid w:val="00773224"/>
    <w:rsid w:val="00773392"/>
    <w:rsid w:val="007735A9"/>
    <w:rsid w:val="00773762"/>
    <w:rsid w:val="00773D69"/>
    <w:rsid w:val="007741E6"/>
    <w:rsid w:val="00774578"/>
    <w:rsid w:val="00774BF8"/>
    <w:rsid w:val="00774F34"/>
    <w:rsid w:val="007752A1"/>
    <w:rsid w:val="007755C7"/>
    <w:rsid w:val="00775630"/>
    <w:rsid w:val="00776196"/>
    <w:rsid w:val="00776771"/>
    <w:rsid w:val="00776BDE"/>
    <w:rsid w:val="00776CCE"/>
    <w:rsid w:val="0077754C"/>
    <w:rsid w:val="00777713"/>
    <w:rsid w:val="0077790E"/>
    <w:rsid w:val="00777F97"/>
    <w:rsid w:val="00780090"/>
    <w:rsid w:val="00780404"/>
    <w:rsid w:val="007804FF"/>
    <w:rsid w:val="00780C76"/>
    <w:rsid w:val="00780FB0"/>
    <w:rsid w:val="00781695"/>
    <w:rsid w:val="0078280D"/>
    <w:rsid w:val="007831A2"/>
    <w:rsid w:val="0078341D"/>
    <w:rsid w:val="00783742"/>
    <w:rsid w:val="00783C35"/>
    <w:rsid w:val="00783CCC"/>
    <w:rsid w:val="00783E84"/>
    <w:rsid w:val="00783F3C"/>
    <w:rsid w:val="007846C8"/>
    <w:rsid w:val="007848D4"/>
    <w:rsid w:val="00785C56"/>
    <w:rsid w:val="00785E29"/>
    <w:rsid w:val="00785F1E"/>
    <w:rsid w:val="00785FD4"/>
    <w:rsid w:val="007866BE"/>
    <w:rsid w:val="007867BB"/>
    <w:rsid w:val="0078688A"/>
    <w:rsid w:val="00786EEE"/>
    <w:rsid w:val="00787B7A"/>
    <w:rsid w:val="00787BBE"/>
    <w:rsid w:val="0079057B"/>
    <w:rsid w:val="0079103F"/>
    <w:rsid w:val="00792348"/>
    <w:rsid w:val="00792541"/>
    <w:rsid w:val="007928C4"/>
    <w:rsid w:val="00792CE0"/>
    <w:rsid w:val="00793246"/>
    <w:rsid w:val="007933F3"/>
    <w:rsid w:val="00793615"/>
    <w:rsid w:val="00793E0B"/>
    <w:rsid w:val="00793F22"/>
    <w:rsid w:val="007945D8"/>
    <w:rsid w:val="00794B2F"/>
    <w:rsid w:val="00794D00"/>
    <w:rsid w:val="00795283"/>
    <w:rsid w:val="0079584C"/>
    <w:rsid w:val="007959D4"/>
    <w:rsid w:val="00795BC5"/>
    <w:rsid w:val="007966DC"/>
    <w:rsid w:val="00796B6C"/>
    <w:rsid w:val="00796D84"/>
    <w:rsid w:val="0079798E"/>
    <w:rsid w:val="00797A64"/>
    <w:rsid w:val="007A0152"/>
    <w:rsid w:val="007A07CC"/>
    <w:rsid w:val="007A0BC3"/>
    <w:rsid w:val="007A142C"/>
    <w:rsid w:val="007A15C6"/>
    <w:rsid w:val="007A17C3"/>
    <w:rsid w:val="007A1CCF"/>
    <w:rsid w:val="007A20BF"/>
    <w:rsid w:val="007A2432"/>
    <w:rsid w:val="007A2611"/>
    <w:rsid w:val="007A27B9"/>
    <w:rsid w:val="007A2860"/>
    <w:rsid w:val="007A2B73"/>
    <w:rsid w:val="007A2C07"/>
    <w:rsid w:val="007A2E01"/>
    <w:rsid w:val="007A3E52"/>
    <w:rsid w:val="007A44E4"/>
    <w:rsid w:val="007A493B"/>
    <w:rsid w:val="007A4A73"/>
    <w:rsid w:val="007A4D44"/>
    <w:rsid w:val="007A4DCE"/>
    <w:rsid w:val="007A51CF"/>
    <w:rsid w:val="007A5349"/>
    <w:rsid w:val="007A5A22"/>
    <w:rsid w:val="007A78F1"/>
    <w:rsid w:val="007A7CD8"/>
    <w:rsid w:val="007B0216"/>
    <w:rsid w:val="007B08F1"/>
    <w:rsid w:val="007B098E"/>
    <w:rsid w:val="007B0EF2"/>
    <w:rsid w:val="007B0F3E"/>
    <w:rsid w:val="007B1F2D"/>
    <w:rsid w:val="007B2204"/>
    <w:rsid w:val="007B2EE7"/>
    <w:rsid w:val="007B3204"/>
    <w:rsid w:val="007B3428"/>
    <w:rsid w:val="007B3645"/>
    <w:rsid w:val="007B37DF"/>
    <w:rsid w:val="007B3CE4"/>
    <w:rsid w:val="007B3CF2"/>
    <w:rsid w:val="007B3EEF"/>
    <w:rsid w:val="007B401B"/>
    <w:rsid w:val="007B4C54"/>
    <w:rsid w:val="007B4CA9"/>
    <w:rsid w:val="007B5867"/>
    <w:rsid w:val="007B5985"/>
    <w:rsid w:val="007B60DA"/>
    <w:rsid w:val="007B620B"/>
    <w:rsid w:val="007B63D5"/>
    <w:rsid w:val="007B66DB"/>
    <w:rsid w:val="007B6FA7"/>
    <w:rsid w:val="007B7090"/>
    <w:rsid w:val="007B73DC"/>
    <w:rsid w:val="007B76D0"/>
    <w:rsid w:val="007B7879"/>
    <w:rsid w:val="007B7D6E"/>
    <w:rsid w:val="007C0DE4"/>
    <w:rsid w:val="007C0F00"/>
    <w:rsid w:val="007C1100"/>
    <w:rsid w:val="007C1C57"/>
    <w:rsid w:val="007C1E05"/>
    <w:rsid w:val="007C1E8C"/>
    <w:rsid w:val="007C1F1D"/>
    <w:rsid w:val="007C21E0"/>
    <w:rsid w:val="007C2A8E"/>
    <w:rsid w:val="007C2F81"/>
    <w:rsid w:val="007C3188"/>
    <w:rsid w:val="007C329E"/>
    <w:rsid w:val="007C383C"/>
    <w:rsid w:val="007C38AA"/>
    <w:rsid w:val="007C4C33"/>
    <w:rsid w:val="007C4E94"/>
    <w:rsid w:val="007C50D6"/>
    <w:rsid w:val="007C5657"/>
    <w:rsid w:val="007C6A55"/>
    <w:rsid w:val="007C757A"/>
    <w:rsid w:val="007C77FD"/>
    <w:rsid w:val="007C7A09"/>
    <w:rsid w:val="007C7BCE"/>
    <w:rsid w:val="007D048C"/>
    <w:rsid w:val="007D0650"/>
    <w:rsid w:val="007D0D03"/>
    <w:rsid w:val="007D0D24"/>
    <w:rsid w:val="007D0D75"/>
    <w:rsid w:val="007D14E3"/>
    <w:rsid w:val="007D1574"/>
    <w:rsid w:val="007D18E7"/>
    <w:rsid w:val="007D2FCB"/>
    <w:rsid w:val="007D350E"/>
    <w:rsid w:val="007D3980"/>
    <w:rsid w:val="007D40C6"/>
    <w:rsid w:val="007D421D"/>
    <w:rsid w:val="007D484D"/>
    <w:rsid w:val="007D4CA3"/>
    <w:rsid w:val="007D4D4F"/>
    <w:rsid w:val="007D5678"/>
    <w:rsid w:val="007D74FB"/>
    <w:rsid w:val="007E030A"/>
    <w:rsid w:val="007E030C"/>
    <w:rsid w:val="007E055F"/>
    <w:rsid w:val="007E0A1F"/>
    <w:rsid w:val="007E0E80"/>
    <w:rsid w:val="007E0E8B"/>
    <w:rsid w:val="007E1A1B"/>
    <w:rsid w:val="007E1C1A"/>
    <w:rsid w:val="007E2087"/>
    <w:rsid w:val="007E2363"/>
    <w:rsid w:val="007E26E4"/>
    <w:rsid w:val="007E30A2"/>
    <w:rsid w:val="007E3265"/>
    <w:rsid w:val="007E374E"/>
    <w:rsid w:val="007E3798"/>
    <w:rsid w:val="007E3F62"/>
    <w:rsid w:val="007E4147"/>
    <w:rsid w:val="007E4342"/>
    <w:rsid w:val="007E4407"/>
    <w:rsid w:val="007E4920"/>
    <w:rsid w:val="007E4AD4"/>
    <w:rsid w:val="007E4C9A"/>
    <w:rsid w:val="007E514B"/>
    <w:rsid w:val="007E5740"/>
    <w:rsid w:val="007E5890"/>
    <w:rsid w:val="007E59B8"/>
    <w:rsid w:val="007E66CB"/>
    <w:rsid w:val="007E6815"/>
    <w:rsid w:val="007E69BC"/>
    <w:rsid w:val="007E78FF"/>
    <w:rsid w:val="007F013F"/>
    <w:rsid w:val="007F07ED"/>
    <w:rsid w:val="007F0D58"/>
    <w:rsid w:val="007F0DCA"/>
    <w:rsid w:val="007F109B"/>
    <w:rsid w:val="007F172E"/>
    <w:rsid w:val="007F193A"/>
    <w:rsid w:val="007F1CA1"/>
    <w:rsid w:val="007F22D6"/>
    <w:rsid w:val="007F2D07"/>
    <w:rsid w:val="007F2DCF"/>
    <w:rsid w:val="007F307A"/>
    <w:rsid w:val="007F3271"/>
    <w:rsid w:val="007F38B9"/>
    <w:rsid w:val="007F4264"/>
    <w:rsid w:val="007F437E"/>
    <w:rsid w:val="007F47AE"/>
    <w:rsid w:val="007F4D9D"/>
    <w:rsid w:val="007F4F90"/>
    <w:rsid w:val="007F5290"/>
    <w:rsid w:val="007F5797"/>
    <w:rsid w:val="007F67A9"/>
    <w:rsid w:val="007F69D9"/>
    <w:rsid w:val="007F6B8B"/>
    <w:rsid w:val="007F6C17"/>
    <w:rsid w:val="007F7204"/>
    <w:rsid w:val="007F7813"/>
    <w:rsid w:val="007F78AA"/>
    <w:rsid w:val="007F7A20"/>
    <w:rsid w:val="007F7D6A"/>
    <w:rsid w:val="00800879"/>
    <w:rsid w:val="00800BAE"/>
    <w:rsid w:val="00801720"/>
    <w:rsid w:val="00801736"/>
    <w:rsid w:val="00801807"/>
    <w:rsid w:val="008019A9"/>
    <w:rsid w:val="00801A01"/>
    <w:rsid w:val="00801C59"/>
    <w:rsid w:val="00802383"/>
    <w:rsid w:val="0080266F"/>
    <w:rsid w:val="00804520"/>
    <w:rsid w:val="00804576"/>
    <w:rsid w:val="008046B9"/>
    <w:rsid w:val="0080477A"/>
    <w:rsid w:val="00804BBD"/>
    <w:rsid w:val="008050D7"/>
    <w:rsid w:val="00805757"/>
    <w:rsid w:val="008058B2"/>
    <w:rsid w:val="00805F08"/>
    <w:rsid w:val="008067E5"/>
    <w:rsid w:val="00806E87"/>
    <w:rsid w:val="008071F8"/>
    <w:rsid w:val="00807308"/>
    <w:rsid w:val="00807979"/>
    <w:rsid w:val="008106D8"/>
    <w:rsid w:val="00810D39"/>
    <w:rsid w:val="00811232"/>
    <w:rsid w:val="00811296"/>
    <w:rsid w:val="00811BD5"/>
    <w:rsid w:val="0081232B"/>
    <w:rsid w:val="008123CC"/>
    <w:rsid w:val="00813404"/>
    <w:rsid w:val="00813451"/>
    <w:rsid w:val="00813487"/>
    <w:rsid w:val="00813782"/>
    <w:rsid w:val="00814D1D"/>
    <w:rsid w:val="0081552C"/>
    <w:rsid w:val="00815593"/>
    <w:rsid w:val="00815EEC"/>
    <w:rsid w:val="00816E43"/>
    <w:rsid w:val="008170A7"/>
    <w:rsid w:val="00817F0E"/>
    <w:rsid w:val="00817F59"/>
    <w:rsid w:val="0082030F"/>
    <w:rsid w:val="00820372"/>
    <w:rsid w:val="008203C2"/>
    <w:rsid w:val="00820569"/>
    <w:rsid w:val="00820D2C"/>
    <w:rsid w:val="00821C11"/>
    <w:rsid w:val="008221CB"/>
    <w:rsid w:val="008229B3"/>
    <w:rsid w:val="00822C0B"/>
    <w:rsid w:val="008230B0"/>
    <w:rsid w:val="0082327A"/>
    <w:rsid w:val="00823BA7"/>
    <w:rsid w:val="00823DA9"/>
    <w:rsid w:val="00824532"/>
    <w:rsid w:val="008246D1"/>
    <w:rsid w:val="008247DA"/>
    <w:rsid w:val="00825081"/>
    <w:rsid w:val="00825215"/>
    <w:rsid w:val="00825A85"/>
    <w:rsid w:val="008261D2"/>
    <w:rsid w:val="0082636D"/>
    <w:rsid w:val="008264C0"/>
    <w:rsid w:val="008268F5"/>
    <w:rsid w:val="0082735E"/>
    <w:rsid w:val="008276B5"/>
    <w:rsid w:val="0082798F"/>
    <w:rsid w:val="008279D1"/>
    <w:rsid w:val="00827E01"/>
    <w:rsid w:val="00830273"/>
    <w:rsid w:val="008304A1"/>
    <w:rsid w:val="008307A2"/>
    <w:rsid w:val="00830ECD"/>
    <w:rsid w:val="00831381"/>
    <w:rsid w:val="008313E6"/>
    <w:rsid w:val="0083164D"/>
    <w:rsid w:val="008319D2"/>
    <w:rsid w:val="00831BD3"/>
    <w:rsid w:val="008323D1"/>
    <w:rsid w:val="0083260E"/>
    <w:rsid w:val="00832B53"/>
    <w:rsid w:val="0083393C"/>
    <w:rsid w:val="00833AF5"/>
    <w:rsid w:val="00833F4B"/>
    <w:rsid w:val="008343D9"/>
    <w:rsid w:val="008348C1"/>
    <w:rsid w:val="00834A14"/>
    <w:rsid w:val="00834B07"/>
    <w:rsid w:val="0083547B"/>
    <w:rsid w:val="008355F0"/>
    <w:rsid w:val="008357C1"/>
    <w:rsid w:val="00835ED4"/>
    <w:rsid w:val="00836803"/>
    <w:rsid w:val="00836931"/>
    <w:rsid w:val="00837450"/>
    <w:rsid w:val="0083751A"/>
    <w:rsid w:val="00837D5B"/>
    <w:rsid w:val="00837EA6"/>
    <w:rsid w:val="0084006B"/>
    <w:rsid w:val="0084103F"/>
    <w:rsid w:val="0084167E"/>
    <w:rsid w:val="00841883"/>
    <w:rsid w:val="00841E08"/>
    <w:rsid w:val="00841EC1"/>
    <w:rsid w:val="00841EC6"/>
    <w:rsid w:val="0084232C"/>
    <w:rsid w:val="0084398C"/>
    <w:rsid w:val="00844293"/>
    <w:rsid w:val="008445C3"/>
    <w:rsid w:val="00844D7B"/>
    <w:rsid w:val="00845631"/>
    <w:rsid w:val="008465B8"/>
    <w:rsid w:val="00847B5B"/>
    <w:rsid w:val="00850187"/>
    <w:rsid w:val="008501F8"/>
    <w:rsid w:val="008509B7"/>
    <w:rsid w:val="00850C02"/>
    <w:rsid w:val="0085148E"/>
    <w:rsid w:val="008517A6"/>
    <w:rsid w:val="00852639"/>
    <w:rsid w:val="008527E0"/>
    <w:rsid w:val="00852EEE"/>
    <w:rsid w:val="008534AC"/>
    <w:rsid w:val="008536FC"/>
    <w:rsid w:val="008539DC"/>
    <w:rsid w:val="00853B80"/>
    <w:rsid w:val="00855062"/>
    <w:rsid w:val="0085523A"/>
    <w:rsid w:val="008558BA"/>
    <w:rsid w:val="00855B45"/>
    <w:rsid w:val="00855D6C"/>
    <w:rsid w:val="00855DC7"/>
    <w:rsid w:val="00857735"/>
    <w:rsid w:val="00857E3F"/>
    <w:rsid w:val="00860263"/>
    <w:rsid w:val="008605B4"/>
    <w:rsid w:val="00860C85"/>
    <w:rsid w:val="00860C9A"/>
    <w:rsid w:val="00861AF0"/>
    <w:rsid w:val="00861AF1"/>
    <w:rsid w:val="008628FC"/>
    <w:rsid w:val="00862D3C"/>
    <w:rsid w:val="008632BD"/>
    <w:rsid w:val="008639E4"/>
    <w:rsid w:val="0086401A"/>
    <w:rsid w:val="00864985"/>
    <w:rsid w:val="00864FD5"/>
    <w:rsid w:val="008653A1"/>
    <w:rsid w:val="00865E7F"/>
    <w:rsid w:val="00866713"/>
    <w:rsid w:val="0086683C"/>
    <w:rsid w:val="00866903"/>
    <w:rsid w:val="0086698D"/>
    <w:rsid w:val="008670DC"/>
    <w:rsid w:val="00867E4E"/>
    <w:rsid w:val="00870723"/>
    <w:rsid w:val="00870C30"/>
    <w:rsid w:val="008718D9"/>
    <w:rsid w:val="00871945"/>
    <w:rsid w:val="00871E68"/>
    <w:rsid w:val="00871F8B"/>
    <w:rsid w:val="0087243A"/>
    <w:rsid w:val="00873176"/>
    <w:rsid w:val="0087439C"/>
    <w:rsid w:val="008746F3"/>
    <w:rsid w:val="00875639"/>
    <w:rsid w:val="008759A3"/>
    <w:rsid w:val="00875C92"/>
    <w:rsid w:val="00875F58"/>
    <w:rsid w:val="008767AB"/>
    <w:rsid w:val="00876949"/>
    <w:rsid w:val="00876D2E"/>
    <w:rsid w:val="008770A8"/>
    <w:rsid w:val="0087723C"/>
    <w:rsid w:val="0087743A"/>
    <w:rsid w:val="008776AA"/>
    <w:rsid w:val="00877E2C"/>
    <w:rsid w:val="008801F2"/>
    <w:rsid w:val="0088058D"/>
    <w:rsid w:val="0088096A"/>
    <w:rsid w:val="00880ACA"/>
    <w:rsid w:val="0088133E"/>
    <w:rsid w:val="00881524"/>
    <w:rsid w:val="00881691"/>
    <w:rsid w:val="0088198F"/>
    <w:rsid w:val="00881B30"/>
    <w:rsid w:val="00881B8D"/>
    <w:rsid w:val="00881FD2"/>
    <w:rsid w:val="0088233A"/>
    <w:rsid w:val="00882728"/>
    <w:rsid w:val="00882798"/>
    <w:rsid w:val="00883195"/>
    <w:rsid w:val="008842F0"/>
    <w:rsid w:val="00884565"/>
    <w:rsid w:val="00885293"/>
    <w:rsid w:val="008853DB"/>
    <w:rsid w:val="00885607"/>
    <w:rsid w:val="0088563D"/>
    <w:rsid w:val="00885C4C"/>
    <w:rsid w:val="00887895"/>
    <w:rsid w:val="008879B5"/>
    <w:rsid w:val="00887DA9"/>
    <w:rsid w:val="00887F7C"/>
    <w:rsid w:val="0089018A"/>
    <w:rsid w:val="00891235"/>
    <w:rsid w:val="00891DE1"/>
    <w:rsid w:val="0089226A"/>
    <w:rsid w:val="008924B1"/>
    <w:rsid w:val="0089266F"/>
    <w:rsid w:val="008926CE"/>
    <w:rsid w:val="00892B21"/>
    <w:rsid w:val="00892E69"/>
    <w:rsid w:val="0089337E"/>
    <w:rsid w:val="008934E6"/>
    <w:rsid w:val="00893782"/>
    <w:rsid w:val="0089379C"/>
    <w:rsid w:val="00893F69"/>
    <w:rsid w:val="00894F1D"/>
    <w:rsid w:val="00894F94"/>
    <w:rsid w:val="008954D0"/>
    <w:rsid w:val="0089572B"/>
    <w:rsid w:val="00895828"/>
    <w:rsid w:val="00895B17"/>
    <w:rsid w:val="00895DAC"/>
    <w:rsid w:val="00896C33"/>
    <w:rsid w:val="0089723F"/>
    <w:rsid w:val="00897550"/>
    <w:rsid w:val="00897968"/>
    <w:rsid w:val="00897A16"/>
    <w:rsid w:val="00897C75"/>
    <w:rsid w:val="00897E91"/>
    <w:rsid w:val="008A04A6"/>
    <w:rsid w:val="008A0669"/>
    <w:rsid w:val="008A07C0"/>
    <w:rsid w:val="008A0826"/>
    <w:rsid w:val="008A0B0F"/>
    <w:rsid w:val="008A0D99"/>
    <w:rsid w:val="008A1882"/>
    <w:rsid w:val="008A1DFD"/>
    <w:rsid w:val="008A2184"/>
    <w:rsid w:val="008A26B8"/>
    <w:rsid w:val="008A3815"/>
    <w:rsid w:val="008A38AE"/>
    <w:rsid w:val="008A3E2A"/>
    <w:rsid w:val="008A40EB"/>
    <w:rsid w:val="008A4124"/>
    <w:rsid w:val="008A4D23"/>
    <w:rsid w:val="008A548F"/>
    <w:rsid w:val="008A58C6"/>
    <w:rsid w:val="008A61DB"/>
    <w:rsid w:val="008A633A"/>
    <w:rsid w:val="008A730B"/>
    <w:rsid w:val="008A76FD"/>
    <w:rsid w:val="008A77FC"/>
    <w:rsid w:val="008A7830"/>
    <w:rsid w:val="008A7A70"/>
    <w:rsid w:val="008A7CA4"/>
    <w:rsid w:val="008B05E1"/>
    <w:rsid w:val="008B09CF"/>
    <w:rsid w:val="008B0D43"/>
    <w:rsid w:val="008B1521"/>
    <w:rsid w:val="008B15E2"/>
    <w:rsid w:val="008B1630"/>
    <w:rsid w:val="008B1D22"/>
    <w:rsid w:val="008B25BE"/>
    <w:rsid w:val="008B27D0"/>
    <w:rsid w:val="008B2950"/>
    <w:rsid w:val="008B2995"/>
    <w:rsid w:val="008B2AC7"/>
    <w:rsid w:val="008B2D47"/>
    <w:rsid w:val="008B30DB"/>
    <w:rsid w:val="008B3219"/>
    <w:rsid w:val="008B3586"/>
    <w:rsid w:val="008B3644"/>
    <w:rsid w:val="008B3D87"/>
    <w:rsid w:val="008B419F"/>
    <w:rsid w:val="008B4954"/>
    <w:rsid w:val="008B4967"/>
    <w:rsid w:val="008B4F7D"/>
    <w:rsid w:val="008B5635"/>
    <w:rsid w:val="008B6143"/>
    <w:rsid w:val="008B61B4"/>
    <w:rsid w:val="008B6BF6"/>
    <w:rsid w:val="008B72C3"/>
    <w:rsid w:val="008B73BA"/>
    <w:rsid w:val="008C01FF"/>
    <w:rsid w:val="008C07CC"/>
    <w:rsid w:val="008C08E1"/>
    <w:rsid w:val="008C0D49"/>
    <w:rsid w:val="008C0E9E"/>
    <w:rsid w:val="008C13D8"/>
    <w:rsid w:val="008C163D"/>
    <w:rsid w:val="008C20B0"/>
    <w:rsid w:val="008C2CA5"/>
    <w:rsid w:val="008C2EA9"/>
    <w:rsid w:val="008C2F18"/>
    <w:rsid w:val="008C35E9"/>
    <w:rsid w:val="008C4660"/>
    <w:rsid w:val="008C4A22"/>
    <w:rsid w:val="008C51DE"/>
    <w:rsid w:val="008C59DD"/>
    <w:rsid w:val="008C68E8"/>
    <w:rsid w:val="008C7427"/>
    <w:rsid w:val="008C74DE"/>
    <w:rsid w:val="008C7714"/>
    <w:rsid w:val="008C798C"/>
    <w:rsid w:val="008D0401"/>
    <w:rsid w:val="008D0A2F"/>
    <w:rsid w:val="008D0A5B"/>
    <w:rsid w:val="008D16E0"/>
    <w:rsid w:val="008D16EE"/>
    <w:rsid w:val="008D1C4B"/>
    <w:rsid w:val="008D2087"/>
    <w:rsid w:val="008D274F"/>
    <w:rsid w:val="008D2AA2"/>
    <w:rsid w:val="008D2DD2"/>
    <w:rsid w:val="008D2F21"/>
    <w:rsid w:val="008D335E"/>
    <w:rsid w:val="008D39C7"/>
    <w:rsid w:val="008D3EAC"/>
    <w:rsid w:val="008D436A"/>
    <w:rsid w:val="008D4D82"/>
    <w:rsid w:val="008D5331"/>
    <w:rsid w:val="008D5C4C"/>
    <w:rsid w:val="008D5D31"/>
    <w:rsid w:val="008D6EB0"/>
    <w:rsid w:val="008D79A9"/>
    <w:rsid w:val="008D7A72"/>
    <w:rsid w:val="008D7B83"/>
    <w:rsid w:val="008D7C97"/>
    <w:rsid w:val="008D7CAB"/>
    <w:rsid w:val="008D7CE9"/>
    <w:rsid w:val="008D7CF7"/>
    <w:rsid w:val="008D7E87"/>
    <w:rsid w:val="008D7F50"/>
    <w:rsid w:val="008E05D8"/>
    <w:rsid w:val="008E13F8"/>
    <w:rsid w:val="008E1845"/>
    <w:rsid w:val="008E18BB"/>
    <w:rsid w:val="008E1FCA"/>
    <w:rsid w:val="008E2045"/>
    <w:rsid w:val="008E21CC"/>
    <w:rsid w:val="008E23F4"/>
    <w:rsid w:val="008E240A"/>
    <w:rsid w:val="008E33B4"/>
    <w:rsid w:val="008E39EC"/>
    <w:rsid w:val="008E3E3B"/>
    <w:rsid w:val="008E433D"/>
    <w:rsid w:val="008E4C73"/>
    <w:rsid w:val="008E5202"/>
    <w:rsid w:val="008E57D7"/>
    <w:rsid w:val="008E5B7C"/>
    <w:rsid w:val="008E6933"/>
    <w:rsid w:val="008E69D4"/>
    <w:rsid w:val="008E6D59"/>
    <w:rsid w:val="008E6FF0"/>
    <w:rsid w:val="008E713A"/>
    <w:rsid w:val="008E71AB"/>
    <w:rsid w:val="008E7BAE"/>
    <w:rsid w:val="008E7CEC"/>
    <w:rsid w:val="008F00CC"/>
    <w:rsid w:val="008F00EF"/>
    <w:rsid w:val="008F0282"/>
    <w:rsid w:val="008F032F"/>
    <w:rsid w:val="008F034F"/>
    <w:rsid w:val="008F0B45"/>
    <w:rsid w:val="008F1234"/>
    <w:rsid w:val="008F150C"/>
    <w:rsid w:val="008F1811"/>
    <w:rsid w:val="008F1E04"/>
    <w:rsid w:val="008F1EF8"/>
    <w:rsid w:val="008F22FD"/>
    <w:rsid w:val="008F2570"/>
    <w:rsid w:val="008F2CBE"/>
    <w:rsid w:val="008F38E7"/>
    <w:rsid w:val="008F3B44"/>
    <w:rsid w:val="008F3B5A"/>
    <w:rsid w:val="008F4333"/>
    <w:rsid w:val="008F44D5"/>
    <w:rsid w:val="008F5238"/>
    <w:rsid w:val="008F541F"/>
    <w:rsid w:val="008F5690"/>
    <w:rsid w:val="008F590F"/>
    <w:rsid w:val="008F59BF"/>
    <w:rsid w:val="008F634B"/>
    <w:rsid w:val="008F659B"/>
    <w:rsid w:val="008F669D"/>
    <w:rsid w:val="008F6BA7"/>
    <w:rsid w:val="008F6C58"/>
    <w:rsid w:val="008F6D88"/>
    <w:rsid w:val="008F7526"/>
    <w:rsid w:val="008F780F"/>
    <w:rsid w:val="008F7A71"/>
    <w:rsid w:val="008F7ACB"/>
    <w:rsid w:val="00900451"/>
    <w:rsid w:val="0090094E"/>
    <w:rsid w:val="00900B5D"/>
    <w:rsid w:val="00901BF9"/>
    <w:rsid w:val="00901FBE"/>
    <w:rsid w:val="00902575"/>
    <w:rsid w:val="00903394"/>
    <w:rsid w:val="00903DB4"/>
    <w:rsid w:val="0090416E"/>
    <w:rsid w:val="0090423A"/>
    <w:rsid w:val="009045BC"/>
    <w:rsid w:val="00904AEC"/>
    <w:rsid w:val="00904EA5"/>
    <w:rsid w:val="009054A6"/>
    <w:rsid w:val="0090553A"/>
    <w:rsid w:val="009057CB"/>
    <w:rsid w:val="00905898"/>
    <w:rsid w:val="0090592B"/>
    <w:rsid w:val="00905CB3"/>
    <w:rsid w:val="0090648E"/>
    <w:rsid w:val="009072E4"/>
    <w:rsid w:val="00907855"/>
    <w:rsid w:val="0091018E"/>
    <w:rsid w:val="009103BD"/>
    <w:rsid w:val="00910B45"/>
    <w:rsid w:val="00910B55"/>
    <w:rsid w:val="00910F9E"/>
    <w:rsid w:val="009111EB"/>
    <w:rsid w:val="00912424"/>
    <w:rsid w:val="009125D8"/>
    <w:rsid w:val="009125F8"/>
    <w:rsid w:val="00912875"/>
    <w:rsid w:val="00912D6C"/>
    <w:rsid w:val="0091304C"/>
    <w:rsid w:val="009141AE"/>
    <w:rsid w:val="00914550"/>
    <w:rsid w:val="009149BA"/>
    <w:rsid w:val="00914A13"/>
    <w:rsid w:val="00914C48"/>
    <w:rsid w:val="00914C87"/>
    <w:rsid w:val="00915D38"/>
    <w:rsid w:val="00915D8B"/>
    <w:rsid w:val="00915F2A"/>
    <w:rsid w:val="009164F2"/>
    <w:rsid w:val="009166EA"/>
    <w:rsid w:val="0091692D"/>
    <w:rsid w:val="00916B61"/>
    <w:rsid w:val="00916DA4"/>
    <w:rsid w:val="009171DA"/>
    <w:rsid w:val="00917C3F"/>
    <w:rsid w:val="00917EDF"/>
    <w:rsid w:val="00917F5C"/>
    <w:rsid w:val="00920579"/>
    <w:rsid w:val="0092087F"/>
    <w:rsid w:val="00920BF5"/>
    <w:rsid w:val="00920DC4"/>
    <w:rsid w:val="00921539"/>
    <w:rsid w:val="0092156B"/>
    <w:rsid w:val="0092196B"/>
    <w:rsid w:val="00922104"/>
    <w:rsid w:val="009221E2"/>
    <w:rsid w:val="009222EE"/>
    <w:rsid w:val="0092240E"/>
    <w:rsid w:val="0092245A"/>
    <w:rsid w:val="00922584"/>
    <w:rsid w:val="00922DE1"/>
    <w:rsid w:val="00922F83"/>
    <w:rsid w:val="0092307B"/>
    <w:rsid w:val="009237A9"/>
    <w:rsid w:val="00923ACE"/>
    <w:rsid w:val="009243C9"/>
    <w:rsid w:val="009243E0"/>
    <w:rsid w:val="009244DA"/>
    <w:rsid w:val="009245B1"/>
    <w:rsid w:val="009247BD"/>
    <w:rsid w:val="00924855"/>
    <w:rsid w:val="00924A27"/>
    <w:rsid w:val="00924C47"/>
    <w:rsid w:val="00924DE9"/>
    <w:rsid w:val="00924FF0"/>
    <w:rsid w:val="00925087"/>
    <w:rsid w:val="0092537D"/>
    <w:rsid w:val="00925603"/>
    <w:rsid w:val="009257D4"/>
    <w:rsid w:val="00925B71"/>
    <w:rsid w:val="009261C7"/>
    <w:rsid w:val="00926793"/>
    <w:rsid w:val="00926B81"/>
    <w:rsid w:val="0092796E"/>
    <w:rsid w:val="00927F3B"/>
    <w:rsid w:val="0093017F"/>
    <w:rsid w:val="00930467"/>
    <w:rsid w:val="00930BB3"/>
    <w:rsid w:val="00930DFF"/>
    <w:rsid w:val="009317CE"/>
    <w:rsid w:val="009317E9"/>
    <w:rsid w:val="0093216B"/>
    <w:rsid w:val="00932C34"/>
    <w:rsid w:val="00933256"/>
    <w:rsid w:val="009334AE"/>
    <w:rsid w:val="00933539"/>
    <w:rsid w:val="0093356C"/>
    <w:rsid w:val="00933A89"/>
    <w:rsid w:val="00933E80"/>
    <w:rsid w:val="00934919"/>
    <w:rsid w:val="00934E35"/>
    <w:rsid w:val="00934F40"/>
    <w:rsid w:val="009351B6"/>
    <w:rsid w:val="00935501"/>
    <w:rsid w:val="009359F9"/>
    <w:rsid w:val="00936366"/>
    <w:rsid w:val="0093706F"/>
    <w:rsid w:val="009372E0"/>
    <w:rsid w:val="00937869"/>
    <w:rsid w:val="00937972"/>
    <w:rsid w:val="00937B59"/>
    <w:rsid w:val="009408A1"/>
    <w:rsid w:val="00940C7B"/>
    <w:rsid w:val="00940CC3"/>
    <w:rsid w:val="00940DD2"/>
    <w:rsid w:val="009415AF"/>
    <w:rsid w:val="00941AEE"/>
    <w:rsid w:val="00941BEF"/>
    <w:rsid w:val="009423DD"/>
    <w:rsid w:val="00942879"/>
    <w:rsid w:val="00942D05"/>
    <w:rsid w:val="009431C0"/>
    <w:rsid w:val="00943494"/>
    <w:rsid w:val="00943535"/>
    <w:rsid w:val="009435BA"/>
    <w:rsid w:val="0094443B"/>
    <w:rsid w:val="00945108"/>
    <w:rsid w:val="00945140"/>
    <w:rsid w:val="0094515E"/>
    <w:rsid w:val="00945412"/>
    <w:rsid w:val="00945563"/>
    <w:rsid w:val="009457B1"/>
    <w:rsid w:val="00945DD8"/>
    <w:rsid w:val="009465A9"/>
    <w:rsid w:val="009466F7"/>
    <w:rsid w:val="0094721B"/>
    <w:rsid w:val="00947C7B"/>
    <w:rsid w:val="009500A2"/>
    <w:rsid w:val="00950A3E"/>
    <w:rsid w:val="00950B3A"/>
    <w:rsid w:val="00951547"/>
    <w:rsid w:val="00952078"/>
    <w:rsid w:val="00952182"/>
    <w:rsid w:val="009522DD"/>
    <w:rsid w:val="009524A1"/>
    <w:rsid w:val="0095254E"/>
    <w:rsid w:val="00952935"/>
    <w:rsid w:val="00952D5F"/>
    <w:rsid w:val="00952E9D"/>
    <w:rsid w:val="009539AB"/>
    <w:rsid w:val="00953CF3"/>
    <w:rsid w:val="009548D0"/>
    <w:rsid w:val="00954C56"/>
    <w:rsid w:val="00956982"/>
    <w:rsid w:val="00957470"/>
    <w:rsid w:val="009574EB"/>
    <w:rsid w:val="0096004E"/>
    <w:rsid w:val="00960152"/>
    <w:rsid w:val="00960AB7"/>
    <w:rsid w:val="00960F9B"/>
    <w:rsid w:val="00960FA3"/>
    <w:rsid w:val="009612EB"/>
    <w:rsid w:val="00961335"/>
    <w:rsid w:val="00961397"/>
    <w:rsid w:val="00961A66"/>
    <w:rsid w:val="009626BE"/>
    <w:rsid w:val="00962797"/>
    <w:rsid w:val="0096284F"/>
    <w:rsid w:val="009635D0"/>
    <w:rsid w:val="00963967"/>
    <w:rsid w:val="00963B1C"/>
    <w:rsid w:val="00963C73"/>
    <w:rsid w:val="00963E2F"/>
    <w:rsid w:val="00963F1C"/>
    <w:rsid w:val="009643B2"/>
    <w:rsid w:val="009659E1"/>
    <w:rsid w:val="00965DC1"/>
    <w:rsid w:val="009661B6"/>
    <w:rsid w:val="00966E52"/>
    <w:rsid w:val="00967481"/>
    <w:rsid w:val="00967882"/>
    <w:rsid w:val="00967A8D"/>
    <w:rsid w:val="00967E62"/>
    <w:rsid w:val="00970A02"/>
    <w:rsid w:val="00970FF1"/>
    <w:rsid w:val="00971476"/>
    <w:rsid w:val="0097297E"/>
    <w:rsid w:val="00972EF7"/>
    <w:rsid w:val="009734D4"/>
    <w:rsid w:val="00973D45"/>
    <w:rsid w:val="00973E98"/>
    <w:rsid w:val="00974167"/>
    <w:rsid w:val="00974343"/>
    <w:rsid w:val="00974475"/>
    <w:rsid w:val="00974E01"/>
    <w:rsid w:val="009760BD"/>
    <w:rsid w:val="009765B1"/>
    <w:rsid w:val="00976677"/>
    <w:rsid w:val="0097688D"/>
    <w:rsid w:val="00976A03"/>
    <w:rsid w:val="00976DEC"/>
    <w:rsid w:val="00976DED"/>
    <w:rsid w:val="00977A14"/>
    <w:rsid w:val="009813B3"/>
    <w:rsid w:val="0098173D"/>
    <w:rsid w:val="00981D44"/>
    <w:rsid w:val="0098293C"/>
    <w:rsid w:val="00982B56"/>
    <w:rsid w:val="00982F37"/>
    <w:rsid w:val="00983B76"/>
    <w:rsid w:val="0098416F"/>
    <w:rsid w:val="0098419A"/>
    <w:rsid w:val="009841AE"/>
    <w:rsid w:val="00984204"/>
    <w:rsid w:val="00984DB8"/>
    <w:rsid w:val="00985910"/>
    <w:rsid w:val="00985C14"/>
    <w:rsid w:val="00985DFF"/>
    <w:rsid w:val="00985F71"/>
    <w:rsid w:val="00986129"/>
    <w:rsid w:val="00986307"/>
    <w:rsid w:val="00986A5C"/>
    <w:rsid w:val="009870AA"/>
    <w:rsid w:val="0098714F"/>
    <w:rsid w:val="0098718D"/>
    <w:rsid w:val="0098782A"/>
    <w:rsid w:val="009901B9"/>
    <w:rsid w:val="0099026D"/>
    <w:rsid w:val="009903BB"/>
    <w:rsid w:val="009913F8"/>
    <w:rsid w:val="0099246F"/>
    <w:rsid w:val="009926F1"/>
    <w:rsid w:val="009926F7"/>
    <w:rsid w:val="00992EEC"/>
    <w:rsid w:val="009932C9"/>
    <w:rsid w:val="00994084"/>
    <w:rsid w:val="00994174"/>
    <w:rsid w:val="00994214"/>
    <w:rsid w:val="009943E2"/>
    <w:rsid w:val="009945DF"/>
    <w:rsid w:val="0099471C"/>
    <w:rsid w:val="0099507C"/>
    <w:rsid w:val="009958BA"/>
    <w:rsid w:val="00995FFF"/>
    <w:rsid w:val="00996799"/>
    <w:rsid w:val="00996E04"/>
    <w:rsid w:val="00996E72"/>
    <w:rsid w:val="00997FDE"/>
    <w:rsid w:val="009A03B3"/>
    <w:rsid w:val="009A0A1F"/>
    <w:rsid w:val="009A0CBC"/>
    <w:rsid w:val="009A1041"/>
    <w:rsid w:val="009A16FC"/>
    <w:rsid w:val="009A1CD6"/>
    <w:rsid w:val="009A2016"/>
    <w:rsid w:val="009A225B"/>
    <w:rsid w:val="009A2768"/>
    <w:rsid w:val="009A2BCE"/>
    <w:rsid w:val="009A2CA6"/>
    <w:rsid w:val="009A30FB"/>
    <w:rsid w:val="009A3610"/>
    <w:rsid w:val="009A377C"/>
    <w:rsid w:val="009A3ADE"/>
    <w:rsid w:val="009A40C5"/>
    <w:rsid w:val="009A436D"/>
    <w:rsid w:val="009A49CD"/>
    <w:rsid w:val="009A4B2B"/>
    <w:rsid w:val="009A52C5"/>
    <w:rsid w:val="009A561B"/>
    <w:rsid w:val="009A5954"/>
    <w:rsid w:val="009A5D21"/>
    <w:rsid w:val="009A5EF0"/>
    <w:rsid w:val="009A6014"/>
    <w:rsid w:val="009A6231"/>
    <w:rsid w:val="009A6AB6"/>
    <w:rsid w:val="009A6CFC"/>
    <w:rsid w:val="009A72E2"/>
    <w:rsid w:val="009A77A1"/>
    <w:rsid w:val="009A794A"/>
    <w:rsid w:val="009B0019"/>
    <w:rsid w:val="009B063C"/>
    <w:rsid w:val="009B10EB"/>
    <w:rsid w:val="009B13AB"/>
    <w:rsid w:val="009B13D5"/>
    <w:rsid w:val="009B1BEB"/>
    <w:rsid w:val="009B20EA"/>
    <w:rsid w:val="009B29E0"/>
    <w:rsid w:val="009B3041"/>
    <w:rsid w:val="009B3565"/>
    <w:rsid w:val="009B396F"/>
    <w:rsid w:val="009B3A53"/>
    <w:rsid w:val="009B3C48"/>
    <w:rsid w:val="009B4468"/>
    <w:rsid w:val="009B44AF"/>
    <w:rsid w:val="009B5D5E"/>
    <w:rsid w:val="009B64BC"/>
    <w:rsid w:val="009B681E"/>
    <w:rsid w:val="009B6C01"/>
    <w:rsid w:val="009B7BB7"/>
    <w:rsid w:val="009B7ED1"/>
    <w:rsid w:val="009B7F2C"/>
    <w:rsid w:val="009C04E5"/>
    <w:rsid w:val="009C081E"/>
    <w:rsid w:val="009C0AB4"/>
    <w:rsid w:val="009C0FD3"/>
    <w:rsid w:val="009C1130"/>
    <w:rsid w:val="009C1923"/>
    <w:rsid w:val="009C1EB4"/>
    <w:rsid w:val="009C25D4"/>
    <w:rsid w:val="009C2766"/>
    <w:rsid w:val="009C2896"/>
    <w:rsid w:val="009C297C"/>
    <w:rsid w:val="009C2DEB"/>
    <w:rsid w:val="009C303D"/>
    <w:rsid w:val="009C3205"/>
    <w:rsid w:val="009C3AAA"/>
    <w:rsid w:val="009C42AF"/>
    <w:rsid w:val="009C4751"/>
    <w:rsid w:val="009C4CC4"/>
    <w:rsid w:val="009C4CE5"/>
    <w:rsid w:val="009C4F2F"/>
    <w:rsid w:val="009C538D"/>
    <w:rsid w:val="009C5849"/>
    <w:rsid w:val="009C5B31"/>
    <w:rsid w:val="009C5BF1"/>
    <w:rsid w:val="009C5D53"/>
    <w:rsid w:val="009C6629"/>
    <w:rsid w:val="009C6CEF"/>
    <w:rsid w:val="009C6F34"/>
    <w:rsid w:val="009C7332"/>
    <w:rsid w:val="009C7483"/>
    <w:rsid w:val="009C79DB"/>
    <w:rsid w:val="009C7A09"/>
    <w:rsid w:val="009C7DCD"/>
    <w:rsid w:val="009C7F42"/>
    <w:rsid w:val="009C7FE7"/>
    <w:rsid w:val="009D017D"/>
    <w:rsid w:val="009D01BD"/>
    <w:rsid w:val="009D03CB"/>
    <w:rsid w:val="009D0508"/>
    <w:rsid w:val="009D0CEA"/>
    <w:rsid w:val="009D0DE7"/>
    <w:rsid w:val="009D1DF3"/>
    <w:rsid w:val="009D2C36"/>
    <w:rsid w:val="009D31F4"/>
    <w:rsid w:val="009D3BF9"/>
    <w:rsid w:val="009D3D2A"/>
    <w:rsid w:val="009D4101"/>
    <w:rsid w:val="009D46E5"/>
    <w:rsid w:val="009D5383"/>
    <w:rsid w:val="009D568A"/>
    <w:rsid w:val="009D690D"/>
    <w:rsid w:val="009D6A0E"/>
    <w:rsid w:val="009D6D7F"/>
    <w:rsid w:val="009D709F"/>
    <w:rsid w:val="009D726C"/>
    <w:rsid w:val="009D748B"/>
    <w:rsid w:val="009D7789"/>
    <w:rsid w:val="009D7A45"/>
    <w:rsid w:val="009D7A66"/>
    <w:rsid w:val="009D7D43"/>
    <w:rsid w:val="009E0287"/>
    <w:rsid w:val="009E0472"/>
    <w:rsid w:val="009E0A7C"/>
    <w:rsid w:val="009E167B"/>
    <w:rsid w:val="009E1AFD"/>
    <w:rsid w:val="009E1D5C"/>
    <w:rsid w:val="009E1D96"/>
    <w:rsid w:val="009E1DCE"/>
    <w:rsid w:val="009E1DDB"/>
    <w:rsid w:val="009E2222"/>
    <w:rsid w:val="009E2879"/>
    <w:rsid w:val="009E290D"/>
    <w:rsid w:val="009E329E"/>
    <w:rsid w:val="009E3759"/>
    <w:rsid w:val="009E3858"/>
    <w:rsid w:val="009E3A58"/>
    <w:rsid w:val="009E4000"/>
    <w:rsid w:val="009E42C1"/>
    <w:rsid w:val="009E43A4"/>
    <w:rsid w:val="009E4CA2"/>
    <w:rsid w:val="009E4D17"/>
    <w:rsid w:val="009E4F11"/>
    <w:rsid w:val="009E55A6"/>
    <w:rsid w:val="009E5A6B"/>
    <w:rsid w:val="009E67B7"/>
    <w:rsid w:val="009E6B9F"/>
    <w:rsid w:val="009E6D29"/>
    <w:rsid w:val="009E6E96"/>
    <w:rsid w:val="009E6F67"/>
    <w:rsid w:val="009E71F5"/>
    <w:rsid w:val="009E7E1C"/>
    <w:rsid w:val="009F0036"/>
    <w:rsid w:val="009F02C0"/>
    <w:rsid w:val="009F036F"/>
    <w:rsid w:val="009F0A42"/>
    <w:rsid w:val="009F0B82"/>
    <w:rsid w:val="009F0EE4"/>
    <w:rsid w:val="009F1A20"/>
    <w:rsid w:val="009F2D99"/>
    <w:rsid w:val="009F2FCF"/>
    <w:rsid w:val="009F2FDC"/>
    <w:rsid w:val="009F36D2"/>
    <w:rsid w:val="009F36EC"/>
    <w:rsid w:val="009F4E96"/>
    <w:rsid w:val="009F4EAA"/>
    <w:rsid w:val="009F56EA"/>
    <w:rsid w:val="009F5C48"/>
    <w:rsid w:val="009F5D73"/>
    <w:rsid w:val="009F67CD"/>
    <w:rsid w:val="009F6B55"/>
    <w:rsid w:val="009F6B56"/>
    <w:rsid w:val="009F7C96"/>
    <w:rsid w:val="00A00773"/>
    <w:rsid w:val="00A00D16"/>
    <w:rsid w:val="00A00F27"/>
    <w:rsid w:val="00A010DA"/>
    <w:rsid w:val="00A01311"/>
    <w:rsid w:val="00A016B9"/>
    <w:rsid w:val="00A018E4"/>
    <w:rsid w:val="00A01C9E"/>
    <w:rsid w:val="00A01DA4"/>
    <w:rsid w:val="00A02221"/>
    <w:rsid w:val="00A03B41"/>
    <w:rsid w:val="00A04A3C"/>
    <w:rsid w:val="00A0507F"/>
    <w:rsid w:val="00A053A4"/>
    <w:rsid w:val="00A06CDA"/>
    <w:rsid w:val="00A070CE"/>
    <w:rsid w:val="00A07839"/>
    <w:rsid w:val="00A07842"/>
    <w:rsid w:val="00A0795C"/>
    <w:rsid w:val="00A10713"/>
    <w:rsid w:val="00A10975"/>
    <w:rsid w:val="00A111C1"/>
    <w:rsid w:val="00A116BA"/>
    <w:rsid w:val="00A13341"/>
    <w:rsid w:val="00A134F9"/>
    <w:rsid w:val="00A13F9A"/>
    <w:rsid w:val="00A14227"/>
    <w:rsid w:val="00A14696"/>
    <w:rsid w:val="00A14E28"/>
    <w:rsid w:val="00A14EA1"/>
    <w:rsid w:val="00A152A7"/>
    <w:rsid w:val="00A15425"/>
    <w:rsid w:val="00A15470"/>
    <w:rsid w:val="00A1555C"/>
    <w:rsid w:val="00A155A0"/>
    <w:rsid w:val="00A15CC2"/>
    <w:rsid w:val="00A161F2"/>
    <w:rsid w:val="00A1631B"/>
    <w:rsid w:val="00A16635"/>
    <w:rsid w:val="00A16764"/>
    <w:rsid w:val="00A1764D"/>
    <w:rsid w:val="00A178C4"/>
    <w:rsid w:val="00A20628"/>
    <w:rsid w:val="00A20A1A"/>
    <w:rsid w:val="00A20CF9"/>
    <w:rsid w:val="00A21197"/>
    <w:rsid w:val="00A214AE"/>
    <w:rsid w:val="00A216CC"/>
    <w:rsid w:val="00A218E5"/>
    <w:rsid w:val="00A21B4B"/>
    <w:rsid w:val="00A22141"/>
    <w:rsid w:val="00A224BB"/>
    <w:rsid w:val="00A22B28"/>
    <w:rsid w:val="00A22C4C"/>
    <w:rsid w:val="00A22DD1"/>
    <w:rsid w:val="00A232CE"/>
    <w:rsid w:val="00A2474E"/>
    <w:rsid w:val="00A24F54"/>
    <w:rsid w:val="00A24F99"/>
    <w:rsid w:val="00A251FF"/>
    <w:rsid w:val="00A2583F"/>
    <w:rsid w:val="00A25AB8"/>
    <w:rsid w:val="00A25F66"/>
    <w:rsid w:val="00A26A91"/>
    <w:rsid w:val="00A26AE1"/>
    <w:rsid w:val="00A26B05"/>
    <w:rsid w:val="00A2704C"/>
    <w:rsid w:val="00A27754"/>
    <w:rsid w:val="00A30781"/>
    <w:rsid w:val="00A30C7D"/>
    <w:rsid w:val="00A31051"/>
    <w:rsid w:val="00A3190A"/>
    <w:rsid w:val="00A31AAA"/>
    <w:rsid w:val="00A31FA0"/>
    <w:rsid w:val="00A32307"/>
    <w:rsid w:val="00A33781"/>
    <w:rsid w:val="00A33B5C"/>
    <w:rsid w:val="00A33D97"/>
    <w:rsid w:val="00A34167"/>
    <w:rsid w:val="00A34690"/>
    <w:rsid w:val="00A348D6"/>
    <w:rsid w:val="00A34B62"/>
    <w:rsid w:val="00A350CC"/>
    <w:rsid w:val="00A35FDC"/>
    <w:rsid w:val="00A36235"/>
    <w:rsid w:val="00A36344"/>
    <w:rsid w:val="00A36C95"/>
    <w:rsid w:val="00A36D5A"/>
    <w:rsid w:val="00A372D7"/>
    <w:rsid w:val="00A375F3"/>
    <w:rsid w:val="00A40092"/>
    <w:rsid w:val="00A408C9"/>
    <w:rsid w:val="00A40B87"/>
    <w:rsid w:val="00A40F38"/>
    <w:rsid w:val="00A4127D"/>
    <w:rsid w:val="00A4162D"/>
    <w:rsid w:val="00A41B66"/>
    <w:rsid w:val="00A41CD4"/>
    <w:rsid w:val="00A41EE9"/>
    <w:rsid w:val="00A42A13"/>
    <w:rsid w:val="00A432E0"/>
    <w:rsid w:val="00A4339A"/>
    <w:rsid w:val="00A436F0"/>
    <w:rsid w:val="00A43891"/>
    <w:rsid w:val="00A43B83"/>
    <w:rsid w:val="00A441B5"/>
    <w:rsid w:val="00A44368"/>
    <w:rsid w:val="00A4457E"/>
    <w:rsid w:val="00A4472E"/>
    <w:rsid w:val="00A448D2"/>
    <w:rsid w:val="00A449B8"/>
    <w:rsid w:val="00A44A96"/>
    <w:rsid w:val="00A44AA1"/>
    <w:rsid w:val="00A44C89"/>
    <w:rsid w:val="00A45418"/>
    <w:rsid w:val="00A45497"/>
    <w:rsid w:val="00A46804"/>
    <w:rsid w:val="00A470D7"/>
    <w:rsid w:val="00A47204"/>
    <w:rsid w:val="00A4729C"/>
    <w:rsid w:val="00A4781D"/>
    <w:rsid w:val="00A47C03"/>
    <w:rsid w:val="00A50BFC"/>
    <w:rsid w:val="00A510D4"/>
    <w:rsid w:val="00A51354"/>
    <w:rsid w:val="00A51696"/>
    <w:rsid w:val="00A51CC9"/>
    <w:rsid w:val="00A51E1E"/>
    <w:rsid w:val="00A5252A"/>
    <w:rsid w:val="00A52715"/>
    <w:rsid w:val="00A528B6"/>
    <w:rsid w:val="00A52FFB"/>
    <w:rsid w:val="00A536F4"/>
    <w:rsid w:val="00A53783"/>
    <w:rsid w:val="00A53D4B"/>
    <w:rsid w:val="00A53D65"/>
    <w:rsid w:val="00A55498"/>
    <w:rsid w:val="00A55731"/>
    <w:rsid w:val="00A55AC2"/>
    <w:rsid w:val="00A55AF9"/>
    <w:rsid w:val="00A55B12"/>
    <w:rsid w:val="00A55B80"/>
    <w:rsid w:val="00A55BE1"/>
    <w:rsid w:val="00A55F91"/>
    <w:rsid w:val="00A56828"/>
    <w:rsid w:val="00A5687C"/>
    <w:rsid w:val="00A5717B"/>
    <w:rsid w:val="00A57379"/>
    <w:rsid w:val="00A5743E"/>
    <w:rsid w:val="00A5752D"/>
    <w:rsid w:val="00A57DB9"/>
    <w:rsid w:val="00A57FCF"/>
    <w:rsid w:val="00A60219"/>
    <w:rsid w:val="00A604E9"/>
    <w:rsid w:val="00A60AAD"/>
    <w:rsid w:val="00A60CD7"/>
    <w:rsid w:val="00A61007"/>
    <w:rsid w:val="00A61C0C"/>
    <w:rsid w:val="00A621E0"/>
    <w:rsid w:val="00A626E9"/>
    <w:rsid w:val="00A62D94"/>
    <w:rsid w:val="00A62EBE"/>
    <w:rsid w:val="00A63569"/>
    <w:rsid w:val="00A635D2"/>
    <w:rsid w:val="00A63770"/>
    <w:rsid w:val="00A64601"/>
    <w:rsid w:val="00A64C71"/>
    <w:rsid w:val="00A65587"/>
    <w:rsid w:val="00A6573E"/>
    <w:rsid w:val="00A65BF1"/>
    <w:rsid w:val="00A66134"/>
    <w:rsid w:val="00A661A0"/>
    <w:rsid w:val="00A662A6"/>
    <w:rsid w:val="00A665B1"/>
    <w:rsid w:val="00A66F41"/>
    <w:rsid w:val="00A67214"/>
    <w:rsid w:val="00A67557"/>
    <w:rsid w:val="00A70243"/>
    <w:rsid w:val="00A70693"/>
    <w:rsid w:val="00A70956"/>
    <w:rsid w:val="00A70D9B"/>
    <w:rsid w:val="00A71484"/>
    <w:rsid w:val="00A715B2"/>
    <w:rsid w:val="00A71C09"/>
    <w:rsid w:val="00A71C88"/>
    <w:rsid w:val="00A71CA5"/>
    <w:rsid w:val="00A72064"/>
    <w:rsid w:val="00A721F8"/>
    <w:rsid w:val="00A725AF"/>
    <w:rsid w:val="00A72688"/>
    <w:rsid w:val="00A7272E"/>
    <w:rsid w:val="00A7332F"/>
    <w:rsid w:val="00A733BB"/>
    <w:rsid w:val="00A7365B"/>
    <w:rsid w:val="00A7380C"/>
    <w:rsid w:val="00A73A41"/>
    <w:rsid w:val="00A73E80"/>
    <w:rsid w:val="00A73F32"/>
    <w:rsid w:val="00A7486B"/>
    <w:rsid w:val="00A752B8"/>
    <w:rsid w:val="00A758D7"/>
    <w:rsid w:val="00A767BC"/>
    <w:rsid w:val="00A76A09"/>
    <w:rsid w:val="00A76A31"/>
    <w:rsid w:val="00A76BBB"/>
    <w:rsid w:val="00A76EA5"/>
    <w:rsid w:val="00A773BA"/>
    <w:rsid w:val="00A7788D"/>
    <w:rsid w:val="00A77E48"/>
    <w:rsid w:val="00A8039C"/>
    <w:rsid w:val="00A80EEE"/>
    <w:rsid w:val="00A8126E"/>
    <w:rsid w:val="00A81358"/>
    <w:rsid w:val="00A81558"/>
    <w:rsid w:val="00A818DA"/>
    <w:rsid w:val="00A82821"/>
    <w:rsid w:val="00A82AF7"/>
    <w:rsid w:val="00A83451"/>
    <w:rsid w:val="00A83706"/>
    <w:rsid w:val="00A83760"/>
    <w:rsid w:val="00A83C56"/>
    <w:rsid w:val="00A83FCB"/>
    <w:rsid w:val="00A844FF"/>
    <w:rsid w:val="00A845C0"/>
    <w:rsid w:val="00A84BAF"/>
    <w:rsid w:val="00A85019"/>
    <w:rsid w:val="00A85267"/>
    <w:rsid w:val="00A85293"/>
    <w:rsid w:val="00A854C6"/>
    <w:rsid w:val="00A85517"/>
    <w:rsid w:val="00A85529"/>
    <w:rsid w:val="00A85A6F"/>
    <w:rsid w:val="00A85A7A"/>
    <w:rsid w:val="00A85D42"/>
    <w:rsid w:val="00A85EFA"/>
    <w:rsid w:val="00A860AC"/>
    <w:rsid w:val="00A86659"/>
    <w:rsid w:val="00A86AB3"/>
    <w:rsid w:val="00A86ABF"/>
    <w:rsid w:val="00A87842"/>
    <w:rsid w:val="00A902C5"/>
    <w:rsid w:val="00A9099A"/>
    <w:rsid w:val="00A909F9"/>
    <w:rsid w:val="00A91162"/>
    <w:rsid w:val="00A916FC"/>
    <w:rsid w:val="00A91B9E"/>
    <w:rsid w:val="00A91F55"/>
    <w:rsid w:val="00A921D1"/>
    <w:rsid w:val="00A924A7"/>
    <w:rsid w:val="00A92D93"/>
    <w:rsid w:val="00A934DB"/>
    <w:rsid w:val="00A93FBE"/>
    <w:rsid w:val="00A9437E"/>
    <w:rsid w:val="00A944F9"/>
    <w:rsid w:val="00A952D1"/>
    <w:rsid w:val="00A952E7"/>
    <w:rsid w:val="00A9585E"/>
    <w:rsid w:val="00A95940"/>
    <w:rsid w:val="00A960B3"/>
    <w:rsid w:val="00A967FB"/>
    <w:rsid w:val="00A9686F"/>
    <w:rsid w:val="00A96B1F"/>
    <w:rsid w:val="00A96E42"/>
    <w:rsid w:val="00A97093"/>
    <w:rsid w:val="00A97137"/>
    <w:rsid w:val="00A97928"/>
    <w:rsid w:val="00AA01EF"/>
    <w:rsid w:val="00AA03B9"/>
    <w:rsid w:val="00AA078E"/>
    <w:rsid w:val="00AA1434"/>
    <w:rsid w:val="00AA1738"/>
    <w:rsid w:val="00AA182D"/>
    <w:rsid w:val="00AA1FDE"/>
    <w:rsid w:val="00AA2135"/>
    <w:rsid w:val="00AA2187"/>
    <w:rsid w:val="00AA34B3"/>
    <w:rsid w:val="00AA392F"/>
    <w:rsid w:val="00AA3961"/>
    <w:rsid w:val="00AA39E8"/>
    <w:rsid w:val="00AA3B5F"/>
    <w:rsid w:val="00AA3B63"/>
    <w:rsid w:val="00AA41E3"/>
    <w:rsid w:val="00AA4471"/>
    <w:rsid w:val="00AA44B1"/>
    <w:rsid w:val="00AA47C4"/>
    <w:rsid w:val="00AA4878"/>
    <w:rsid w:val="00AA4F00"/>
    <w:rsid w:val="00AA4FBB"/>
    <w:rsid w:val="00AA5181"/>
    <w:rsid w:val="00AA5B06"/>
    <w:rsid w:val="00AA5CFE"/>
    <w:rsid w:val="00AA5FE1"/>
    <w:rsid w:val="00AA6736"/>
    <w:rsid w:val="00AA6C34"/>
    <w:rsid w:val="00AA77F2"/>
    <w:rsid w:val="00AB009A"/>
    <w:rsid w:val="00AB00B8"/>
    <w:rsid w:val="00AB01E4"/>
    <w:rsid w:val="00AB0AD6"/>
    <w:rsid w:val="00AB152C"/>
    <w:rsid w:val="00AB1649"/>
    <w:rsid w:val="00AB1925"/>
    <w:rsid w:val="00AB1A4F"/>
    <w:rsid w:val="00AB28DE"/>
    <w:rsid w:val="00AB2B5E"/>
    <w:rsid w:val="00AB2DB0"/>
    <w:rsid w:val="00AB32A4"/>
    <w:rsid w:val="00AB350E"/>
    <w:rsid w:val="00AB38E9"/>
    <w:rsid w:val="00AB5191"/>
    <w:rsid w:val="00AB5242"/>
    <w:rsid w:val="00AB5564"/>
    <w:rsid w:val="00AB587E"/>
    <w:rsid w:val="00AB59E0"/>
    <w:rsid w:val="00AB5CA3"/>
    <w:rsid w:val="00AB5DB2"/>
    <w:rsid w:val="00AB6642"/>
    <w:rsid w:val="00AB66A9"/>
    <w:rsid w:val="00AB6C89"/>
    <w:rsid w:val="00AB6DDE"/>
    <w:rsid w:val="00AB71BD"/>
    <w:rsid w:val="00AB72F5"/>
    <w:rsid w:val="00AC0067"/>
    <w:rsid w:val="00AC0417"/>
    <w:rsid w:val="00AC083C"/>
    <w:rsid w:val="00AC0F30"/>
    <w:rsid w:val="00AC15E0"/>
    <w:rsid w:val="00AC165E"/>
    <w:rsid w:val="00AC1C25"/>
    <w:rsid w:val="00AC2170"/>
    <w:rsid w:val="00AC2CBF"/>
    <w:rsid w:val="00AC33E1"/>
    <w:rsid w:val="00AC374A"/>
    <w:rsid w:val="00AC398C"/>
    <w:rsid w:val="00AC4151"/>
    <w:rsid w:val="00AC4213"/>
    <w:rsid w:val="00AC44F5"/>
    <w:rsid w:val="00AC4B27"/>
    <w:rsid w:val="00AC4F2C"/>
    <w:rsid w:val="00AC5089"/>
    <w:rsid w:val="00AC52A7"/>
    <w:rsid w:val="00AC58EA"/>
    <w:rsid w:val="00AC5CB0"/>
    <w:rsid w:val="00AC5E94"/>
    <w:rsid w:val="00AC6010"/>
    <w:rsid w:val="00AC6564"/>
    <w:rsid w:val="00AC6578"/>
    <w:rsid w:val="00AC691F"/>
    <w:rsid w:val="00AC6FF4"/>
    <w:rsid w:val="00AC7D0D"/>
    <w:rsid w:val="00AC7E4C"/>
    <w:rsid w:val="00AD04F3"/>
    <w:rsid w:val="00AD1A94"/>
    <w:rsid w:val="00AD1BE7"/>
    <w:rsid w:val="00AD1E4A"/>
    <w:rsid w:val="00AD1E82"/>
    <w:rsid w:val="00AD25CE"/>
    <w:rsid w:val="00AD2AF2"/>
    <w:rsid w:val="00AD2B4C"/>
    <w:rsid w:val="00AD2C67"/>
    <w:rsid w:val="00AD2F7C"/>
    <w:rsid w:val="00AD3C85"/>
    <w:rsid w:val="00AD3E03"/>
    <w:rsid w:val="00AD463E"/>
    <w:rsid w:val="00AD4ED8"/>
    <w:rsid w:val="00AD5578"/>
    <w:rsid w:val="00AD59C2"/>
    <w:rsid w:val="00AD5BD2"/>
    <w:rsid w:val="00AD5FAE"/>
    <w:rsid w:val="00AD60F6"/>
    <w:rsid w:val="00AD681F"/>
    <w:rsid w:val="00AD6A27"/>
    <w:rsid w:val="00AD6F45"/>
    <w:rsid w:val="00AD7790"/>
    <w:rsid w:val="00AD78C9"/>
    <w:rsid w:val="00AD7B2C"/>
    <w:rsid w:val="00AD7C6E"/>
    <w:rsid w:val="00AE08B8"/>
    <w:rsid w:val="00AE0CEE"/>
    <w:rsid w:val="00AE1A47"/>
    <w:rsid w:val="00AE1CED"/>
    <w:rsid w:val="00AE1DCB"/>
    <w:rsid w:val="00AE207A"/>
    <w:rsid w:val="00AE239D"/>
    <w:rsid w:val="00AE26C0"/>
    <w:rsid w:val="00AE293F"/>
    <w:rsid w:val="00AE3247"/>
    <w:rsid w:val="00AE3281"/>
    <w:rsid w:val="00AE39F7"/>
    <w:rsid w:val="00AE43B7"/>
    <w:rsid w:val="00AE483D"/>
    <w:rsid w:val="00AE48F6"/>
    <w:rsid w:val="00AE4BCF"/>
    <w:rsid w:val="00AE4E70"/>
    <w:rsid w:val="00AE52F6"/>
    <w:rsid w:val="00AE5500"/>
    <w:rsid w:val="00AE61ED"/>
    <w:rsid w:val="00AE6698"/>
    <w:rsid w:val="00AE6D92"/>
    <w:rsid w:val="00AE6FC1"/>
    <w:rsid w:val="00AE6FDB"/>
    <w:rsid w:val="00AE7142"/>
    <w:rsid w:val="00AE7146"/>
    <w:rsid w:val="00AE7370"/>
    <w:rsid w:val="00AE77C4"/>
    <w:rsid w:val="00AE797E"/>
    <w:rsid w:val="00AE7DCE"/>
    <w:rsid w:val="00AE7EC6"/>
    <w:rsid w:val="00AF09BA"/>
    <w:rsid w:val="00AF0FAF"/>
    <w:rsid w:val="00AF15D1"/>
    <w:rsid w:val="00AF1A6D"/>
    <w:rsid w:val="00AF20D3"/>
    <w:rsid w:val="00AF2623"/>
    <w:rsid w:val="00AF3219"/>
    <w:rsid w:val="00AF374B"/>
    <w:rsid w:val="00AF38EF"/>
    <w:rsid w:val="00AF3C66"/>
    <w:rsid w:val="00AF3E9E"/>
    <w:rsid w:val="00AF494E"/>
    <w:rsid w:val="00AF4BEE"/>
    <w:rsid w:val="00AF4C34"/>
    <w:rsid w:val="00AF4C41"/>
    <w:rsid w:val="00AF5148"/>
    <w:rsid w:val="00AF52A5"/>
    <w:rsid w:val="00AF5D1E"/>
    <w:rsid w:val="00AF5E11"/>
    <w:rsid w:val="00AF6709"/>
    <w:rsid w:val="00AF7170"/>
    <w:rsid w:val="00B002C9"/>
    <w:rsid w:val="00B00485"/>
    <w:rsid w:val="00B00738"/>
    <w:rsid w:val="00B00B8A"/>
    <w:rsid w:val="00B00E9C"/>
    <w:rsid w:val="00B01083"/>
    <w:rsid w:val="00B011ED"/>
    <w:rsid w:val="00B019EB"/>
    <w:rsid w:val="00B01EB6"/>
    <w:rsid w:val="00B0203B"/>
    <w:rsid w:val="00B02DA4"/>
    <w:rsid w:val="00B0343D"/>
    <w:rsid w:val="00B03886"/>
    <w:rsid w:val="00B03C16"/>
    <w:rsid w:val="00B03D6A"/>
    <w:rsid w:val="00B03F53"/>
    <w:rsid w:val="00B046F6"/>
    <w:rsid w:val="00B04A64"/>
    <w:rsid w:val="00B04D40"/>
    <w:rsid w:val="00B0513E"/>
    <w:rsid w:val="00B05146"/>
    <w:rsid w:val="00B05EBC"/>
    <w:rsid w:val="00B0615D"/>
    <w:rsid w:val="00B063FD"/>
    <w:rsid w:val="00B06B2F"/>
    <w:rsid w:val="00B06D32"/>
    <w:rsid w:val="00B06E1D"/>
    <w:rsid w:val="00B071DF"/>
    <w:rsid w:val="00B1003C"/>
    <w:rsid w:val="00B1017A"/>
    <w:rsid w:val="00B10521"/>
    <w:rsid w:val="00B10956"/>
    <w:rsid w:val="00B1129B"/>
    <w:rsid w:val="00B11C70"/>
    <w:rsid w:val="00B120F1"/>
    <w:rsid w:val="00B12AFA"/>
    <w:rsid w:val="00B12E98"/>
    <w:rsid w:val="00B12FA3"/>
    <w:rsid w:val="00B13495"/>
    <w:rsid w:val="00B134D4"/>
    <w:rsid w:val="00B135D2"/>
    <w:rsid w:val="00B147ED"/>
    <w:rsid w:val="00B14A72"/>
    <w:rsid w:val="00B1504C"/>
    <w:rsid w:val="00B15097"/>
    <w:rsid w:val="00B15568"/>
    <w:rsid w:val="00B159F9"/>
    <w:rsid w:val="00B15AA7"/>
    <w:rsid w:val="00B15B54"/>
    <w:rsid w:val="00B16029"/>
    <w:rsid w:val="00B162EF"/>
    <w:rsid w:val="00B163CF"/>
    <w:rsid w:val="00B168F5"/>
    <w:rsid w:val="00B16963"/>
    <w:rsid w:val="00B17298"/>
    <w:rsid w:val="00B1772C"/>
    <w:rsid w:val="00B17851"/>
    <w:rsid w:val="00B17D57"/>
    <w:rsid w:val="00B17E4A"/>
    <w:rsid w:val="00B17F4F"/>
    <w:rsid w:val="00B203E4"/>
    <w:rsid w:val="00B20BEA"/>
    <w:rsid w:val="00B20C64"/>
    <w:rsid w:val="00B20CA7"/>
    <w:rsid w:val="00B21C63"/>
    <w:rsid w:val="00B21D85"/>
    <w:rsid w:val="00B21E8F"/>
    <w:rsid w:val="00B22B41"/>
    <w:rsid w:val="00B23228"/>
    <w:rsid w:val="00B233B5"/>
    <w:rsid w:val="00B233DF"/>
    <w:rsid w:val="00B23498"/>
    <w:rsid w:val="00B23841"/>
    <w:rsid w:val="00B23DA9"/>
    <w:rsid w:val="00B23F9F"/>
    <w:rsid w:val="00B241F3"/>
    <w:rsid w:val="00B243BE"/>
    <w:rsid w:val="00B24684"/>
    <w:rsid w:val="00B25284"/>
    <w:rsid w:val="00B2528B"/>
    <w:rsid w:val="00B26C18"/>
    <w:rsid w:val="00B270DF"/>
    <w:rsid w:val="00B272C2"/>
    <w:rsid w:val="00B2776F"/>
    <w:rsid w:val="00B277B8"/>
    <w:rsid w:val="00B27984"/>
    <w:rsid w:val="00B27ACC"/>
    <w:rsid w:val="00B27BDA"/>
    <w:rsid w:val="00B27CC3"/>
    <w:rsid w:val="00B30E1C"/>
    <w:rsid w:val="00B325B9"/>
    <w:rsid w:val="00B32E3C"/>
    <w:rsid w:val="00B33A1F"/>
    <w:rsid w:val="00B33B7A"/>
    <w:rsid w:val="00B34333"/>
    <w:rsid w:val="00B34BE2"/>
    <w:rsid w:val="00B34C77"/>
    <w:rsid w:val="00B3511F"/>
    <w:rsid w:val="00B356C7"/>
    <w:rsid w:val="00B3592D"/>
    <w:rsid w:val="00B35970"/>
    <w:rsid w:val="00B35EE9"/>
    <w:rsid w:val="00B35EF2"/>
    <w:rsid w:val="00B360BC"/>
    <w:rsid w:val="00B36364"/>
    <w:rsid w:val="00B363F1"/>
    <w:rsid w:val="00B3660D"/>
    <w:rsid w:val="00B3670E"/>
    <w:rsid w:val="00B36B7F"/>
    <w:rsid w:val="00B36C11"/>
    <w:rsid w:val="00B36D0E"/>
    <w:rsid w:val="00B36F7C"/>
    <w:rsid w:val="00B37D70"/>
    <w:rsid w:val="00B37DE4"/>
    <w:rsid w:val="00B37F67"/>
    <w:rsid w:val="00B40291"/>
    <w:rsid w:val="00B402EF"/>
    <w:rsid w:val="00B4093D"/>
    <w:rsid w:val="00B4190C"/>
    <w:rsid w:val="00B42B3C"/>
    <w:rsid w:val="00B42BE0"/>
    <w:rsid w:val="00B42CCD"/>
    <w:rsid w:val="00B42D1D"/>
    <w:rsid w:val="00B4333F"/>
    <w:rsid w:val="00B433F5"/>
    <w:rsid w:val="00B43429"/>
    <w:rsid w:val="00B43433"/>
    <w:rsid w:val="00B434A8"/>
    <w:rsid w:val="00B4356B"/>
    <w:rsid w:val="00B43B1C"/>
    <w:rsid w:val="00B43C23"/>
    <w:rsid w:val="00B43D22"/>
    <w:rsid w:val="00B4485C"/>
    <w:rsid w:val="00B45175"/>
    <w:rsid w:val="00B4572D"/>
    <w:rsid w:val="00B46457"/>
    <w:rsid w:val="00B4695A"/>
    <w:rsid w:val="00B46CE5"/>
    <w:rsid w:val="00B47A1E"/>
    <w:rsid w:val="00B47BAB"/>
    <w:rsid w:val="00B504E0"/>
    <w:rsid w:val="00B507ED"/>
    <w:rsid w:val="00B50B02"/>
    <w:rsid w:val="00B51825"/>
    <w:rsid w:val="00B51E88"/>
    <w:rsid w:val="00B53083"/>
    <w:rsid w:val="00B530FF"/>
    <w:rsid w:val="00B53428"/>
    <w:rsid w:val="00B5384E"/>
    <w:rsid w:val="00B5393A"/>
    <w:rsid w:val="00B53A72"/>
    <w:rsid w:val="00B53BD4"/>
    <w:rsid w:val="00B546B9"/>
    <w:rsid w:val="00B549FB"/>
    <w:rsid w:val="00B555D3"/>
    <w:rsid w:val="00B55AA9"/>
    <w:rsid w:val="00B57269"/>
    <w:rsid w:val="00B5767D"/>
    <w:rsid w:val="00B57C31"/>
    <w:rsid w:val="00B6025E"/>
    <w:rsid w:val="00B602D3"/>
    <w:rsid w:val="00B60893"/>
    <w:rsid w:val="00B60A71"/>
    <w:rsid w:val="00B61EAA"/>
    <w:rsid w:val="00B61FB8"/>
    <w:rsid w:val="00B62313"/>
    <w:rsid w:val="00B62A39"/>
    <w:rsid w:val="00B62D50"/>
    <w:rsid w:val="00B62EF1"/>
    <w:rsid w:val="00B63301"/>
    <w:rsid w:val="00B6411F"/>
    <w:rsid w:val="00B6472C"/>
    <w:rsid w:val="00B64AE2"/>
    <w:rsid w:val="00B64B66"/>
    <w:rsid w:val="00B64ECA"/>
    <w:rsid w:val="00B6526D"/>
    <w:rsid w:val="00B65908"/>
    <w:rsid w:val="00B65F08"/>
    <w:rsid w:val="00B66047"/>
    <w:rsid w:val="00B664AB"/>
    <w:rsid w:val="00B66985"/>
    <w:rsid w:val="00B66F8A"/>
    <w:rsid w:val="00B67021"/>
    <w:rsid w:val="00B67807"/>
    <w:rsid w:val="00B67E43"/>
    <w:rsid w:val="00B67EBD"/>
    <w:rsid w:val="00B700BF"/>
    <w:rsid w:val="00B70344"/>
    <w:rsid w:val="00B70365"/>
    <w:rsid w:val="00B707B5"/>
    <w:rsid w:val="00B708CC"/>
    <w:rsid w:val="00B70B06"/>
    <w:rsid w:val="00B7135B"/>
    <w:rsid w:val="00B713CF"/>
    <w:rsid w:val="00B71747"/>
    <w:rsid w:val="00B71C02"/>
    <w:rsid w:val="00B72198"/>
    <w:rsid w:val="00B7223B"/>
    <w:rsid w:val="00B72861"/>
    <w:rsid w:val="00B72B1D"/>
    <w:rsid w:val="00B738D3"/>
    <w:rsid w:val="00B73993"/>
    <w:rsid w:val="00B73C6D"/>
    <w:rsid w:val="00B74662"/>
    <w:rsid w:val="00B74DB7"/>
    <w:rsid w:val="00B7590C"/>
    <w:rsid w:val="00B761C6"/>
    <w:rsid w:val="00B76590"/>
    <w:rsid w:val="00B76E58"/>
    <w:rsid w:val="00B77738"/>
    <w:rsid w:val="00B77A2B"/>
    <w:rsid w:val="00B80AFE"/>
    <w:rsid w:val="00B80E1A"/>
    <w:rsid w:val="00B81173"/>
    <w:rsid w:val="00B812C4"/>
    <w:rsid w:val="00B818A8"/>
    <w:rsid w:val="00B81B09"/>
    <w:rsid w:val="00B82CEC"/>
    <w:rsid w:val="00B8377A"/>
    <w:rsid w:val="00B83A7C"/>
    <w:rsid w:val="00B83BE7"/>
    <w:rsid w:val="00B843D7"/>
    <w:rsid w:val="00B843E3"/>
    <w:rsid w:val="00B84572"/>
    <w:rsid w:val="00B857C8"/>
    <w:rsid w:val="00B85F10"/>
    <w:rsid w:val="00B867EA"/>
    <w:rsid w:val="00B86E89"/>
    <w:rsid w:val="00B86FBA"/>
    <w:rsid w:val="00B87310"/>
    <w:rsid w:val="00B875A9"/>
    <w:rsid w:val="00B87681"/>
    <w:rsid w:val="00B87A00"/>
    <w:rsid w:val="00B87D34"/>
    <w:rsid w:val="00B900A1"/>
    <w:rsid w:val="00B903E2"/>
    <w:rsid w:val="00B9072B"/>
    <w:rsid w:val="00B91062"/>
    <w:rsid w:val="00B91425"/>
    <w:rsid w:val="00B920E3"/>
    <w:rsid w:val="00B92584"/>
    <w:rsid w:val="00B92605"/>
    <w:rsid w:val="00B92713"/>
    <w:rsid w:val="00B9291E"/>
    <w:rsid w:val="00B92CCA"/>
    <w:rsid w:val="00B92EB1"/>
    <w:rsid w:val="00B92F20"/>
    <w:rsid w:val="00B93E7E"/>
    <w:rsid w:val="00B93EC5"/>
    <w:rsid w:val="00B946FE"/>
    <w:rsid w:val="00B95729"/>
    <w:rsid w:val="00B9627F"/>
    <w:rsid w:val="00B96347"/>
    <w:rsid w:val="00B964B2"/>
    <w:rsid w:val="00B96536"/>
    <w:rsid w:val="00B969E0"/>
    <w:rsid w:val="00B96A07"/>
    <w:rsid w:val="00B96CBE"/>
    <w:rsid w:val="00B96EB3"/>
    <w:rsid w:val="00B97426"/>
    <w:rsid w:val="00B978F6"/>
    <w:rsid w:val="00B97C31"/>
    <w:rsid w:val="00B97C61"/>
    <w:rsid w:val="00B97C6A"/>
    <w:rsid w:val="00B97FB9"/>
    <w:rsid w:val="00BA0098"/>
    <w:rsid w:val="00BA0350"/>
    <w:rsid w:val="00BA06CA"/>
    <w:rsid w:val="00BA1273"/>
    <w:rsid w:val="00BA1353"/>
    <w:rsid w:val="00BA1641"/>
    <w:rsid w:val="00BA1B61"/>
    <w:rsid w:val="00BA2134"/>
    <w:rsid w:val="00BA2E5D"/>
    <w:rsid w:val="00BA42BF"/>
    <w:rsid w:val="00BA4A50"/>
    <w:rsid w:val="00BA4ABF"/>
    <w:rsid w:val="00BA4D02"/>
    <w:rsid w:val="00BA524D"/>
    <w:rsid w:val="00BA5540"/>
    <w:rsid w:val="00BA5709"/>
    <w:rsid w:val="00BA6A0E"/>
    <w:rsid w:val="00BA6C48"/>
    <w:rsid w:val="00BA6E17"/>
    <w:rsid w:val="00BA6FD3"/>
    <w:rsid w:val="00BA7139"/>
    <w:rsid w:val="00BA7534"/>
    <w:rsid w:val="00BA765A"/>
    <w:rsid w:val="00BA7682"/>
    <w:rsid w:val="00BA77E5"/>
    <w:rsid w:val="00BA7892"/>
    <w:rsid w:val="00BA7CD4"/>
    <w:rsid w:val="00BB0112"/>
    <w:rsid w:val="00BB0138"/>
    <w:rsid w:val="00BB01D0"/>
    <w:rsid w:val="00BB10DF"/>
    <w:rsid w:val="00BB1E60"/>
    <w:rsid w:val="00BB1F3A"/>
    <w:rsid w:val="00BB2A16"/>
    <w:rsid w:val="00BB341F"/>
    <w:rsid w:val="00BB3690"/>
    <w:rsid w:val="00BB3AB9"/>
    <w:rsid w:val="00BB4048"/>
    <w:rsid w:val="00BB4123"/>
    <w:rsid w:val="00BB4196"/>
    <w:rsid w:val="00BB4642"/>
    <w:rsid w:val="00BB4886"/>
    <w:rsid w:val="00BB4B24"/>
    <w:rsid w:val="00BB4B96"/>
    <w:rsid w:val="00BB4FCF"/>
    <w:rsid w:val="00BB502C"/>
    <w:rsid w:val="00BB5595"/>
    <w:rsid w:val="00BB584C"/>
    <w:rsid w:val="00BB5D8B"/>
    <w:rsid w:val="00BB66B3"/>
    <w:rsid w:val="00BB67A1"/>
    <w:rsid w:val="00BB699D"/>
    <w:rsid w:val="00BB6A51"/>
    <w:rsid w:val="00BB6BB2"/>
    <w:rsid w:val="00BB705A"/>
    <w:rsid w:val="00BC05D2"/>
    <w:rsid w:val="00BC0D13"/>
    <w:rsid w:val="00BC10F3"/>
    <w:rsid w:val="00BC11F2"/>
    <w:rsid w:val="00BC28C6"/>
    <w:rsid w:val="00BC28EE"/>
    <w:rsid w:val="00BC371B"/>
    <w:rsid w:val="00BC3842"/>
    <w:rsid w:val="00BC38B7"/>
    <w:rsid w:val="00BC3A5A"/>
    <w:rsid w:val="00BC3F3B"/>
    <w:rsid w:val="00BC40C7"/>
    <w:rsid w:val="00BC418C"/>
    <w:rsid w:val="00BC4C9E"/>
    <w:rsid w:val="00BC5E71"/>
    <w:rsid w:val="00BC62C3"/>
    <w:rsid w:val="00BC7B37"/>
    <w:rsid w:val="00BC7CCF"/>
    <w:rsid w:val="00BD00E6"/>
    <w:rsid w:val="00BD0260"/>
    <w:rsid w:val="00BD0288"/>
    <w:rsid w:val="00BD0458"/>
    <w:rsid w:val="00BD0466"/>
    <w:rsid w:val="00BD04EC"/>
    <w:rsid w:val="00BD085C"/>
    <w:rsid w:val="00BD0A68"/>
    <w:rsid w:val="00BD19FC"/>
    <w:rsid w:val="00BD21CB"/>
    <w:rsid w:val="00BD2D74"/>
    <w:rsid w:val="00BD38E3"/>
    <w:rsid w:val="00BD3BF0"/>
    <w:rsid w:val="00BD3D50"/>
    <w:rsid w:val="00BD49A4"/>
    <w:rsid w:val="00BD53C7"/>
    <w:rsid w:val="00BD64FE"/>
    <w:rsid w:val="00BD6CCE"/>
    <w:rsid w:val="00BD7124"/>
    <w:rsid w:val="00BD72D8"/>
    <w:rsid w:val="00BD766B"/>
    <w:rsid w:val="00BD7E09"/>
    <w:rsid w:val="00BE014B"/>
    <w:rsid w:val="00BE01F6"/>
    <w:rsid w:val="00BE05C8"/>
    <w:rsid w:val="00BE0EF9"/>
    <w:rsid w:val="00BE1786"/>
    <w:rsid w:val="00BE1B3C"/>
    <w:rsid w:val="00BE1CB2"/>
    <w:rsid w:val="00BE2915"/>
    <w:rsid w:val="00BE412D"/>
    <w:rsid w:val="00BE45A0"/>
    <w:rsid w:val="00BE4D27"/>
    <w:rsid w:val="00BE5092"/>
    <w:rsid w:val="00BE5BF7"/>
    <w:rsid w:val="00BE665D"/>
    <w:rsid w:val="00BE676B"/>
    <w:rsid w:val="00BE6AB8"/>
    <w:rsid w:val="00BE7116"/>
    <w:rsid w:val="00BE71FD"/>
    <w:rsid w:val="00BE73B6"/>
    <w:rsid w:val="00BE7F66"/>
    <w:rsid w:val="00BF0285"/>
    <w:rsid w:val="00BF06B4"/>
    <w:rsid w:val="00BF1869"/>
    <w:rsid w:val="00BF1E77"/>
    <w:rsid w:val="00BF2170"/>
    <w:rsid w:val="00BF23D5"/>
    <w:rsid w:val="00BF243C"/>
    <w:rsid w:val="00BF29D2"/>
    <w:rsid w:val="00BF2B46"/>
    <w:rsid w:val="00BF2DA9"/>
    <w:rsid w:val="00BF2F67"/>
    <w:rsid w:val="00BF31B3"/>
    <w:rsid w:val="00BF3B4D"/>
    <w:rsid w:val="00BF3C4E"/>
    <w:rsid w:val="00BF3E6D"/>
    <w:rsid w:val="00BF44A0"/>
    <w:rsid w:val="00BF4756"/>
    <w:rsid w:val="00BF4941"/>
    <w:rsid w:val="00BF54A2"/>
    <w:rsid w:val="00BF54D6"/>
    <w:rsid w:val="00BF55A8"/>
    <w:rsid w:val="00BF5D38"/>
    <w:rsid w:val="00BF5DBD"/>
    <w:rsid w:val="00BF61CB"/>
    <w:rsid w:val="00BF641E"/>
    <w:rsid w:val="00BF6AB3"/>
    <w:rsid w:val="00BF6C24"/>
    <w:rsid w:val="00BF6DA7"/>
    <w:rsid w:val="00BF6DF7"/>
    <w:rsid w:val="00BF71E4"/>
    <w:rsid w:val="00BF739E"/>
    <w:rsid w:val="00BF7A3E"/>
    <w:rsid w:val="00BF7C1B"/>
    <w:rsid w:val="00C002DC"/>
    <w:rsid w:val="00C00769"/>
    <w:rsid w:val="00C00B65"/>
    <w:rsid w:val="00C0152B"/>
    <w:rsid w:val="00C015C7"/>
    <w:rsid w:val="00C01BBF"/>
    <w:rsid w:val="00C01BD6"/>
    <w:rsid w:val="00C01CED"/>
    <w:rsid w:val="00C01DCB"/>
    <w:rsid w:val="00C0213C"/>
    <w:rsid w:val="00C028E8"/>
    <w:rsid w:val="00C02A2C"/>
    <w:rsid w:val="00C02BB6"/>
    <w:rsid w:val="00C03222"/>
    <w:rsid w:val="00C033F5"/>
    <w:rsid w:val="00C03B3E"/>
    <w:rsid w:val="00C03BB5"/>
    <w:rsid w:val="00C04877"/>
    <w:rsid w:val="00C05C3F"/>
    <w:rsid w:val="00C05E40"/>
    <w:rsid w:val="00C05F06"/>
    <w:rsid w:val="00C06088"/>
    <w:rsid w:val="00C06200"/>
    <w:rsid w:val="00C070F2"/>
    <w:rsid w:val="00C071D6"/>
    <w:rsid w:val="00C07DB4"/>
    <w:rsid w:val="00C102DE"/>
    <w:rsid w:val="00C10CB9"/>
    <w:rsid w:val="00C10FCF"/>
    <w:rsid w:val="00C11122"/>
    <w:rsid w:val="00C1113A"/>
    <w:rsid w:val="00C11143"/>
    <w:rsid w:val="00C111BD"/>
    <w:rsid w:val="00C11279"/>
    <w:rsid w:val="00C114BB"/>
    <w:rsid w:val="00C1165C"/>
    <w:rsid w:val="00C11D85"/>
    <w:rsid w:val="00C12AD9"/>
    <w:rsid w:val="00C12E27"/>
    <w:rsid w:val="00C13096"/>
    <w:rsid w:val="00C1345A"/>
    <w:rsid w:val="00C138E5"/>
    <w:rsid w:val="00C13AB4"/>
    <w:rsid w:val="00C13F45"/>
    <w:rsid w:val="00C14A54"/>
    <w:rsid w:val="00C14ED3"/>
    <w:rsid w:val="00C15400"/>
    <w:rsid w:val="00C159D4"/>
    <w:rsid w:val="00C15BA0"/>
    <w:rsid w:val="00C16296"/>
    <w:rsid w:val="00C1696E"/>
    <w:rsid w:val="00C16990"/>
    <w:rsid w:val="00C16A70"/>
    <w:rsid w:val="00C17197"/>
    <w:rsid w:val="00C175C4"/>
    <w:rsid w:val="00C179A1"/>
    <w:rsid w:val="00C2005C"/>
    <w:rsid w:val="00C202A5"/>
    <w:rsid w:val="00C203FF"/>
    <w:rsid w:val="00C20C7C"/>
    <w:rsid w:val="00C2152E"/>
    <w:rsid w:val="00C2164E"/>
    <w:rsid w:val="00C21AF3"/>
    <w:rsid w:val="00C21B6B"/>
    <w:rsid w:val="00C21CCE"/>
    <w:rsid w:val="00C222E5"/>
    <w:rsid w:val="00C229B1"/>
    <w:rsid w:val="00C22A2F"/>
    <w:rsid w:val="00C24C02"/>
    <w:rsid w:val="00C2535E"/>
    <w:rsid w:val="00C25831"/>
    <w:rsid w:val="00C25AF8"/>
    <w:rsid w:val="00C25B01"/>
    <w:rsid w:val="00C25CE1"/>
    <w:rsid w:val="00C26BA4"/>
    <w:rsid w:val="00C27CE4"/>
    <w:rsid w:val="00C27D88"/>
    <w:rsid w:val="00C27E00"/>
    <w:rsid w:val="00C30689"/>
    <w:rsid w:val="00C30787"/>
    <w:rsid w:val="00C309C4"/>
    <w:rsid w:val="00C31446"/>
    <w:rsid w:val="00C323B7"/>
    <w:rsid w:val="00C33026"/>
    <w:rsid w:val="00C332B8"/>
    <w:rsid w:val="00C33E38"/>
    <w:rsid w:val="00C34A37"/>
    <w:rsid w:val="00C34AE2"/>
    <w:rsid w:val="00C351D9"/>
    <w:rsid w:val="00C35521"/>
    <w:rsid w:val="00C35648"/>
    <w:rsid w:val="00C35694"/>
    <w:rsid w:val="00C357FA"/>
    <w:rsid w:val="00C35B97"/>
    <w:rsid w:val="00C3640B"/>
    <w:rsid w:val="00C364B6"/>
    <w:rsid w:val="00C366A9"/>
    <w:rsid w:val="00C36AF3"/>
    <w:rsid w:val="00C36B0B"/>
    <w:rsid w:val="00C36F09"/>
    <w:rsid w:val="00C3706F"/>
    <w:rsid w:val="00C37300"/>
    <w:rsid w:val="00C3750E"/>
    <w:rsid w:val="00C37854"/>
    <w:rsid w:val="00C379BF"/>
    <w:rsid w:val="00C40CE6"/>
    <w:rsid w:val="00C41079"/>
    <w:rsid w:val="00C41B5A"/>
    <w:rsid w:val="00C4232C"/>
    <w:rsid w:val="00C42441"/>
    <w:rsid w:val="00C42618"/>
    <w:rsid w:val="00C426C4"/>
    <w:rsid w:val="00C4283E"/>
    <w:rsid w:val="00C42EFF"/>
    <w:rsid w:val="00C432C6"/>
    <w:rsid w:val="00C437BE"/>
    <w:rsid w:val="00C43BF4"/>
    <w:rsid w:val="00C440A9"/>
    <w:rsid w:val="00C45198"/>
    <w:rsid w:val="00C45749"/>
    <w:rsid w:val="00C45C24"/>
    <w:rsid w:val="00C45C58"/>
    <w:rsid w:val="00C45D8E"/>
    <w:rsid w:val="00C45E2D"/>
    <w:rsid w:val="00C45F2A"/>
    <w:rsid w:val="00C4602E"/>
    <w:rsid w:val="00C4644D"/>
    <w:rsid w:val="00C46775"/>
    <w:rsid w:val="00C46D61"/>
    <w:rsid w:val="00C4762E"/>
    <w:rsid w:val="00C477AA"/>
    <w:rsid w:val="00C47C5A"/>
    <w:rsid w:val="00C50014"/>
    <w:rsid w:val="00C50182"/>
    <w:rsid w:val="00C50407"/>
    <w:rsid w:val="00C50411"/>
    <w:rsid w:val="00C50AA5"/>
    <w:rsid w:val="00C50ED7"/>
    <w:rsid w:val="00C512EA"/>
    <w:rsid w:val="00C519BF"/>
    <w:rsid w:val="00C51A2F"/>
    <w:rsid w:val="00C51D40"/>
    <w:rsid w:val="00C530C1"/>
    <w:rsid w:val="00C53129"/>
    <w:rsid w:val="00C5361C"/>
    <w:rsid w:val="00C5370D"/>
    <w:rsid w:val="00C53730"/>
    <w:rsid w:val="00C53B40"/>
    <w:rsid w:val="00C542B4"/>
    <w:rsid w:val="00C543D8"/>
    <w:rsid w:val="00C54A25"/>
    <w:rsid w:val="00C55E11"/>
    <w:rsid w:val="00C56611"/>
    <w:rsid w:val="00C567FE"/>
    <w:rsid w:val="00C56A25"/>
    <w:rsid w:val="00C56F03"/>
    <w:rsid w:val="00C570DA"/>
    <w:rsid w:val="00C5720C"/>
    <w:rsid w:val="00C576A6"/>
    <w:rsid w:val="00C60540"/>
    <w:rsid w:val="00C61436"/>
    <w:rsid w:val="00C61D29"/>
    <w:rsid w:val="00C61F41"/>
    <w:rsid w:val="00C6202B"/>
    <w:rsid w:val="00C620C6"/>
    <w:rsid w:val="00C6229E"/>
    <w:rsid w:val="00C630BD"/>
    <w:rsid w:val="00C63259"/>
    <w:rsid w:val="00C6341F"/>
    <w:rsid w:val="00C63743"/>
    <w:rsid w:val="00C63859"/>
    <w:rsid w:val="00C63A56"/>
    <w:rsid w:val="00C63C7C"/>
    <w:rsid w:val="00C6450E"/>
    <w:rsid w:val="00C65261"/>
    <w:rsid w:val="00C65CB2"/>
    <w:rsid w:val="00C66172"/>
    <w:rsid w:val="00C66318"/>
    <w:rsid w:val="00C665DD"/>
    <w:rsid w:val="00C67061"/>
    <w:rsid w:val="00C679B7"/>
    <w:rsid w:val="00C67BB4"/>
    <w:rsid w:val="00C67FE8"/>
    <w:rsid w:val="00C703DE"/>
    <w:rsid w:val="00C7069E"/>
    <w:rsid w:val="00C70D54"/>
    <w:rsid w:val="00C71328"/>
    <w:rsid w:val="00C71A9B"/>
    <w:rsid w:val="00C723C9"/>
    <w:rsid w:val="00C728F0"/>
    <w:rsid w:val="00C73324"/>
    <w:rsid w:val="00C734EA"/>
    <w:rsid w:val="00C73643"/>
    <w:rsid w:val="00C7400A"/>
    <w:rsid w:val="00C747C0"/>
    <w:rsid w:val="00C75A15"/>
    <w:rsid w:val="00C75AE0"/>
    <w:rsid w:val="00C75B81"/>
    <w:rsid w:val="00C75B86"/>
    <w:rsid w:val="00C75B92"/>
    <w:rsid w:val="00C75F3D"/>
    <w:rsid w:val="00C7612B"/>
    <w:rsid w:val="00C76719"/>
    <w:rsid w:val="00C767E4"/>
    <w:rsid w:val="00C76A66"/>
    <w:rsid w:val="00C76C20"/>
    <w:rsid w:val="00C77BE1"/>
    <w:rsid w:val="00C8013A"/>
    <w:rsid w:val="00C8063E"/>
    <w:rsid w:val="00C8142A"/>
    <w:rsid w:val="00C815B4"/>
    <w:rsid w:val="00C81A44"/>
    <w:rsid w:val="00C81B87"/>
    <w:rsid w:val="00C81CA8"/>
    <w:rsid w:val="00C821F6"/>
    <w:rsid w:val="00C824AB"/>
    <w:rsid w:val="00C8281C"/>
    <w:rsid w:val="00C82A1C"/>
    <w:rsid w:val="00C82AA9"/>
    <w:rsid w:val="00C82B07"/>
    <w:rsid w:val="00C831C8"/>
    <w:rsid w:val="00C8340C"/>
    <w:rsid w:val="00C83A88"/>
    <w:rsid w:val="00C83BFF"/>
    <w:rsid w:val="00C84188"/>
    <w:rsid w:val="00C84361"/>
    <w:rsid w:val="00C847CE"/>
    <w:rsid w:val="00C85244"/>
    <w:rsid w:val="00C85A70"/>
    <w:rsid w:val="00C86849"/>
    <w:rsid w:val="00C86B3B"/>
    <w:rsid w:val="00C86CF5"/>
    <w:rsid w:val="00C87094"/>
    <w:rsid w:val="00C87AF2"/>
    <w:rsid w:val="00C907E5"/>
    <w:rsid w:val="00C9137D"/>
    <w:rsid w:val="00C91B73"/>
    <w:rsid w:val="00C91D4D"/>
    <w:rsid w:val="00C91F46"/>
    <w:rsid w:val="00C921D6"/>
    <w:rsid w:val="00C921F1"/>
    <w:rsid w:val="00C92864"/>
    <w:rsid w:val="00C92BBF"/>
    <w:rsid w:val="00C9328D"/>
    <w:rsid w:val="00C932C8"/>
    <w:rsid w:val="00C933AC"/>
    <w:rsid w:val="00C936A4"/>
    <w:rsid w:val="00C9377B"/>
    <w:rsid w:val="00C93944"/>
    <w:rsid w:val="00C93AB8"/>
    <w:rsid w:val="00C941F0"/>
    <w:rsid w:val="00C94212"/>
    <w:rsid w:val="00C9465B"/>
    <w:rsid w:val="00C946FB"/>
    <w:rsid w:val="00C9474A"/>
    <w:rsid w:val="00C9481E"/>
    <w:rsid w:val="00C94A11"/>
    <w:rsid w:val="00C94B12"/>
    <w:rsid w:val="00C95935"/>
    <w:rsid w:val="00C95DFE"/>
    <w:rsid w:val="00C95F9B"/>
    <w:rsid w:val="00C961EC"/>
    <w:rsid w:val="00C96354"/>
    <w:rsid w:val="00C96884"/>
    <w:rsid w:val="00C96B17"/>
    <w:rsid w:val="00C97062"/>
    <w:rsid w:val="00C97828"/>
    <w:rsid w:val="00CA037F"/>
    <w:rsid w:val="00CA05FD"/>
    <w:rsid w:val="00CA0827"/>
    <w:rsid w:val="00CA141B"/>
    <w:rsid w:val="00CA17C2"/>
    <w:rsid w:val="00CA18CB"/>
    <w:rsid w:val="00CA3311"/>
    <w:rsid w:val="00CA51ED"/>
    <w:rsid w:val="00CA5723"/>
    <w:rsid w:val="00CA57D6"/>
    <w:rsid w:val="00CA60C5"/>
    <w:rsid w:val="00CA6D71"/>
    <w:rsid w:val="00CA6EEC"/>
    <w:rsid w:val="00CA701C"/>
    <w:rsid w:val="00CA707F"/>
    <w:rsid w:val="00CA72E1"/>
    <w:rsid w:val="00CA78E5"/>
    <w:rsid w:val="00CB04B2"/>
    <w:rsid w:val="00CB05F4"/>
    <w:rsid w:val="00CB05F8"/>
    <w:rsid w:val="00CB0AA1"/>
    <w:rsid w:val="00CB1433"/>
    <w:rsid w:val="00CB1706"/>
    <w:rsid w:val="00CB1879"/>
    <w:rsid w:val="00CB1941"/>
    <w:rsid w:val="00CB1B01"/>
    <w:rsid w:val="00CB2626"/>
    <w:rsid w:val="00CB2763"/>
    <w:rsid w:val="00CB2E96"/>
    <w:rsid w:val="00CB303E"/>
    <w:rsid w:val="00CB3094"/>
    <w:rsid w:val="00CB3888"/>
    <w:rsid w:val="00CB3C65"/>
    <w:rsid w:val="00CB5580"/>
    <w:rsid w:val="00CB5819"/>
    <w:rsid w:val="00CB6011"/>
    <w:rsid w:val="00CB60C6"/>
    <w:rsid w:val="00CB6470"/>
    <w:rsid w:val="00CB682A"/>
    <w:rsid w:val="00CB6C0C"/>
    <w:rsid w:val="00CB6C5B"/>
    <w:rsid w:val="00CB7135"/>
    <w:rsid w:val="00CB71D8"/>
    <w:rsid w:val="00CB7862"/>
    <w:rsid w:val="00CC0299"/>
    <w:rsid w:val="00CC0475"/>
    <w:rsid w:val="00CC0E34"/>
    <w:rsid w:val="00CC1BE7"/>
    <w:rsid w:val="00CC1DE0"/>
    <w:rsid w:val="00CC1FC6"/>
    <w:rsid w:val="00CC1FE7"/>
    <w:rsid w:val="00CC2B29"/>
    <w:rsid w:val="00CC3185"/>
    <w:rsid w:val="00CC38A5"/>
    <w:rsid w:val="00CC3DA0"/>
    <w:rsid w:val="00CC45AE"/>
    <w:rsid w:val="00CC4953"/>
    <w:rsid w:val="00CC550D"/>
    <w:rsid w:val="00CC5F38"/>
    <w:rsid w:val="00CC61D5"/>
    <w:rsid w:val="00CC6250"/>
    <w:rsid w:val="00CC64FF"/>
    <w:rsid w:val="00CC67E8"/>
    <w:rsid w:val="00CC6B08"/>
    <w:rsid w:val="00CC72B5"/>
    <w:rsid w:val="00CC7CC7"/>
    <w:rsid w:val="00CC7E4D"/>
    <w:rsid w:val="00CD0417"/>
    <w:rsid w:val="00CD0B7E"/>
    <w:rsid w:val="00CD0E72"/>
    <w:rsid w:val="00CD1427"/>
    <w:rsid w:val="00CD19CC"/>
    <w:rsid w:val="00CD1D4E"/>
    <w:rsid w:val="00CD1FE9"/>
    <w:rsid w:val="00CD2645"/>
    <w:rsid w:val="00CD2CDE"/>
    <w:rsid w:val="00CD2F74"/>
    <w:rsid w:val="00CD3883"/>
    <w:rsid w:val="00CD3F8A"/>
    <w:rsid w:val="00CD45C2"/>
    <w:rsid w:val="00CD4657"/>
    <w:rsid w:val="00CD4D21"/>
    <w:rsid w:val="00CD551F"/>
    <w:rsid w:val="00CD5567"/>
    <w:rsid w:val="00CD5866"/>
    <w:rsid w:val="00CD5BC9"/>
    <w:rsid w:val="00CD5FA2"/>
    <w:rsid w:val="00CD6112"/>
    <w:rsid w:val="00CD62C4"/>
    <w:rsid w:val="00CD6AB6"/>
    <w:rsid w:val="00CD6BC0"/>
    <w:rsid w:val="00CD6CE0"/>
    <w:rsid w:val="00CD6DF6"/>
    <w:rsid w:val="00CD715B"/>
    <w:rsid w:val="00CD7780"/>
    <w:rsid w:val="00CD78CF"/>
    <w:rsid w:val="00CE032E"/>
    <w:rsid w:val="00CE035A"/>
    <w:rsid w:val="00CE06AB"/>
    <w:rsid w:val="00CE0A76"/>
    <w:rsid w:val="00CE0F33"/>
    <w:rsid w:val="00CE1B3C"/>
    <w:rsid w:val="00CE2575"/>
    <w:rsid w:val="00CE2598"/>
    <w:rsid w:val="00CE287C"/>
    <w:rsid w:val="00CE2922"/>
    <w:rsid w:val="00CE2B6E"/>
    <w:rsid w:val="00CE2CD8"/>
    <w:rsid w:val="00CE32A9"/>
    <w:rsid w:val="00CE36AE"/>
    <w:rsid w:val="00CE3789"/>
    <w:rsid w:val="00CE3FE2"/>
    <w:rsid w:val="00CE42EA"/>
    <w:rsid w:val="00CE4549"/>
    <w:rsid w:val="00CE46C0"/>
    <w:rsid w:val="00CE4A32"/>
    <w:rsid w:val="00CE5BAB"/>
    <w:rsid w:val="00CE5DDE"/>
    <w:rsid w:val="00CE6130"/>
    <w:rsid w:val="00CE62A8"/>
    <w:rsid w:val="00CE64F0"/>
    <w:rsid w:val="00CE6A2B"/>
    <w:rsid w:val="00CE6CD8"/>
    <w:rsid w:val="00CE6D60"/>
    <w:rsid w:val="00CE705F"/>
    <w:rsid w:val="00CE7288"/>
    <w:rsid w:val="00CE7430"/>
    <w:rsid w:val="00CF012A"/>
    <w:rsid w:val="00CF0383"/>
    <w:rsid w:val="00CF06C6"/>
    <w:rsid w:val="00CF0802"/>
    <w:rsid w:val="00CF0D7A"/>
    <w:rsid w:val="00CF1093"/>
    <w:rsid w:val="00CF1BA8"/>
    <w:rsid w:val="00CF1D86"/>
    <w:rsid w:val="00CF1DDE"/>
    <w:rsid w:val="00CF1DF0"/>
    <w:rsid w:val="00CF259B"/>
    <w:rsid w:val="00CF29C0"/>
    <w:rsid w:val="00CF2CEE"/>
    <w:rsid w:val="00CF3012"/>
    <w:rsid w:val="00CF3478"/>
    <w:rsid w:val="00CF43B9"/>
    <w:rsid w:val="00CF4A7C"/>
    <w:rsid w:val="00CF4E17"/>
    <w:rsid w:val="00CF4F1F"/>
    <w:rsid w:val="00CF60EA"/>
    <w:rsid w:val="00CF62FC"/>
    <w:rsid w:val="00CF707F"/>
    <w:rsid w:val="00CF7F7C"/>
    <w:rsid w:val="00D00438"/>
    <w:rsid w:val="00D00813"/>
    <w:rsid w:val="00D016AC"/>
    <w:rsid w:val="00D01788"/>
    <w:rsid w:val="00D01793"/>
    <w:rsid w:val="00D01A50"/>
    <w:rsid w:val="00D01FAC"/>
    <w:rsid w:val="00D02A0F"/>
    <w:rsid w:val="00D02A77"/>
    <w:rsid w:val="00D02E9F"/>
    <w:rsid w:val="00D03248"/>
    <w:rsid w:val="00D032D7"/>
    <w:rsid w:val="00D04140"/>
    <w:rsid w:val="00D04342"/>
    <w:rsid w:val="00D04358"/>
    <w:rsid w:val="00D045F2"/>
    <w:rsid w:val="00D0463F"/>
    <w:rsid w:val="00D04830"/>
    <w:rsid w:val="00D054EB"/>
    <w:rsid w:val="00D05A82"/>
    <w:rsid w:val="00D05ABE"/>
    <w:rsid w:val="00D066EF"/>
    <w:rsid w:val="00D06F77"/>
    <w:rsid w:val="00D0783A"/>
    <w:rsid w:val="00D07979"/>
    <w:rsid w:val="00D07D4D"/>
    <w:rsid w:val="00D105D6"/>
    <w:rsid w:val="00D1092B"/>
    <w:rsid w:val="00D10F6D"/>
    <w:rsid w:val="00D11A03"/>
    <w:rsid w:val="00D11B9A"/>
    <w:rsid w:val="00D11D4C"/>
    <w:rsid w:val="00D1229C"/>
    <w:rsid w:val="00D124EC"/>
    <w:rsid w:val="00D12D71"/>
    <w:rsid w:val="00D133AB"/>
    <w:rsid w:val="00D13519"/>
    <w:rsid w:val="00D1369B"/>
    <w:rsid w:val="00D13797"/>
    <w:rsid w:val="00D13BBD"/>
    <w:rsid w:val="00D13F38"/>
    <w:rsid w:val="00D14620"/>
    <w:rsid w:val="00D14807"/>
    <w:rsid w:val="00D153AC"/>
    <w:rsid w:val="00D159AD"/>
    <w:rsid w:val="00D15C09"/>
    <w:rsid w:val="00D16371"/>
    <w:rsid w:val="00D1658E"/>
    <w:rsid w:val="00D16734"/>
    <w:rsid w:val="00D1677F"/>
    <w:rsid w:val="00D17D4A"/>
    <w:rsid w:val="00D20BA6"/>
    <w:rsid w:val="00D20C58"/>
    <w:rsid w:val="00D20CBF"/>
    <w:rsid w:val="00D20E84"/>
    <w:rsid w:val="00D22064"/>
    <w:rsid w:val="00D223B6"/>
    <w:rsid w:val="00D22EBF"/>
    <w:rsid w:val="00D23360"/>
    <w:rsid w:val="00D2366B"/>
    <w:rsid w:val="00D2475A"/>
    <w:rsid w:val="00D24F45"/>
    <w:rsid w:val="00D2515D"/>
    <w:rsid w:val="00D2590B"/>
    <w:rsid w:val="00D259CB"/>
    <w:rsid w:val="00D25D4E"/>
    <w:rsid w:val="00D25EC0"/>
    <w:rsid w:val="00D26199"/>
    <w:rsid w:val="00D27A35"/>
    <w:rsid w:val="00D27CFB"/>
    <w:rsid w:val="00D27F74"/>
    <w:rsid w:val="00D3000A"/>
    <w:rsid w:val="00D305FA"/>
    <w:rsid w:val="00D3063C"/>
    <w:rsid w:val="00D30AAD"/>
    <w:rsid w:val="00D30EE2"/>
    <w:rsid w:val="00D30EEF"/>
    <w:rsid w:val="00D31B85"/>
    <w:rsid w:val="00D31C5F"/>
    <w:rsid w:val="00D31F38"/>
    <w:rsid w:val="00D321FC"/>
    <w:rsid w:val="00D32442"/>
    <w:rsid w:val="00D32998"/>
    <w:rsid w:val="00D32F36"/>
    <w:rsid w:val="00D331CC"/>
    <w:rsid w:val="00D339A6"/>
    <w:rsid w:val="00D349C5"/>
    <w:rsid w:val="00D35EF2"/>
    <w:rsid w:val="00D360E0"/>
    <w:rsid w:val="00D36171"/>
    <w:rsid w:val="00D36AD3"/>
    <w:rsid w:val="00D36E80"/>
    <w:rsid w:val="00D36FBC"/>
    <w:rsid w:val="00D37308"/>
    <w:rsid w:val="00D403A7"/>
    <w:rsid w:val="00D4073E"/>
    <w:rsid w:val="00D40909"/>
    <w:rsid w:val="00D419B9"/>
    <w:rsid w:val="00D41B56"/>
    <w:rsid w:val="00D42215"/>
    <w:rsid w:val="00D42CE3"/>
    <w:rsid w:val="00D43147"/>
    <w:rsid w:val="00D4329D"/>
    <w:rsid w:val="00D4349D"/>
    <w:rsid w:val="00D43738"/>
    <w:rsid w:val="00D43902"/>
    <w:rsid w:val="00D43932"/>
    <w:rsid w:val="00D439BA"/>
    <w:rsid w:val="00D43B77"/>
    <w:rsid w:val="00D43FD0"/>
    <w:rsid w:val="00D44657"/>
    <w:rsid w:val="00D4499F"/>
    <w:rsid w:val="00D44D3D"/>
    <w:rsid w:val="00D44EC3"/>
    <w:rsid w:val="00D453AA"/>
    <w:rsid w:val="00D45923"/>
    <w:rsid w:val="00D4639B"/>
    <w:rsid w:val="00D46438"/>
    <w:rsid w:val="00D46953"/>
    <w:rsid w:val="00D46ED9"/>
    <w:rsid w:val="00D4719D"/>
    <w:rsid w:val="00D47AF8"/>
    <w:rsid w:val="00D47DE4"/>
    <w:rsid w:val="00D50094"/>
    <w:rsid w:val="00D507C5"/>
    <w:rsid w:val="00D50BB9"/>
    <w:rsid w:val="00D50CD8"/>
    <w:rsid w:val="00D5101E"/>
    <w:rsid w:val="00D51091"/>
    <w:rsid w:val="00D5118B"/>
    <w:rsid w:val="00D511B2"/>
    <w:rsid w:val="00D5133E"/>
    <w:rsid w:val="00D514AA"/>
    <w:rsid w:val="00D515C2"/>
    <w:rsid w:val="00D51D2C"/>
    <w:rsid w:val="00D51E97"/>
    <w:rsid w:val="00D52EC8"/>
    <w:rsid w:val="00D532BC"/>
    <w:rsid w:val="00D543ED"/>
    <w:rsid w:val="00D55174"/>
    <w:rsid w:val="00D553CE"/>
    <w:rsid w:val="00D55701"/>
    <w:rsid w:val="00D55A21"/>
    <w:rsid w:val="00D55BE2"/>
    <w:rsid w:val="00D55CB3"/>
    <w:rsid w:val="00D56896"/>
    <w:rsid w:val="00D56FE6"/>
    <w:rsid w:val="00D57002"/>
    <w:rsid w:val="00D57F4E"/>
    <w:rsid w:val="00D601F0"/>
    <w:rsid w:val="00D60212"/>
    <w:rsid w:val="00D605A2"/>
    <w:rsid w:val="00D60C08"/>
    <w:rsid w:val="00D61635"/>
    <w:rsid w:val="00D61692"/>
    <w:rsid w:val="00D6224E"/>
    <w:rsid w:val="00D622E1"/>
    <w:rsid w:val="00D6239D"/>
    <w:rsid w:val="00D6250F"/>
    <w:rsid w:val="00D62720"/>
    <w:rsid w:val="00D62DC0"/>
    <w:rsid w:val="00D63085"/>
    <w:rsid w:val="00D63556"/>
    <w:rsid w:val="00D637E8"/>
    <w:rsid w:val="00D6404F"/>
    <w:rsid w:val="00D64DC3"/>
    <w:rsid w:val="00D659E8"/>
    <w:rsid w:val="00D65D60"/>
    <w:rsid w:val="00D65FBE"/>
    <w:rsid w:val="00D661D3"/>
    <w:rsid w:val="00D67D96"/>
    <w:rsid w:val="00D7017D"/>
    <w:rsid w:val="00D7153D"/>
    <w:rsid w:val="00D7162D"/>
    <w:rsid w:val="00D72828"/>
    <w:rsid w:val="00D7299E"/>
    <w:rsid w:val="00D72E5D"/>
    <w:rsid w:val="00D72E77"/>
    <w:rsid w:val="00D7395A"/>
    <w:rsid w:val="00D7411B"/>
    <w:rsid w:val="00D741CF"/>
    <w:rsid w:val="00D748E2"/>
    <w:rsid w:val="00D74D2B"/>
    <w:rsid w:val="00D74DBB"/>
    <w:rsid w:val="00D74FB2"/>
    <w:rsid w:val="00D75189"/>
    <w:rsid w:val="00D751FD"/>
    <w:rsid w:val="00D7597B"/>
    <w:rsid w:val="00D75C24"/>
    <w:rsid w:val="00D75EC3"/>
    <w:rsid w:val="00D773A9"/>
    <w:rsid w:val="00D77698"/>
    <w:rsid w:val="00D77749"/>
    <w:rsid w:val="00D77CEC"/>
    <w:rsid w:val="00D80382"/>
    <w:rsid w:val="00D8072F"/>
    <w:rsid w:val="00D810A3"/>
    <w:rsid w:val="00D8113E"/>
    <w:rsid w:val="00D819DE"/>
    <w:rsid w:val="00D81A9B"/>
    <w:rsid w:val="00D81AF4"/>
    <w:rsid w:val="00D81C27"/>
    <w:rsid w:val="00D81E25"/>
    <w:rsid w:val="00D829C1"/>
    <w:rsid w:val="00D82F81"/>
    <w:rsid w:val="00D83151"/>
    <w:rsid w:val="00D83FF3"/>
    <w:rsid w:val="00D84668"/>
    <w:rsid w:val="00D84961"/>
    <w:rsid w:val="00D85175"/>
    <w:rsid w:val="00D858F7"/>
    <w:rsid w:val="00D86220"/>
    <w:rsid w:val="00D866D5"/>
    <w:rsid w:val="00D90D03"/>
    <w:rsid w:val="00D90D55"/>
    <w:rsid w:val="00D92145"/>
    <w:rsid w:val="00D9216D"/>
    <w:rsid w:val="00D92877"/>
    <w:rsid w:val="00D92E62"/>
    <w:rsid w:val="00D937BA"/>
    <w:rsid w:val="00D93C76"/>
    <w:rsid w:val="00D93E7B"/>
    <w:rsid w:val="00D94000"/>
    <w:rsid w:val="00D94512"/>
    <w:rsid w:val="00D946A0"/>
    <w:rsid w:val="00D9472A"/>
    <w:rsid w:val="00D948BE"/>
    <w:rsid w:val="00D9495E"/>
    <w:rsid w:val="00D94F3F"/>
    <w:rsid w:val="00D95636"/>
    <w:rsid w:val="00D95DE6"/>
    <w:rsid w:val="00D965DB"/>
    <w:rsid w:val="00D97684"/>
    <w:rsid w:val="00D97967"/>
    <w:rsid w:val="00DA0398"/>
    <w:rsid w:val="00DA0847"/>
    <w:rsid w:val="00DA08B9"/>
    <w:rsid w:val="00DA0BFA"/>
    <w:rsid w:val="00DA127A"/>
    <w:rsid w:val="00DA13F6"/>
    <w:rsid w:val="00DA148E"/>
    <w:rsid w:val="00DA1652"/>
    <w:rsid w:val="00DA19EA"/>
    <w:rsid w:val="00DA1A8D"/>
    <w:rsid w:val="00DA1BD8"/>
    <w:rsid w:val="00DA25BB"/>
    <w:rsid w:val="00DA295A"/>
    <w:rsid w:val="00DA360A"/>
    <w:rsid w:val="00DA3DC1"/>
    <w:rsid w:val="00DA3EE0"/>
    <w:rsid w:val="00DA3FF7"/>
    <w:rsid w:val="00DA4283"/>
    <w:rsid w:val="00DA511C"/>
    <w:rsid w:val="00DA525F"/>
    <w:rsid w:val="00DA5400"/>
    <w:rsid w:val="00DA5DEC"/>
    <w:rsid w:val="00DA6C4A"/>
    <w:rsid w:val="00DA6DDC"/>
    <w:rsid w:val="00DA74B8"/>
    <w:rsid w:val="00DB0792"/>
    <w:rsid w:val="00DB1325"/>
    <w:rsid w:val="00DB1766"/>
    <w:rsid w:val="00DB1858"/>
    <w:rsid w:val="00DB1BCF"/>
    <w:rsid w:val="00DB23B4"/>
    <w:rsid w:val="00DB24AA"/>
    <w:rsid w:val="00DB2981"/>
    <w:rsid w:val="00DB2EE7"/>
    <w:rsid w:val="00DB34BB"/>
    <w:rsid w:val="00DB3AB5"/>
    <w:rsid w:val="00DB3CB9"/>
    <w:rsid w:val="00DB3CDD"/>
    <w:rsid w:val="00DB3D57"/>
    <w:rsid w:val="00DB3EA2"/>
    <w:rsid w:val="00DB42AD"/>
    <w:rsid w:val="00DB4BA9"/>
    <w:rsid w:val="00DB5035"/>
    <w:rsid w:val="00DB614C"/>
    <w:rsid w:val="00DB675D"/>
    <w:rsid w:val="00DB6952"/>
    <w:rsid w:val="00DB758F"/>
    <w:rsid w:val="00DB75CC"/>
    <w:rsid w:val="00DC074D"/>
    <w:rsid w:val="00DC1082"/>
    <w:rsid w:val="00DC16F0"/>
    <w:rsid w:val="00DC1933"/>
    <w:rsid w:val="00DC1D71"/>
    <w:rsid w:val="00DC2349"/>
    <w:rsid w:val="00DC2459"/>
    <w:rsid w:val="00DC29A0"/>
    <w:rsid w:val="00DC2FED"/>
    <w:rsid w:val="00DC30B0"/>
    <w:rsid w:val="00DC3750"/>
    <w:rsid w:val="00DC390C"/>
    <w:rsid w:val="00DC3AC2"/>
    <w:rsid w:val="00DC3AF5"/>
    <w:rsid w:val="00DC3E71"/>
    <w:rsid w:val="00DC4390"/>
    <w:rsid w:val="00DC44BE"/>
    <w:rsid w:val="00DC46A3"/>
    <w:rsid w:val="00DC4D45"/>
    <w:rsid w:val="00DC5373"/>
    <w:rsid w:val="00DC55C8"/>
    <w:rsid w:val="00DC568B"/>
    <w:rsid w:val="00DC5B72"/>
    <w:rsid w:val="00DC60BE"/>
    <w:rsid w:val="00DC6C90"/>
    <w:rsid w:val="00DC6FEE"/>
    <w:rsid w:val="00DC7453"/>
    <w:rsid w:val="00DC7FD9"/>
    <w:rsid w:val="00DD0FBE"/>
    <w:rsid w:val="00DD1373"/>
    <w:rsid w:val="00DD1570"/>
    <w:rsid w:val="00DD15AB"/>
    <w:rsid w:val="00DD1C5F"/>
    <w:rsid w:val="00DD263E"/>
    <w:rsid w:val="00DD2790"/>
    <w:rsid w:val="00DD29BD"/>
    <w:rsid w:val="00DD2A16"/>
    <w:rsid w:val="00DD2A76"/>
    <w:rsid w:val="00DD2A97"/>
    <w:rsid w:val="00DD2C17"/>
    <w:rsid w:val="00DD2C1D"/>
    <w:rsid w:val="00DD379E"/>
    <w:rsid w:val="00DD3BC1"/>
    <w:rsid w:val="00DD3DEE"/>
    <w:rsid w:val="00DD407B"/>
    <w:rsid w:val="00DD4213"/>
    <w:rsid w:val="00DD4741"/>
    <w:rsid w:val="00DD4841"/>
    <w:rsid w:val="00DD4C50"/>
    <w:rsid w:val="00DD4DD1"/>
    <w:rsid w:val="00DD4F85"/>
    <w:rsid w:val="00DD5675"/>
    <w:rsid w:val="00DD64DA"/>
    <w:rsid w:val="00DD7774"/>
    <w:rsid w:val="00DD7AEA"/>
    <w:rsid w:val="00DE0118"/>
    <w:rsid w:val="00DE03AC"/>
    <w:rsid w:val="00DE0460"/>
    <w:rsid w:val="00DE0C34"/>
    <w:rsid w:val="00DE0C84"/>
    <w:rsid w:val="00DE1037"/>
    <w:rsid w:val="00DE10EF"/>
    <w:rsid w:val="00DE10F5"/>
    <w:rsid w:val="00DE1A56"/>
    <w:rsid w:val="00DE20D2"/>
    <w:rsid w:val="00DE2295"/>
    <w:rsid w:val="00DE2392"/>
    <w:rsid w:val="00DE27BC"/>
    <w:rsid w:val="00DE2C8B"/>
    <w:rsid w:val="00DE2DA2"/>
    <w:rsid w:val="00DE311D"/>
    <w:rsid w:val="00DE3140"/>
    <w:rsid w:val="00DE4851"/>
    <w:rsid w:val="00DE4863"/>
    <w:rsid w:val="00DE4ADE"/>
    <w:rsid w:val="00DE4E7D"/>
    <w:rsid w:val="00DE50DE"/>
    <w:rsid w:val="00DE5209"/>
    <w:rsid w:val="00DE56D7"/>
    <w:rsid w:val="00DE588E"/>
    <w:rsid w:val="00DE6233"/>
    <w:rsid w:val="00DE6249"/>
    <w:rsid w:val="00DE7219"/>
    <w:rsid w:val="00DE75B1"/>
    <w:rsid w:val="00DE79A4"/>
    <w:rsid w:val="00DF05C8"/>
    <w:rsid w:val="00DF0A11"/>
    <w:rsid w:val="00DF0CB4"/>
    <w:rsid w:val="00DF166D"/>
    <w:rsid w:val="00DF16BE"/>
    <w:rsid w:val="00DF1739"/>
    <w:rsid w:val="00DF1A01"/>
    <w:rsid w:val="00DF1FC3"/>
    <w:rsid w:val="00DF1FCA"/>
    <w:rsid w:val="00DF2A53"/>
    <w:rsid w:val="00DF2FE7"/>
    <w:rsid w:val="00DF34B9"/>
    <w:rsid w:val="00DF383E"/>
    <w:rsid w:val="00DF397E"/>
    <w:rsid w:val="00DF4BB1"/>
    <w:rsid w:val="00DF52EA"/>
    <w:rsid w:val="00DF536F"/>
    <w:rsid w:val="00DF55D2"/>
    <w:rsid w:val="00DF66EF"/>
    <w:rsid w:val="00DF6819"/>
    <w:rsid w:val="00DF69DC"/>
    <w:rsid w:val="00DF747C"/>
    <w:rsid w:val="00E008B8"/>
    <w:rsid w:val="00E015D5"/>
    <w:rsid w:val="00E017EA"/>
    <w:rsid w:val="00E01855"/>
    <w:rsid w:val="00E01A2D"/>
    <w:rsid w:val="00E01B56"/>
    <w:rsid w:val="00E01D98"/>
    <w:rsid w:val="00E01F52"/>
    <w:rsid w:val="00E021D4"/>
    <w:rsid w:val="00E0291B"/>
    <w:rsid w:val="00E02EB9"/>
    <w:rsid w:val="00E03EF3"/>
    <w:rsid w:val="00E043EB"/>
    <w:rsid w:val="00E04B37"/>
    <w:rsid w:val="00E051DB"/>
    <w:rsid w:val="00E0583B"/>
    <w:rsid w:val="00E0595E"/>
    <w:rsid w:val="00E05FB8"/>
    <w:rsid w:val="00E06158"/>
    <w:rsid w:val="00E062D8"/>
    <w:rsid w:val="00E069DC"/>
    <w:rsid w:val="00E06D3C"/>
    <w:rsid w:val="00E06FC7"/>
    <w:rsid w:val="00E071AD"/>
    <w:rsid w:val="00E07662"/>
    <w:rsid w:val="00E07A67"/>
    <w:rsid w:val="00E07BFB"/>
    <w:rsid w:val="00E07F4E"/>
    <w:rsid w:val="00E100A5"/>
    <w:rsid w:val="00E103B8"/>
    <w:rsid w:val="00E113F5"/>
    <w:rsid w:val="00E1172C"/>
    <w:rsid w:val="00E11D86"/>
    <w:rsid w:val="00E12BD1"/>
    <w:rsid w:val="00E131B3"/>
    <w:rsid w:val="00E13484"/>
    <w:rsid w:val="00E13F2A"/>
    <w:rsid w:val="00E14120"/>
    <w:rsid w:val="00E14BA0"/>
    <w:rsid w:val="00E15798"/>
    <w:rsid w:val="00E15E15"/>
    <w:rsid w:val="00E15E83"/>
    <w:rsid w:val="00E164A8"/>
    <w:rsid w:val="00E16698"/>
    <w:rsid w:val="00E16BC3"/>
    <w:rsid w:val="00E179AE"/>
    <w:rsid w:val="00E17ABD"/>
    <w:rsid w:val="00E17E78"/>
    <w:rsid w:val="00E20B5C"/>
    <w:rsid w:val="00E20DF6"/>
    <w:rsid w:val="00E20ECA"/>
    <w:rsid w:val="00E20FBC"/>
    <w:rsid w:val="00E21224"/>
    <w:rsid w:val="00E21520"/>
    <w:rsid w:val="00E21556"/>
    <w:rsid w:val="00E2165F"/>
    <w:rsid w:val="00E21B38"/>
    <w:rsid w:val="00E21E86"/>
    <w:rsid w:val="00E21F1D"/>
    <w:rsid w:val="00E2342F"/>
    <w:rsid w:val="00E23815"/>
    <w:rsid w:val="00E23A1D"/>
    <w:rsid w:val="00E23E20"/>
    <w:rsid w:val="00E24501"/>
    <w:rsid w:val="00E2452A"/>
    <w:rsid w:val="00E24879"/>
    <w:rsid w:val="00E24AB5"/>
    <w:rsid w:val="00E25205"/>
    <w:rsid w:val="00E2541E"/>
    <w:rsid w:val="00E2553D"/>
    <w:rsid w:val="00E258EF"/>
    <w:rsid w:val="00E25E9E"/>
    <w:rsid w:val="00E261BC"/>
    <w:rsid w:val="00E262EA"/>
    <w:rsid w:val="00E26BEF"/>
    <w:rsid w:val="00E26C65"/>
    <w:rsid w:val="00E276A6"/>
    <w:rsid w:val="00E277AB"/>
    <w:rsid w:val="00E278F8"/>
    <w:rsid w:val="00E27DF3"/>
    <w:rsid w:val="00E30211"/>
    <w:rsid w:val="00E30BC2"/>
    <w:rsid w:val="00E30E1F"/>
    <w:rsid w:val="00E30EBB"/>
    <w:rsid w:val="00E30EDA"/>
    <w:rsid w:val="00E31BCE"/>
    <w:rsid w:val="00E31DC4"/>
    <w:rsid w:val="00E328C7"/>
    <w:rsid w:val="00E32ED1"/>
    <w:rsid w:val="00E33079"/>
    <w:rsid w:val="00E3317B"/>
    <w:rsid w:val="00E331B6"/>
    <w:rsid w:val="00E33A92"/>
    <w:rsid w:val="00E33C87"/>
    <w:rsid w:val="00E33FBC"/>
    <w:rsid w:val="00E345F5"/>
    <w:rsid w:val="00E346EE"/>
    <w:rsid w:val="00E35771"/>
    <w:rsid w:val="00E35C8B"/>
    <w:rsid w:val="00E36456"/>
    <w:rsid w:val="00E368A9"/>
    <w:rsid w:val="00E36AB1"/>
    <w:rsid w:val="00E36EF0"/>
    <w:rsid w:val="00E37C0F"/>
    <w:rsid w:val="00E401B5"/>
    <w:rsid w:val="00E40237"/>
    <w:rsid w:val="00E40D5C"/>
    <w:rsid w:val="00E4131A"/>
    <w:rsid w:val="00E41787"/>
    <w:rsid w:val="00E4185D"/>
    <w:rsid w:val="00E41BFE"/>
    <w:rsid w:val="00E41C0E"/>
    <w:rsid w:val="00E42201"/>
    <w:rsid w:val="00E42783"/>
    <w:rsid w:val="00E42970"/>
    <w:rsid w:val="00E42D04"/>
    <w:rsid w:val="00E43AC5"/>
    <w:rsid w:val="00E43E05"/>
    <w:rsid w:val="00E43E6D"/>
    <w:rsid w:val="00E44875"/>
    <w:rsid w:val="00E44A44"/>
    <w:rsid w:val="00E44E30"/>
    <w:rsid w:val="00E44EF6"/>
    <w:rsid w:val="00E4541F"/>
    <w:rsid w:val="00E458D0"/>
    <w:rsid w:val="00E45B05"/>
    <w:rsid w:val="00E461F6"/>
    <w:rsid w:val="00E4631E"/>
    <w:rsid w:val="00E4688B"/>
    <w:rsid w:val="00E46A90"/>
    <w:rsid w:val="00E46FFD"/>
    <w:rsid w:val="00E476A1"/>
    <w:rsid w:val="00E47D80"/>
    <w:rsid w:val="00E47F12"/>
    <w:rsid w:val="00E50449"/>
    <w:rsid w:val="00E50716"/>
    <w:rsid w:val="00E51075"/>
    <w:rsid w:val="00E5113D"/>
    <w:rsid w:val="00E51706"/>
    <w:rsid w:val="00E51C33"/>
    <w:rsid w:val="00E51FF2"/>
    <w:rsid w:val="00E525FF"/>
    <w:rsid w:val="00E52A69"/>
    <w:rsid w:val="00E52AD3"/>
    <w:rsid w:val="00E52F54"/>
    <w:rsid w:val="00E52F57"/>
    <w:rsid w:val="00E535DE"/>
    <w:rsid w:val="00E537A2"/>
    <w:rsid w:val="00E53E92"/>
    <w:rsid w:val="00E5411B"/>
    <w:rsid w:val="00E549D8"/>
    <w:rsid w:val="00E54B39"/>
    <w:rsid w:val="00E54FAB"/>
    <w:rsid w:val="00E55A22"/>
    <w:rsid w:val="00E55C95"/>
    <w:rsid w:val="00E561F2"/>
    <w:rsid w:val="00E56AF0"/>
    <w:rsid w:val="00E56FDB"/>
    <w:rsid w:val="00E57133"/>
    <w:rsid w:val="00E571A5"/>
    <w:rsid w:val="00E57C07"/>
    <w:rsid w:val="00E600F5"/>
    <w:rsid w:val="00E610FF"/>
    <w:rsid w:val="00E61337"/>
    <w:rsid w:val="00E61FC7"/>
    <w:rsid w:val="00E6264C"/>
    <w:rsid w:val="00E62C7B"/>
    <w:rsid w:val="00E6379E"/>
    <w:rsid w:val="00E63840"/>
    <w:rsid w:val="00E63868"/>
    <w:rsid w:val="00E63942"/>
    <w:rsid w:val="00E639BF"/>
    <w:rsid w:val="00E63A9E"/>
    <w:rsid w:val="00E63EC0"/>
    <w:rsid w:val="00E645F7"/>
    <w:rsid w:val="00E64BD7"/>
    <w:rsid w:val="00E6504A"/>
    <w:rsid w:val="00E650AB"/>
    <w:rsid w:val="00E650D0"/>
    <w:rsid w:val="00E6562D"/>
    <w:rsid w:val="00E65863"/>
    <w:rsid w:val="00E65BA0"/>
    <w:rsid w:val="00E65CFB"/>
    <w:rsid w:val="00E660B0"/>
    <w:rsid w:val="00E6612C"/>
    <w:rsid w:val="00E6646F"/>
    <w:rsid w:val="00E672B7"/>
    <w:rsid w:val="00E67481"/>
    <w:rsid w:val="00E674B7"/>
    <w:rsid w:val="00E675C2"/>
    <w:rsid w:val="00E6760E"/>
    <w:rsid w:val="00E67799"/>
    <w:rsid w:val="00E67F9A"/>
    <w:rsid w:val="00E67FB6"/>
    <w:rsid w:val="00E70E7C"/>
    <w:rsid w:val="00E70FBF"/>
    <w:rsid w:val="00E71288"/>
    <w:rsid w:val="00E71903"/>
    <w:rsid w:val="00E71A17"/>
    <w:rsid w:val="00E71B79"/>
    <w:rsid w:val="00E71D09"/>
    <w:rsid w:val="00E71DF6"/>
    <w:rsid w:val="00E72515"/>
    <w:rsid w:val="00E72AD7"/>
    <w:rsid w:val="00E72F0C"/>
    <w:rsid w:val="00E734AF"/>
    <w:rsid w:val="00E73567"/>
    <w:rsid w:val="00E73A74"/>
    <w:rsid w:val="00E73CAE"/>
    <w:rsid w:val="00E743FA"/>
    <w:rsid w:val="00E7473F"/>
    <w:rsid w:val="00E7489C"/>
    <w:rsid w:val="00E74A4E"/>
    <w:rsid w:val="00E74C3A"/>
    <w:rsid w:val="00E75570"/>
    <w:rsid w:val="00E75683"/>
    <w:rsid w:val="00E75B2B"/>
    <w:rsid w:val="00E75B83"/>
    <w:rsid w:val="00E75D2A"/>
    <w:rsid w:val="00E76227"/>
    <w:rsid w:val="00E76769"/>
    <w:rsid w:val="00E77326"/>
    <w:rsid w:val="00E7732E"/>
    <w:rsid w:val="00E774A4"/>
    <w:rsid w:val="00E776A0"/>
    <w:rsid w:val="00E77A9C"/>
    <w:rsid w:val="00E77FB1"/>
    <w:rsid w:val="00E8001C"/>
    <w:rsid w:val="00E80117"/>
    <w:rsid w:val="00E80436"/>
    <w:rsid w:val="00E80C25"/>
    <w:rsid w:val="00E810A4"/>
    <w:rsid w:val="00E8147E"/>
    <w:rsid w:val="00E8209D"/>
    <w:rsid w:val="00E82248"/>
    <w:rsid w:val="00E826C6"/>
    <w:rsid w:val="00E82D29"/>
    <w:rsid w:val="00E82FA7"/>
    <w:rsid w:val="00E835B7"/>
    <w:rsid w:val="00E83BEF"/>
    <w:rsid w:val="00E83D1B"/>
    <w:rsid w:val="00E83FAB"/>
    <w:rsid w:val="00E8405F"/>
    <w:rsid w:val="00E846CA"/>
    <w:rsid w:val="00E85511"/>
    <w:rsid w:val="00E85E4C"/>
    <w:rsid w:val="00E85F2D"/>
    <w:rsid w:val="00E860BE"/>
    <w:rsid w:val="00E8656E"/>
    <w:rsid w:val="00E868F0"/>
    <w:rsid w:val="00E87E57"/>
    <w:rsid w:val="00E87FE0"/>
    <w:rsid w:val="00E90AA4"/>
    <w:rsid w:val="00E915C4"/>
    <w:rsid w:val="00E91675"/>
    <w:rsid w:val="00E91B6F"/>
    <w:rsid w:val="00E91BCD"/>
    <w:rsid w:val="00E91C74"/>
    <w:rsid w:val="00E94044"/>
    <w:rsid w:val="00E940D0"/>
    <w:rsid w:val="00E94734"/>
    <w:rsid w:val="00E94E1F"/>
    <w:rsid w:val="00E95089"/>
    <w:rsid w:val="00E951A4"/>
    <w:rsid w:val="00E95646"/>
    <w:rsid w:val="00E959F6"/>
    <w:rsid w:val="00E95D9A"/>
    <w:rsid w:val="00E95FBB"/>
    <w:rsid w:val="00E96046"/>
    <w:rsid w:val="00E96133"/>
    <w:rsid w:val="00E9690E"/>
    <w:rsid w:val="00E96F02"/>
    <w:rsid w:val="00E97D5A"/>
    <w:rsid w:val="00E97E08"/>
    <w:rsid w:val="00EA0131"/>
    <w:rsid w:val="00EA0207"/>
    <w:rsid w:val="00EA0545"/>
    <w:rsid w:val="00EA088E"/>
    <w:rsid w:val="00EA088F"/>
    <w:rsid w:val="00EA08C0"/>
    <w:rsid w:val="00EA0BC9"/>
    <w:rsid w:val="00EA18CC"/>
    <w:rsid w:val="00EA1E06"/>
    <w:rsid w:val="00EA200D"/>
    <w:rsid w:val="00EA240C"/>
    <w:rsid w:val="00EA2529"/>
    <w:rsid w:val="00EA282F"/>
    <w:rsid w:val="00EA2929"/>
    <w:rsid w:val="00EA2FE9"/>
    <w:rsid w:val="00EA38C1"/>
    <w:rsid w:val="00EA3CD7"/>
    <w:rsid w:val="00EA4381"/>
    <w:rsid w:val="00EA470C"/>
    <w:rsid w:val="00EA4C0F"/>
    <w:rsid w:val="00EA4F41"/>
    <w:rsid w:val="00EA502A"/>
    <w:rsid w:val="00EA5533"/>
    <w:rsid w:val="00EA5D79"/>
    <w:rsid w:val="00EA62C8"/>
    <w:rsid w:val="00EA671E"/>
    <w:rsid w:val="00EA6A03"/>
    <w:rsid w:val="00EA6C52"/>
    <w:rsid w:val="00EA78F1"/>
    <w:rsid w:val="00EA7A13"/>
    <w:rsid w:val="00EA7A81"/>
    <w:rsid w:val="00EA7CFB"/>
    <w:rsid w:val="00EA7E03"/>
    <w:rsid w:val="00EB0047"/>
    <w:rsid w:val="00EB01AC"/>
    <w:rsid w:val="00EB03C1"/>
    <w:rsid w:val="00EB05F2"/>
    <w:rsid w:val="00EB0846"/>
    <w:rsid w:val="00EB0B65"/>
    <w:rsid w:val="00EB0D9F"/>
    <w:rsid w:val="00EB1429"/>
    <w:rsid w:val="00EB1D6D"/>
    <w:rsid w:val="00EB1E11"/>
    <w:rsid w:val="00EB1EEC"/>
    <w:rsid w:val="00EB350A"/>
    <w:rsid w:val="00EB3DA7"/>
    <w:rsid w:val="00EB438E"/>
    <w:rsid w:val="00EB4737"/>
    <w:rsid w:val="00EB476B"/>
    <w:rsid w:val="00EB5007"/>
    <w:rsid w:val="00EB5507"/>
    <w:rsid w:val="00EB5FFE"/>
    <w:rsid w:val="00EB61EC"/>
    <w:rsid w:val="00EB6788"/>
    <w:rsid w:val="00EB684A"/>
    <w:rsid w:val="00EB7259"/>
    <w:rsid w:val="00EB7B63"/>
    <w:rsid w:val="00EB7BAE"/>
    <w:rsid w:val="00EB7D16"/>
    <w:rsid w:val="00EB7DB9"/>
    <w:rsid w:val="00EB7EC1"/>
    <w:rsid w:val="00EC05C2"/>
    <w:rsid w:val="00EC0724"/>
    <w:rsid w:val="00EC0CD6"/>
    <w:rsid w:val="00EC0F7A"/>
    <w:rsid w:val="00EC11EB"/>
    <w:rsid w:val="00EC1556"/>
    <w:rsid w:val="00EC16A6"/>
    <w:rsid w:val="00EC1773"/>
    <w:rsid w:val="00EC1B01"/>
    <w:rsid w:val="00EC1C00"/>
    <w:rsid w:val="00EC1FF9"/>
    <w:rsid w:val="00EC21CA"/>
    <w:rsid w:val="00EC2589"/>
    <w:rsid w:val="00EC265C"/>
    <w:rsid w:val="00EC2D12"/>
    <w:rsid w:val="00EC39E9"/>
    <w:rsid w:val="00EC3FD1"/>
    <w:rsid w:val="00EC41BC"/>
    <w:rsid w:val="00EC4F68"/>
    <w:rsid w:val="00EC5593"/>
    <w:rsid w:val="00EC586C"/>
    <w:rsid w:val="00EC5EAC"/>
    <w:rsid w:val="00EC62E0"/>
    <w:rsid w:val="00EC6888"/>
    <w:rsid w:val="00EC6A76"/>
    <w:rsid w:val="00EC6B01"/>
    <w:rsid w:val="00EC6C5A"/>
    <w:rsid w:val="00EC7ECA"/>
    <w:rsid w:val="00ED069E"/>
    <w:rsid w:val="00ED179C"/>
    <w:rsid w:val="00ED19A5"/>
    <w:rsid w:val="00ED2D1C"/>
    <w:rsid w:val="00ED2F26"/>
    <w:rsid w:val="00ED30E7"/>
    <w:rsid w:val="00ED3B39"/>
    <w:rsid w:val="00ED3EBE"/>
    <w:rsid w:val="00ED468E"/>
    <w:rsid w:val="00ED47D4"/>
    <w:rsid w:val="00ED4922"/>
    <w:rsid w:val="00ED4BB0"/>
    <w:rsid w:val="00ED4EB9"/>
    <w:rsid w:val="00ED5046"/>
    <w:rsid w:val="00ED5353"/>
    <w:rsid w:val="00ED5BC2"/>
    <w:rsid w:val="00ED5F3E"/>
    <w:rsid w:val="00ED6D9A"/>
    <w:rsid w:val="00ED79FF"/>
    <w:rsid w:val="00ED7AB8"/>
    <w:rsid w:val="00EE072E"/>
    <w:rsid w:val="00EE0959"/>
    <w:rsid w:val="00EE0DEF"/>
    <w:rsid w:val="00EE1019"/>
    <w:rsid w:val="00EE1CB5"/>
    <w:rsid w:val="00EE23EE"/>
    <w:rsid w:val="00EE23FC"/>
    <w:rsid w:val="00EE2544"/>
    <w:rsid w:val="00EE29F9"/>
    <w:rsid w:val="00EE2A7A"/>
    <w:rsid w:val="00EE2D34"/>
    <w:rsid w:val="00EE3007"/>
    <w:rsid w:val="00EE48E5"/>
    <w:rsid w:val="00EE4B1F"/>
    <w:rsid w:val="00EE6D15"/>
    <w:rsid w:val="00EE6E8C"/>
    <w:rsid w:val="00EE7128"/>
    <w:rsid w:val="00EE761F"/>
    <w:rsid w:val="00EF05A5"/>
    <w:rsid w:val="00EF0736"/>
    <w:rsid w:val="00EF0FA5"/>
    <w:rsid w:val="00EF175C"/>
    <w:rsid w:val="00EF1BE3"/>
    <w:rsid w:val="00EF1D36"/>
    <w:rsid w:val="00EF2F58"/>
    <w:rsid w:val="00EF2FE1"/>
    <w:rsid w:val="00EF30C6"/>
    <w:rsid w:val="00EF34C8"/>
    <w:rsid w:val="00EF38A0"/>
    <w:rsid w:val="00EF38C0"/>
    <w:rsid w:val="00EF3904"/>
    <w:rsid w:val="00EF3F76"/>
    <w:rsid w:val="00EF4160"/>
    <w:rsid w:val="00EF4219"/>
    <w:rsid w:val="00EF4B17"/>
    <w:rsid w:val="00EF55CE"/>
    <w:rsid w:val="00EF653F"/>
    <w:rsid w:val="00EF6806"/>
    <w:rsid w:val="00EF7118"/>
    <w:rsid w:val="00EF73EB"/>
    <w:rsid w:val="00EF7ADA"/>
    <w:rsid w:val="00F004D9"/>
    <w:rsid w:val="00F005DB"/>
    <w:rsid w:val="00F0069D"/>
    <w:rsid w:val="00F00E7A"/>
    <w:rsid w:val="00F01699"/>
    <w:rsid w:val="00F01C3D"/>
    <w:rsid w:val="00F01C43"/>
    <w:rsid w:val="00F0209C"/>
    <w:rsid w:val="00F024FB"/>
    <w:rsid w:val="00F02AEF"/>
    <w:rsid w:val="00F03182"/>
    <w:rsid w:val="00F033F5"/>
    <w:rsid w:val="00F035AB"/>
    <w:rsid w:val="00F044CA"/>
    <w:rsid w:val="00F045BD"/>
    <w:rsid w:val="00F05020"/>
    <w:rsid w:val="00F0505C"/>
    <w:rsid w:val="00F05072"/>
    <w:rsid w:val="00F05161"/>
    <w:rsid w:val="00F054B7"/>
    <w:rsid w:val="00F05837"/>
    <w:rsid w:val="00F05D92"/>
    <w:rsid w:val="00F06213"/>
    <w:rsid w:val="00F07E63"/>
    <w:rsid w:val="00F10775"/>
    <w:rsid w:val="00F107DE"/>
    <w:rsid w:val="00F11319"/>
    <w:rsid w:val="00F11BF1"/>
    <w:rsid w:val="00F11C83"/>
    <w:rsid w:val="00F12311"/>
    <w:rsid w:val="00F1259B"/>
    <w:rsid w:val="00F12E40"/>
    <w:rsid w:val="00F12F57"/>
    <w:rsid w:val="00F13817"/>
    <w:rsid w:val="00F139A1"/>
    <w:rsid w:val="00F143D4"/>
    <w:rsid w:val="00F1446E"/>
    <w:rsid w:val="00F14793"/>
    <w:rsid w:val="00F15968"/>
    <w:rsid w:val="00F159E5"/>
    <w:rsid w:val="00F15BCD"/>
    <w:rsid w:val="00F15C1C"/>
    <w:rsid w:val="00F161E6"/>
    <w:rsid w:val="00F16880"/>
    <w:rsid w:val="00F169A9"/>
    <w:rsid w:val="00F16C7D"/>
    <w:rsid w:val="00F16EC8"/>
    <w:rsid w:val="00F1740C"/>
    <w:rsid w:val="00F20058"/>
    <w:rsid w:val="00F20403"/>
    <w:rsid w:val="00F20719"/>
    <w:rsid w:val="00F208BE"/>
    <w:rsid w:val="00F20DCC"/>
    <w:rsid w:val="00F20F56"/>
    <w:rsid w:val="00F2110F"/>
    <w:rsid w:val="00F21DB6"/>
    <w:rsid w:val="00F21EA3"/>
    <w:rsid w:val="00F22033"/>
    <w:rsid w:val="00F22117"/>
    <w:rsid w:val="00F2253A"/>
    <w:rsid w:val="00F22AD6"/>
    <w:rsid w:val="00F22C38"/>
    <w:rsid w:val="00F232DD"/>
    <w:rsid w:val="00F24750"/>
    <w:rsid w:val="00F24C0E"/>
    <w:rsid w:val="00F2754E"/>
    <w:rsid w:val="00F27EB5"/>
    <w:rsid w:val="00F30059"/>
    <w:rsid w:val="00F30734"/>
    <w:rsid w:val="00F3081F"/>
    <w:rsid w:val="00F30919"/>
    <w:rsid w:val="00F30A6A"/>
    <w:rsid w:val="00F30AF5"/>
    <w:rsid w:val="00F30C76"/>
    <w:rsid w:val="00F314A9"/>
    <w:rsid w:val="00F3209E"/>
    <w:rsid w:val="00F324B4"/>
    <w:rsid w:val="00F329C2"/>
    <w:rsid w:val="00F32DBD"/>
    <w:rsid w:val="00F332E8"/>
    <w:rsid w:val="00F3351B"/>
    <w:rsid w:val="00F33D1F"/>
    <w:rsid w:val="00F34164"/>
    <w:rsid w:val="00F34720"/>
    <w:rsid w:val="00F34882"/>
    <w:rsid w:val="00F34B2A"/>
    <w:rsid w:val="00F34F25"/>
    <w:rsid w:val="00F35409"/>
    <w:rsid w:val="00F3557F"/>
    <w:rsid w:val="00F35692"/>
    <w:rsid w:val="00F356E4"/>
    <w:rsid w:val="00F35B36"/>
    <w:rsid w:val="00F35D17"/>
    <w:rsid w:val="00F363A5"/>
    <w:rsid w:val="00F363F8"/>
    <w:rsid w:val="00F36F2B"/>
    <w:rsid w:val="00F37C9C"/>
    <w:rsid w:val="00F37F51"/>
    <w:rsid w:val="00F40B27"/>
    <w:rsid w:val="00F40C73"/>
    <w:rsid w:val="00F40FA9"/>
    <w:rsid w:val="00F41336"/>
    <w:rsid w:val="00F413C3"/>
    <w:rsid w:val="00F41A1E"/>
    <w:rsid w:val="00F41B6D"/>
    <w:rsid w:val="00F42A3E"/>
    <w:rsid w:val="00F42C78"/>
    <w:rsid w:val="00F4382D"/>
    <w:rsid w:val="00F43CB4"/>
    <w:rsid w:val="00F43E2B"/>
    <w:rsid w:val="00F4400C"/>
    <w:rsid w:val="00F44307"/>
    <w:rsid w:val="00F4451B"/>
    <w:rsid w:val="00F44539"/>
    <w:rsid w:val="00F446E2"/>
    <w:rsid w:val="00F453C4"/>
    <w:rsid w:val="00F45544"/>
    <w:rsid w:val="00F45B2B"/>
    <w:rsid w:val="00F4602E"/>
    <w:rsid w:val="00F46228"/>
    <w:rsid w:val="00F466FA"/>
    <w:rsid w:val="00F46770"/>
    <w:rsid w:val="00F46C7C"/>
    <w:rsid w:val="00F4735C"/>
    <w:rsid w:val="00F474B9"/>
    <w:rsid w:val="00F475F2"/>
    <w:rsid w:val="00F4784A"/>
    <w:rsid w:val="00F478CD"/>
    <w:rsid w:val="00F47B96"/>
    <w:rsid w:val="00F47C94"/>
    <w:rsid w:val="00F47E0E"/>
    <w:rsid w:val="00F50BA9"/>
    <w:rsid w:val="00F50E7D"/>
    <w:rsid w:val="00F513B1"/>
    <w:rsid w:val="00F51735"/>
    <w:rsid w:val="00F51DE7"/>
    <w:rsid w:val="00F52241"/>
    <w:rsid w:val="00F52695"/>
    <w:rsid w:val="00F529AA"/>
    <w:rsid w:val="00F53064"/>
    <w:rsid w:val="00F5326B"/>
    <w:rsid w:val="00F534BC"/>
    <w:rsid w:val="00F535A1"/>
    <w:rsid w:val="00F53943"/>
    <w:rsid w:val="00F53980"/>
    <w:rsid w:val="00F53F4D"/>
    <w:rsid w:val="00F5426E"/>
    <w:rsid w:val="00F55740"/>
    <w:rsid w:val="00F5704A"/>
    <w:rsid w:val="00F5735D"/>
    <w:rsid w:val="00F57738"/>
    <w:rsid w:val="00F57D05"/>
    <w:rsid w:val="00F57D4C"/>
    <w:rsid w:val="00F60EEC"/>
    <w:rsid w:val="00F61658"/>
    <w:rsid w:val="00F63641"/>
    <w:rsid w:val="00F636C2"/>
    <w:rsid w:val="00F63760"/>
    <w:rsid w:val="00F63F4B"/>
    <w:rsid w:val="00F6464E"/>
    <w:rsid w:val="00F64862"/>
    <w:rsid w:val="00F6537C"/>
    <w:rsid w:val="00F65472"/>
    <w:rsid w:val="00F65B02"/>
    <w:rsid w:val="00F65F75"/>
    <w:rsid w:val="00F663FF"/>
    <w:rsid w:val="00F66763"/>
    <w:rsid w:val="00F66BE7"/>
    <w:rsid w:val="00F66EF6"/>
    <w:rsid w:val="00F704B7"/>
    <w:rsid w:val="00F7052C"/>
    <w:rsid w:val="00F70AF1"/>
    <w:rsid w:val="00F70BE1"/>
    <w:rsid w:val="00F712EC"/>
    <w:rsid w:val="00F718C7"/>
    <w:rsid w:val="00F71A87"/>
    <w:rsid w:val="00F723AB"/>
    <w:rsid w:val="00F7283D"/>
    <w:rsid w:val="00F73458"/>
    <w:rsid w:val="00F7346A"/>
    <w:rsid w:val="00F73918"/>
    <w:rsid w:val="00F73E5A"/>
    <w:rsid w:val="00F740F1"/>
    <w:rsid w:val="00F74208"/>
    <w:rsid w:val="00F7430E"/>
    <w:rsid w:val="00F7453B"/>
    <w:rsid w:val="00F74D71"/>
    <w:rsid w:val="00F74E78"/>
    <w:rsid w:val="00F7593C"/>
    <w:rsid w:val="00F75DD0"/>
    <w:rsid w:val="00F761A8"/>
    <w:rsid w:val="00F76B3D"/>
    <w:rsid w:val="00F7734A"/>
    <w:rsid w:val="00F777F8"/>
    <w:rsid w:val="00F77A85"/>
    <w:rsid w:val="00F80082"/>
    <w:rsid w:val="00F800B8"/>
    <w:rsid w:val="00F8016F"/>
    <w:rsid w:val="00F801E1"/>
    <w:rsid w:val="00F80303"/>
    <w:rsid w:val="00F803DB"/>
    <w:rsid w:val="00F80404"/>
    <w:rsid w:val="00F80551"/>
    <w:rsid w:val="00F80884"/>
    <w:rsid w:val="00F80C4A"/>
    <w:rsid w:val="00F811D3"/>
    <w:rsid w:val="00F81538"/>
    <w:rsid w:val="00F81629"/>
    <w:rsid w:val="00F81B6B"/>
    <w:rsid w:val="00F82522"/>
    <w:rsid w:val="00F8257C"/>
    <w:rsid w:val="00F8271A"/>
    <w:rsid w:val="00F82BB1"/>
    <w:rsid w:val="00F82DCC"/>
    <w:rsid w:val="00F8394C"/>
    <w:rsid w:val="00F83D38"/>
    <w:rsid w:val="00F84592"/>
    <w:rsid w:val="00F845B6"/>
    <w:rsid w:val="00F84836"/>
    <w:rsid w:val="00F84D57"/>
    <w:rsid w:val="00F85056"/>
    <w:rsid w:val="00F85908"/>
    <w:rsid w:val="00F85B03"/>
    <w:rsid w:val="00F85DDC"/>
    <w:rsid w:val="00F86DE0"/>
    <w:rsid w:val="00F871EF"/>
    <w:rsid w:val="00F87238"/>
    <w:rsid w:val="00F873DF"/>
    <w:rsid w:val="00F9021D"/>
    <w:rsid w:val="00F90296"/>
    <w:rsid w:val="00F909A5"/>
    <w:rsid w:val="00F90A0E"/>
    <w:rsid w:val="00F91273"/>
    <w:rsid w:val="00F91BDF"/>
    <w:rsid w:val="00F92112"/>
    <w:rsid w:val="00F923FD"/>
    <w:rsid w:val="00F924FF"/>
    <w:rsid w:val="00F92568"/>
    <w:rsid w:val="00F929FE"/>
    <w:rsid w:val="00F92FCD"/>
    <w:rsid w:val="00F93287"/>
    <w:rsid w:val="00F9364F"/>
    <w:rsid w:val="00F9413A"/>
    <w:rsid w:val="00F9543E"/>
    <w:rsid w:val="00F96255"/>
    <w:rsid w:val="00F9638F"/>
    <w:rsid w:val="00F96663"/>
    <w:rsid w:val="00F96F08"/>
    <w:rsid w:val="00F97241"/>
    <w:rsid w:val="00F9730B"/>
    <w:rsid w:val="00F97519"/>
    <w:rsid w:val="00F979D1"/>
    <w:rsid w:val="00F97F0F"/>
    <w:rsid w:val="00FA0402"/>
    <w:rsid w:val="00FA0ADB"/>
    <w:rsid w:val="00FA1031"/>
    <w:rsid w:val="00FA1332"/>
    <w:rsid w:val="00FA1F2A"/>
    <w:rsid w:val="00FA21B4"/>
    <w:rsid w:val="00FA246B"/>
    <w:rsid w:val="00FA24CA"/>
    <w:rsid w:val="00FA269D"/>
    <w:rsid w:val="00FA3510"/>
    <w:rsid w:val="00FA3793"/>
    <w:rsid w:val="00FA37B9"/>
    <w:rsid w:val="00FA44A7"/>
    <w:rsid w:val="00FA4726"/>
    <w:rsid w:val="00FA49C3"/>
    <w:rsid w:val="00FA573E"/>
    <w:rsid w:val="00FA622D"/>
    <w:rsid w:val="00FA664A"/>
    <w:rsid w:val="00FA69D9"/>
    <w:rsid w:val="00FA6BBB"/>
    <w:rsid w:val="00FA6BE1"/>
    <w:rsid w:val="00FA6ED1"/>
    <w:rsid w:val="00FA6F8E"/>
    <w:rsid w:val="00FA7444"/>
    <w:rsid w:val="00FA7C0C"/>
    <w:rsid w:val="00FB014C"/>
    <w:rsid w:val="00FB0730"/>
    <w:rsid w:val="00FB0A34"/>
    <w:rsid w:val="00FB0C4A"/>
    <w:rsid w:val="00FB12C3"/>
    <w:rsid w:val="00FB147B"/>
    <w:rsid w:val="00FB1BB3"/>
    <w:rsid w:val="00FB2084"/>
    <w:rsid w:val="00FB295C"/>
    <w:rsid w:val="00FB2E66"/>
    <w:rsid w:val="00FB3D66"/>
    <w:rsid w:val="00FB4103"/>
    <w:rsid w:val="00FB50B3"/>
    <w:rsid w:val="00FB512B"/>
    <w:rsid w:val="00FB5413"/>
    <w:rsid w:val="00FB5F0D"/>
    <w:rsid w:val="00FB5F68"/>
    <w:rsid w:val="00FB6A16"/>
    <w:rsid w:val="00FB6A6A"/>
    <w:rsid w:val="00FB6C2F"/>
    <w:rsid w:val="00FB707D"/>
    <w:rsid w:val="00FB719F"/>
    <w:rsid w:val="00FB7343"/>
    <w:rsid w:val="00FB741C"/>
    <w:rsid w:val="00FB7825"/>
    <w:rsid w:val="00FB7B8A"/>
    <w:rsid w:val="00FC0246"/>
    <w:rsid w:val="00FC05E5"/>
    <w:rsid w:val="00FC082D"/>
    <w:rsid w:val="00FC0890"/>
    <w:rsid w:val="00FC0A1B"/>
    <w:rsid w:val="00FC1925"/>
    <w:rsid w:val="00FC1AFB"/>
    <w:rsid w:val="00FC2C8A"/>
    <w:rsid w:val="00FC2E59"/>
    <w:rsid w:val="00FC2F2C"/>
    <w:rsid w:val="00FC384D"/>
    <w:rsid w:val="00FC4865"/>
    <w:rsid w:val="00FC4932"/>
    <w:rsid w:val="00FC4B75"/>
    <w:rsid w:val="00FC4D7D"/>
    <w:rsid w:val="00FC5027"/>
    <w:rsid w:val="00FC5110"/>
    <w:rsid w:val="00FC539E"/>
    <w:rsid w:val="00FC5411"/>
    <w:rsid w:val="00FC5983"/>
    <w:rsid w:val="00FC657E"/>
    <w:rsid w:val="00FC68D7"/>
    <w:rsid w:val="00FC6D10"/>
    <w:rsid w:val="00FC730E"/>
    <w:rsid w:val="00FC7809"/>
    <w:rsid w:val="00FC7C34"/>
    <w:rsid w:val="00FC7E10"/>
    <w:rsid w:val="00FD041F"/>
    <w:rsid w:val="00FD04BD"/>
    <w:rsid w:val="00FD0632"/>
    <w:rsid w:val="00FD06C2"/>
    <w:rsid w:val="00FD0BC5"/>
    <w:rsid w:val="00FD0F84"/>
    <w:rsid w:val="00FD1084"/>
    <w:rsid w:val="00FD1123"/>
    <w:rsid w:val="00FD13F4"/>
    <w:rsid w:val="00FD147E"/>
    <w:rsid w:val="00FD2564"/>
    <w:rsid w:val="00FD2864"/>
    <w:rsid w:val="00FD2D0C"/>
    <w:rsid w:val="00FD30CF"/>
    <w:rsid w:val="00FD3945"/>
    <w:rsid w:val="00FD3963"/>
    <w:rsid w:val="00FD3EF5"/>
    <w:rsid w:val="00FD5120"/>
    <w:rsid w:val="00FD58DE"/>
    <w:rsid w:val="00FD5D0E"/>
    <w:rsid w:val="00FD600E"/>
    <w:rsid w:val="00FD6767"/>
    <w:rsid w:val="00FD68D7"/>
    <w:rsid w:val="00FD6919"/>
    <w:rsid w:val="00FD6F30"/>
    <w:rsid w:val="00FD72A3"/>
    <w:rsid w:val="00FD76DE"/>
    <w:rsid w:val="00FE01E8"/>
    <w:rsid w:val="00FE0414"/>
    <w:rsid w:val="00FE0800"/>
    <w:rsid w:val="00FE0B66"/>
    <w:rsid w:val="00FE0BE7"/>
    <w:rsid w:val="00FE146B"/>
    <w:rsid w:val="00FE1D03"/>
    <w:rsid w:val="00FE2975"/>
    <w:rsid w:val="00FE2A25"/>
    <w:rsid w:val="00FE34C9"/>
    <w:rsid w:val="00FE3530"/>
    <w:rsid w:val="00FE3B5F"/>
    <w:rsid w:val="00FE3B86"/>
    <w:rsid w:val="00FE4D4D"/>
    <w:rsid w:val="00FE5065"/>
    <w:rsid w:val="00FE50A0"/>
    <w:rsid w:val="00FE5651"/>
    <w:rsid w:val="00FE56D6"/>
    <w:rsid w:val="00FE5BC6"/>
    <w:rsid w:val="00FE5F67"/>
    <w:rsid w:val="00FE68D9"/>
    <w:rsid w:val="00FE6F3C"/>
    <w:rsid w:val="00FE7A3D"/>
    <w:rsid w:val="00FE7CCF"/>
    <w:rsid w:val="00FE7D47"/>
    <w:rsid w:val="00FF035F"/>
    <w:rsid w:val="00FF0777"/>
    <w:rsid w:val="00FF096C"/>
    <w:rsid w:val="00FF1023"/>
    <w:rsid w:val="00FF1117"/>
    <w:rsid w:val="00FF113C"/>
    <w:rsid w:val="00FF12A1"/>
    <w:rsid w:val="00FF17DD"/>
    <w:rsid w:val="00FF1C58"/>
    <w:rsid w:val="00FF1C6F"/>
    <w:rsid w:val="00FF1D64"/>
    <w:rsid w:val="00FF1EAE"/>
    <w:rsid w:val="00FF1EEC"/>
    <w:rsid w:val="00FF27FF"/>
    <w:rsid w:val="00FF2A2E"/>
    <w:rsid w:val="00FF2D33"/>
    <w:rsid w:val="00FF2E6B"/>
    <w:rsid w:val="00FF3E7E"/>
    <w:rsid w:val="00FF3FE7"/>
    <w:rsid w:val="00FF478B"/>
    <w:rsid w:val="00FF48A5"/>
    <w:rsid w:val="00FF4977"/>
    <w:rsid w:val="00FF4E11"/>
    <w:rsid w:val="00FF508E"/>
    <w:rsid w:val="00FF6207"/>
    <w:rsid w:val="00FF658F"/>
    <w:rsid w:val="00FF6E48"/>
    <w:rsid w:val="00FF6E61"/>
    <w:rsid w:val="00FF6F4F"/>
    <w:rsid w:val="00FF73C9"/>
    <w:rsid w:val="00FF75E7"/>
    <w:rsid w:val="00FF7914"/>
    <w:rsid w:val="00FF7CBA"/>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540CCA9"/>
  <w15:docId w15:val="{F9BB6A74-FBFD-4FAB-A6E5-22DC936A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A7CD8"/>
    <w:rPr>
      <w:sz w:val="24"/>
      <w:szCs w:val="24"/>
    </w:rPr>
  </w:style>
  <w:style w:type="paragraph" w:styleId="1">
    <w:name w:val="heading 1"/>
    <w:basedOn w:val="a0"/>
    <w:next w:val="a0"/>
    <w:link w:val="10"/>
    <w:qFormat/>
    <w:rsid w:val="007A7CD8"/>
    <w:pPr>
      <w:keepNext/>
      <w:spacing w:before="240" w:after="60"/>
      <w:outlineLvl w:val="0"/>
    </w:pPr>
    <w:rPr>
      <w:rFonts w:ascii="Arial" w:hAnsi="Arial" w:cs="Arial"/>
      <w:b/>
      <w:bCs/>
      <w:kern w:val="32"/>
      <w:sz w:val="32"/>
      <w:szCs w:val="32"/>
    </w:rPr>
  </w:style>
  <w:style w:type="paragraph" w:styleId="2">
    <w:name w:val="heading 2"/>
    <w:basedOn w:val="a0"/>
    <w:next w:val="a0"/>
    <w:qFormat/>
    <w:rsid w:val="007A7CD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A7CD8"/>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отчета"/>
    <w:basedOn w:val="a0"/>
    <w:rsid w:val="00D31C5F"/>
    <w:pPr>
      <w:spacing w:before="100" w:beforeAutospacing="1" w:after="100" w:afterAutospacing="1"/>
    </w:pPr>
    <w:rPr>
      <w:rFonts w:ascii="Arial Narrow" w:hAnsi="Arial Narrow"/>
    </w:rPr>
  </w:style>
  <w:style w:type="paragraph" w:customStyle="1" w:styleId="a5">
    <w:name w:val="Факторы"/>
    <w:basedOn w:val="a0"/>
    <w:next w:val="a6"/>
    <w:rsid w:val="00897550"/>
    <w:rPr>
      <w:rFonts w:ascii="Arial Narrow" w:hAnsi="Arial Narrow"/>
      <w:b/>
      <w:color w:val="000080"/>
    </w:rPr>
  </w:style>
  <w:style w:type="paragraph" w:styleId="a6">
    <w:name w:val="Plain Text"/>
    <w:aliases w:val=" Знак Знак Знак Знак Знак Знак, Знак Знак Знак Знак Знак Знак Знак Знак Знак Знак Знак Знак"/>
    <w:basedOn w:val="a0"/>
    <w:rsid w:val="00897550"/>
    <w:rPr>
      <w:rFonts w:ascii="Courier New" w:hAnsi="Courier New" w:cs="Courier New"/>
      <w:sz w:val="20"/>
      <w:szCs w:val="20"/>
    </w:rPr>
  </w:style>
  <w:style w:type="paragraph" w:styleId="a7">
    <w:name w:val="footnote text"/>
    <w:basedOn w:val="a0"/>
    <w:link w:val="a8"/>
    <w:uiPriority w:val="99"/>
    <w:rsid w:val="007A7CD8"/>
    <w:rPr>
      <w:sz w:val="20"/>
      <w:szCs w:val="20"/>
    </w:rPr>
  </w:style>
  <w:style w:type="character" w:styleId="a9">
    <w:name w:val="footnote reference"/>
    <w:uiPriority w:val="99"/>
    <w:rsid w:val="007A7CD8"/>
    <w:rPr>
      <w:vertAlign w:val="superscript"/>
    </w:rPr>
  </w:style>
  <w:style w:type="character" w:styleId="aa">
    <w:name w:val="Hyperlink"/>
    <w:rsid w:val="007A7CD8"/>
    <w:rPr>
      <w:color w:val="0000FF"/>
      <w:u w:val="single"/>
    </w:rPr>
  </w:style>
  <w:style w:type="paragraph" w:styleId="ab">
    <w:name w:val="footer"/>
    <w:basedOn w:val="a0"/>
    <w:link w:val="ac"/>
    <w:uiPriority w:val="99"/>
    <w:rsid w:val="007A7CD8"/>
    <w:pPr>
      <w:tabs>
        <w:tab w:val="center" w:pos="4677"/>
        <w:tab w:val="right" w:pos="9355"/>
      </w:tabs>
    </w:pPr>
  </w:style>
  <w:style w:type="character" w:styleId="ad">
    <w:name w:val="page number"/>
    <w:basedOn w:val="a1"/>
    <w:rsid w:val="007A7CD8"/>
  </w:style>
  <w:style w:type="paragraph" w:styleId="ae">
    <w:name w:val="header"/>
    <w:basedOn w:val="a0"/>
    <w:link w:val="af"/>
    <w:uiPriority w:val="99"/>
    <w:rsid w:val="007A7CD8"/>
    <w:pPr>
      <w:tabs>
        <w:tab w:val="center" w:pos="4677"/>
        <w:tab w:val="right" w:pos="9355"/>
      </w:tabs>
    </w:pPr>
  </w:style>
  <w:style w:type="paragraph" w:customStyle="1" w:styleId="11">
    <w:name w:val="Основной текст1"/>
    <w:basedOn w:val="a0"/>
    <w:rsid w:val="007A7CD8"/>
    <w:pPr>
      <w:jc w:val="both"/>
    </w:pPr>
    <w:rPr>
      <w:szCs w:val="20"/>
    </w:rPr>
  </w:style>
  <w:style w:type="table" w:styleId="af0">
    <w:name w:val="Table Grid"/>
    <w:basedOn w:val="a2"/>
    <w:uiPriority w:val="59"/>
    <w:rsid w:val="007A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0"/>
    <w:next w:val="a0"/>
    <w:autoRedefine/>
    <w:uiPriority w:val="39"/>
    <w:rsid w:val="007A7CD8"/>
  </w:style>
  <w:style w:type="paragraph" w:styleId="20">
    <w:name w:val="toc 2"/>
    <w:basedOn w:val="a0"/>
    <w:next w:val="a0"/>
    <w:autoRedefine/>
    <w:uiPriority w:val="39"/>
    <w:rsid w:val="007A7CD8"/>
    <w:pPr>
      <w:ind w:left="240"/>
    </w:pPr>
  </w:style>
  <w:style w:type="paragraph" w:styleId="21">
    <w:name w:val="Body Text Indent 2"/>
    <w:basedOn w:val="a0"/>
    <w:rsid w:val="007A7CD8"/>
    <w:pPr>
      <w:spacing w:line="360" w:lineRule="auto"/>
      <w:ind w:firstLine="709"/>
    </w:pPr>
  </w:style>
  <w:style w:type="character" w:customStyle="1" w:styleId="10">
    <w:name w:val="Заголовок 1 Знак"/>
    <w:link w:val="1"/>
    <w:rsid w:val="007A7CD8"/>
    <w:rPr>
      <w:rFonts w:ascii="Arial" w:hAnsi="Arial" w:cs="Arial"/>
      <w:b/>
      <w:bCs/>
      <w:kern w:val="32"/>
      <w:sz w:val="32"/>
      <w:szCs w:val="32"/>
      <w:lang w:val="ru-RU" w:eastAsia="ru-RU" w:bidi="ar-SA"/>
    </w:rPr>
  </w:style>
  <w:style w:type="paragraph" w:styleId="22">
    <w:name w:val="Body Text 2"/>
    <w:basedOn w:val="a0"/>
    <w:rsid w:val="007A7CD8"/>
    <w:pPr>
      <w:spacing w:after="120" w:line="480" w:lineRule="auto"/>
    </w:pPr>
  </w:style>
  <w:style w:type="character" w:styleId="af1">
    <w:name w:val="annotation reference"/>
    <w:uiPriority w:val="99"/>
    <w:semiHidden/>
    <w:rsid w:val="007A7CD8"/>
    <w:rPr>
      <w:sz w:val="16"/>
      <w:szCs w:val="16"/>
    </w:rPr>
  </w:style>
  <w:style w:type="paragraph" w:styleId="af2">
    <w:name w:val="annotation text"/>
    <w:basedOn w:val="a0"/>
    <w:link w:val="af3"/>
    <w:uiPriority w:val="99"/>
    <w:semiHidden/>
    <w:rsid w:val="007A7CD8"/>
    <w:rPr>
      <w:sz w:val="20"/>
      <w:szCs w:val="20"/>
    </w:rPr>
  </w:style>
  <w:style w:type="paragraph" w:styleId="af4">
    <w:name w:val="annotation subject"/>
    <w:basedOn w:val="af2"/>
    <w:next w:val="af2"/>
    <w:semiHidden/>
    <w:rsid w:val="007A7CD8"/>
    <w:rPr>
      <w:b/>
      <w:bCs/>
    </w:rPr>
  </w:style>
  <w:style w:type="paragraph" w:styleId="af5">
    <w:name w:val="Balloon Text"/>
    <w:basedOn w:val="a0"/>
    <w:semiHidden/>
    <w:rsid w:val="007A7CD8"/>
    <w:rPr>
      <w:rFonts w:ascii="Tahoma" w:hAnsi="Tahoma" w:cs="Tahoma"/>
      <w:sz w:val="16"/>
      <w:szCs w:val="16"/>
    </w:rPr>
  </w:style>
  <w:style w:type="paragraph" w:styleId="af6">
    <w:name w:val="endnote text"/>
    <w:basedOn w:val="a0"/>
    <w:link w:val="af7"/>
    <w:rsid w:val="007A7CD8"/>
    <w:rPr>
      <w:sz w:val="20"/>
      <w:szCs w:val="20"/>
    </w:rPr>
  </w:style>
  <w:style w:type="character" w:customStyle="1" w:styleId="af7">
    <w:name w:val="Текст концевой сноски Знак"/>
    <w:link w:val="af6"/>
    <w:rsid w:val="007A7CD8"/>
    <w:rPr>
      <w:lang w:val="ru-RU" w:eastAsia="ru-RU" w:bidi="ar-SA"/>
    </w:rPr>
  </w:style>
  <w:style w:type="character" w:styleId="af8">
    <w:name w:val="endnote reference"/>
    <w:rsid w:val="007A7CD8"/>
    <w:rPr>
      <w:vertAlign w:val="superscript"/>
    </w:rPr>
  </w:style>
  <w:style w:type="numbering" w:customStyle="1" w:styleId="a">
    <w:name w:val="Стиль нумерованный"/>
    <w:basedOn w:val="a3"/>
    <w:rsid w:val="007A7CD8"/>
    <w:pPr>
      <w:numPr>
        <w:numId w:val="4"/>
      </w:numPr>
    </w:pPr>
  </w:style>
  <w:style w:type="paragraph" w:customStyle="1" w:styleId="bodytext">
    <w:name w:val="bodytext"/>
    <w:basedOn w:val="a0"/>
    <w:rsid w:val="007A7CD8"/>
    <w:pPr>
      <w:spacing w:before="100" w:beforeAutospacing="1" w:after="100" w:afterAutospacing="1"/>
    </w:pPr>
  </w:style>
  <w:style w:type="paragraph" w:styleId="31">
    <w:name w:val="toc 3"/>
    <w:basedOn w:val="a0"/>
    <w:next w:val="a0"/>
    <w:autoRedefine/>
    <w:uiPriority w:val="39"/>
    <w:rsid w:val="00FA24CA"/>
    <w:pPr>
      <w:tabs>
        <w:tab w:val="left" w:pos="1100"/>
        <w:tab w:val="right" w:leader="dot" w:pos="9345"/>
      </w:tabs>
      <w:ind w:left="480"/>
    </w:pPr>
    <w:rPr>
      <w:noProof/>
      <w:sz w:val="22"/>
      <w:szCs w:val="22"/>
    </w:rPr>
  </w:style>
  <w:style w:type="character" w:customStyle="1" w:styleId="a8">
    <w:name w:val="Текст сноски Знак"/>
    <w:link w:val="a7"/>
    <w:uiPriority w:val="99"/>
    <w:locked/>
    <w:rsid w:val="00BE014B"/>
    <w:rPr>
      <w:lang w:val="ru-RU" w:eastAsia="ru-RU" w:bidi="ar-SA"/>
    </w:rPr>
  </w:style>
  <w:style w:type="paragraph" w:styleId="af9">
    <w:name w:val="Normal (Web)"/>
    <w:basedOn w:val="a0"/>
    <w:uiPriority w:val="99"/>
    <w:rsid w:val="00BE014B"/>
    <w:pPr>
      <w:spacing w:before="100" w:beforeAutospacing="1" w:after="100" w:afterAutospacing="1"/>
    </w:pPr>
  </w:style>
  <w:style w:type="paragraph" w:styleId="afa">
    <w:name w:val="Revision"/>
    <w:hidden/>
    <w:uiPriority w:val="99"/>
    <w:semiHidden/>
    <w:rsid w:val="009A2CA6"/>
    <w:rPr>
      <w:sz w:val="24"/>
      <w:szCs w:val="24"/>
    </w:rPr>
  </w:style>
  <w:style w:type="paragraph" w:styleId="afb">
    <w:name w:val="List Paragraph"/>
    <w:basedOn w:val="a0"/>
    <w:uiPriority w:val="34"/>
    <w:qFormat/>
    <w:rsid w:val="00811232"/>
    <w:pPr>
      <w:ind w:left="720"/>
      <w:contextualSpacing/>
    </w:pPr>
  </w:style>
  <w:style w:type="paragraph" w:customStyle="1" w:styleId="RAEXdefault">
    <w:name w:val="RAEX default"/>
    <w:basedOn w:val="a0"/>
    <w:next w:val="a0"/>
    <w:link w:val="RAEXdefault0"/>
    <w:qFormat/>
    <w:rsid w:val="009E4CA2"/>
    <w:pPr>
      <w:contextualSpacing/>
      <w:jc w:val="both"/>
    </w:pPr>
    <w:rPr>
      <w:rFonts w:eastAsia="Calibri" w:cs="Calibri"/>
      <w:szCs w:val="22"/>
      <w:lang w:val="en-US" w:eastAsia="en-US"/>
    </w:rPr>
  </w:style>
  <w:style w:type="character" w:customStyle="1" w:styleId="RAEXdefault0">
    <w:name w:val="RAEX default Знак"/>
    <w:link w:val="RAEXdefault"/>
    <w:rsid w:val="009E4CA2"/>
    <w:rPr>
      <w:rFonts w:eastAsia="Calibri" w:cs="Calibri"/>
      <w:sz w:val="24"/>
      <w:szCs w:val="22"/>
      <w:lang w:val="en-US" w:eastAsia="en-US"/>
    </w:rPr>
  </w:style>
  <w:style w:type="paragraph" w:styleId="afc">
    <w:name w:val="Body Text"/>
    <w:basedOn w:val="a0"/>
    <w:link w:val="afd"/>
    <w:rsid w:val="009E4CA2"/>
    <w:pPr>
      <w:spacing w:after="120"/>
    </w:pPr>
  </w:style>
  <w:style w:type="character" w:customStyle="1" w:styleId="afd">
    <w:name w:val="Основной текст Знак"/>
    <w:link w:val="afc"/>
    <w:rsid w:val="009E4CA2"/>
    <w:rPr>
      <w:sz w:val="24"/>
      <w:szCs w:val="24"/>
    </w:rPr>
  </w:style>
  <w:style w:type="paragraph" w:customStyle="1" w:styleId="23">
    <w:name w:val="Знак Знак2"/>
    <w:basedOn w:val="a0"/>
    <w:rsid w:val="002D083C"/>
    <w:pPr>
      <w:spacing w:after="160" w:line="240" w:lineRule="exact"/>
    </w:pPr>
    <w:rPr>
      <w:rFonts w:ascii="Verdana" w:hAnsi="Verdana"/>
      <w:sz w:val="20"/>
      <w:szCs w:val="20"/>
      <w:lang w:val="en-US" w:eastAsia="en-US"/>
    </w:rPr>
  </w:style>
  <w:style w:type="character" w:styleId="afe">
    <w:name w:val="Strong"/>
    <w:uiPriority w:val="22"/>
    <w:qFormat/>
    <w:rsid w:val="009B681E"/>
    <w:rPr>
      <w:b/>
      <w:bCs/>
    </w:rPr>
  </w:style>
  <w:style w:type="character" w:customStyle="1" w:styleId="ac">
    <w:name w:val="Нижний колонтитул Знак"/>
    <w:link w:val="ab"/>
    <w:uiPriority w:val="99"/>
    <w:rsid w:val="009B681E"/>
    <w:rPr>
      <w:sz w:val="24"/>
      <w:szCs w:val="24"/>
    </w:rPr>
  </w:style>
  <w:style w:type="character" w:customStyle="1" w:styleId="af">
    <w:name w:val="Верхний колонтитул Знак"/>
    <w:link w:val="ae"/>
    <w:uiPriority w:val="99"/>
    <w:rsid w:val="007E4920"/>
    <w:rPr>
      <w:sz w:val="24"/>
      <w:szCs w:val="24"/>
    </w:rPr>
  </w:style>
  <w:style w:type="character" w:styleId="aff">
    <w:name w:val="FollowedHyperlink"/>
    <w:rsid w:val="00F82BB1"/>
    <w:rPr>
      <w:color w:val="800080"/>
      <w:u w:val="single"/>
    </w:rPr>
  </w:style>
  <w:style w:type="paragraph" w:styleId="aff0">
    <w:name w:val="No Spacing"/>
    <w:uiPriority w:val="1"/>
    <w:qFormat/>
    <w:rsid w:val="001D31CD"/>
    <w:rPr>
      <w:sz w:val="24"/>
      <w:szCs w:val="24"/>
    </w:rPr>
  </w:style>
  <w:style w:type="paragraph" w:customStyle="1" w:styleId="Default">
    <w:name w:val="Default"/>
    <w:rsid w:val="009B13D5"/>
    <w:pPr>
      <w:autoSpaceDE w:val="0"/>
      <w:autoSpaceDN w:val="0"/>
      <w:adjustRightInd w:val="0"/>
    </w:pPr>
    <w:rPr>
      <w:rFonts w:ascii="Segoe UI" w:eastAsia="Calibri" w:hAnsi="Segoe UI" w:cs="Segoe UI"/>
      <w:color w:val="000000"/>
      <w:sz w:val="24"/>
      <w:szCs w:val="24"/>
      <w:lang w:eastAsia="en-US"/>
    </w:rPr>
  </w:style>
  <w:style w:type="paragraph" w:customStyle="1" w:styleId="ConsPlusNormal">
    <w:name w:val="ConsPlusNormal"/>
    <w:basedOn w:val="a0"/>
    <w:rsid w:val="002B5C8E"/>
    <w:pPr>
      <w:autoSpaceDE w:val="0"/>
      <w:autoSpaceDN w:val="0"/>
    </w:pPr>
    <w:rPr>
      <w:rFonts w:eastAsia="Calibri"/>
    </w:rPr>
  </w:style>
  <w:style w:type="character" w:customStyle="1" w:styleId="af3">
    <w:name w:val="Текст примечания Знак"/>
    <w:basedOn w:val="a1"/>
    <w:link w:val="af2"/>
    <w:uiPriority w:val="99"/>
    <w:semiHidden/>
    <w:rsid w:val="00DB1766"/>
  </w:style>
  <w:style w:type="character" w:styleId="aff1">
    <w:name w:val="Emphasis"/>
    <w:basedOn w:val="a1"/>
    <w:uiPriority w:val="20"/>
    <w:qFormat/>
    <w:rsid w:val="003A30AA"/>
    <w:rPr>
      <w:i/>
      <w:iCs/>
    </w:rPr>
  </w:style>
  <w:style w:type="paragraph" w:customStyle="1" w:styleId="13">
    <w:name w:val="Абзац списка1"/>
    <w:basedOn w:val="a0"/>
    <w:uiPriority w:val="99"/>
    <w:rsid w:val="003A30AA"/>
    <w:pPr>
      <w:spacing w:after="200" w:line="276" w:lineRule="auto"/>
      <w:ind w:left="720"/>
      <w:contextualSpacing/>
      <w:jc w:val="both"/>
    </w:pPr>
    <w:rPr>
      <w:rFonts w:ascii="Calibri" w:hAnsi="Calibri"/>
      <w:sz w:val="22"/>
      <w:szCs w:val="22"/>
      <w:lang w:eastAsia="en-US"/>
    </w:rPr>
  </w:style>
  <w:style w:type="character" w:customStyle="1" w:styleId="30">
    <w:name w:val="Заголовок 3 Знак"/>
    <w:basedOn w:val="a1"/>
    <w:link w:val="3"/>
    <w:rsid w:val="00DD2A9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6762">
      <w:bodyDiv w:val="1"/>
      <w:marLeft w:val="0"/>
      <w:marRight w:val="0"/>
      <w:marTop w:val="0"/>
      <w:marBottom w:val="0"/>
      <w:divBdr>
        <w:top w:val="none" w:sz="0" w:space="0" w:color="auto"/>
        <w:left w:val="none" w:sz="0" w:space="0" w:color="auto"/>
        <w:bottom w:val="none" w:sz="0" w:space="0" w:color="auto"/>
        <w:right w:val="none" w:sz="0" w:space="0" w:color="auto"/>
      </w:divBdr>
    </w:div>
    <w:div w:id="106778614">
      <w:bodyDiv w:val="1"/>
      <w:marLeft w:val="0"/>
      <w:marRight w:val="0"/>
      <w:marTop w:val="0"/>
      <w:marBottom w:val="0"/>
      <w:divBdr>
        <w:top w:val="none" w:sz="0" w:space="0" w:color="auto"/>
        <w:left w:val="none" w:sz="0" w:space="0" w:color="auto"/>
        <w:bottom w:val="none" w:sz="0" w:space="0" w:color="auto"/>
        <w:right w:val="none" w:sz="0" w:space="0" w:color="auto"/>
      </w:divBdr>
    </w:div>
    <w:div w:id="109278974">
      <w:bodyDiv w:val="1"/>
      <w:marLeft w:val="0"/>
      <w:marRight w:val="0"/>
      <w:marTop w:val="0"/>
      <w:marBottom w:val="0"/>
      <w:divBdr>
        <w:top w:val="none" w:sz="0" w:space="0" w:color="auto"/>
        <w:left w:val="none" w:sz="0" w:space="0" w:color="auto"/>
        <w:bottom w:val="none" w:sz="0" w:space="0" w:color="auto"/>
        <w:right w:val="none" w:sz="0" w:space="0" w:color="auto"/>
      </w:divBdr>
    </w:div>
    <w:div w:id="138233106">
      <w:bodyDiv w:val="1"/>
      <w:marLeft w:val="0"/>
      <w:marRight w:val="0"/>
      <w:marTop w:val="0"/>
      <w:marBottom w:val="0"/>
      <w:divBdr>
        <w:top w:val="none" w:sz="0" w:space="0" w:color="auto"/>
        <w:left w:val="none" w:sz="0" w:space="0" w:color="auto"/>
        <w:bottom w:val="none" w:sz="0" w:space="0" w:color="auto"/>
        <w:right w:val="none" w:sz="0" w:space="0" w:color="auto"/>
      </w:divBdr>
    </w:div>
    <w:div w:id="169953330">
      <w:bodyDiv w:val="1"/>
      <w:marLeft w:val="0"/>
      <w:marRight w:val="0"/>
      <w:marTop w:val="0"/>
      <w:marBottom w:val="0"/>
      <w:divBdr>
        <w:top w:val="none" w:sz="0" w:space="0" w:color="auto"/>
        <w:left w:val="none" w:sz="0" w:space="0" w:color="auto"/>
        <w:bottom w:val="none" w:sz="0" w:space="0" w:color="auto"/>
        <w:right w:val="none" w:sz="0" w:space="0" w:color="auto"/>
      </w:divBdr>
    </w:div>
    <w:div w:id="192156919">
      <w:bodyDiv w:val="1"/>
      <w:marLeft w:val="0"/>
      <w:marRight w:val="0"/>
      <w:marTop w:val="0"/>
      <w:marBottom w:val="0"/>
      <w:divBdr>
        <w:top w:val="none" w:sz="0" w:space="0" w:color="auto"/>
        <w:left w:val="none" w:sz="0" w:space="0" w:color="auto"/>
        <w:bottom w:val="none" w:sz="0" w:space="0" w:color="auto"/>
        <w:right w:val="none" w:sz="0" w:space="0" w:color="auto"/>
      </w:divBdr>
    </w:div>
    <w:div w:id="202519963">
      <w:bodyDiv w:val="1"/>
      <w:marLeft w:val="0"/>
      <w:marRight w:val="0"/>
      <w:marTop w:val="0"/>
      <w:marBottom w:val="0"/>
      <w:divBdr>
        <w:top w:val="none" w:sz="0" w:space="0" w:color="auto"/>
        <w:left w:val="none" w:sz="0" w:space="0" w:color="auto"/>
        <w:bottom w:val="none" w:sz="0" w:space="0" w:color="auto"/>
        <w:right w:val="none" w:sz="0" w:space="0" w:color="auto"/>
      </w:divBdr>
    </w:div>
    <w:div w:id="204753505">
      <w:bodyDiv w:val="1"/>
      <w:marLeft w:val="0"/>
      <w:marRight w:val="0"/>
      <w:marTop w:val="0"/>
      <w:marBottom w:val="0"/>
      <w:divBdr>
        <w:top w:val="none" w:sz="0" w:space="0" w:color="auto"/>
        <w:left w:val="none" w:sz="0" w:space="0" w:color="auto"/>
        <w:bottom w:val="none" w:sz="0" w:space="0" w:color="auto"/>
        <w:right w:val="none" w:sz="0" w:space="0" w:color="auto"/>
      </w:divBdr>
    </w:div>
    <w:div w:id="215237362">
      <w:bodyDiv w:val="1"/>
      <w:marLeft w:val="0"/>
      <w:marRight w:val="0"/>
      <w:marTop w:val="0"/>
      <w:marBottom w:val="0"/>
      <w:divBdr>
        <w:top w:val="none" w:sz="0" w:space="0" w:color="auto"/>
        <w:left w:val="none" w:sz="0" w:space="0" w:color="auto"/>
        <w:bottom w:val="none" w:sz="0" w:space="0" w:color="auto"/>
        <w:right w:val="none" w:sz="0" w:space="0" w:color="auto"/>
      </w:divBdr>
    </w:div>
    <w:div w:id="274824223">
      <w:bodyDiv w:val="1"/>
      <w:marLeft w:val="0"/>
      <w:marRight w:val="0"/>
      <w:marTop w:val="0"/>
      <w:marBottom w:val="0"/>
      <w:divBdr>
        <w:top w:val="none" w:sz="0" w:space="0" w:color="auto"/>
        <w:left w:val="none" w:sz="0" w:space="0" w:color="auto"/>
        <w:bottom w:val="none" w:sz="0" w:space="0" w:color="auto"/>
        <w:right w:val="none" w:sz="0" w:space="0" w:color="auto"/>
      </w:divBdr>
    </w:div>
    <w:div w:id="375474243">
      <w:bodyDiv w:val="1"/>
      <w:marLeft w:val="0"/>
      <w:marRight w:val="0"/>
      <w:marTop w:val="0"/>
      <w:marBottom w:val="0"/>
      <w:divBdr>
        <w:top w:val="none" w:sz="0" w:space="0" w:color="auto"/>
        <w:left w:val="none" w:sz="0" w:space="0" w:color="auto"/>
        <w:bottom w:val="none" w:sz="0" w:space="0" w:color="auto"/>
        <w:right w:val="none" w:sz="0" w:space="0" w:color="auto"/>
      </w:divBdr>
    </w:div>
    <w:div w:id="453208394">
      <w:bodyDiv w:val="1"/>
      <w:marLeft w:val="0"/>
      <w:marRight w:val="0"/>
      <w:marTop w:val="0"/>
      <w:marBottom w:val="0"/>
      <w:divBdr>
        <w:top w:val="none" w:sz="0" w:space="0" w:color="auto"/>
        <w:left w:val="none" w:sz="0" w:space="0" w:color="auto"/>
        <w:bottom w:val="none" w:sz="0" w:space="0" w:color="auto"/>
        <w:right w:val="none" w:sz="0" w:space="0" w:color="auto"/>
      </w:divBdr>
    </w:div>
    <w:div w:id="456528797">
      <w:bodyDiv w:val="1"/>
      <w:marLeft w:val="0"/>
      <w:marRight w:val="0"/>
      <w:marTop w:val="0"/>
      <w:marBottom w:val="0"/>
      <w:divBdr>
        <w:top w:val="none" w:sz="0" w:space="0" w:color="auto"/>
        <w:left w:val="none" w:sz="0" w:space="0" w:color="auto"/>
        <w:bottom w:val="none" w:sz="0" w:space="0" w:color="auto"/>
        <w:right w:val="none" w:sz="0" w:space="0" w:color="auto"/>
      </w:divBdr>
    </w:div>
    <w:div w:id="517698599">
      <w:bodyDiv w:val="1"/>
      <w:marLeft w:val="0"/>
      <w:marRight w:val="0"/>
      <w:marTop w:val="0"/>
      <w:marBottom w:val="0"/>
      <w:divBdr>
        <w:top w:val="none" w:sz="0" w:space="0" w:color="auto"/>
        <w:left w:val="none" w:sz="0" w:space="0" w:color="auto"/>
        <w:bottom w:val="none" w:sz="0" w:space="0" w:color="auto"/>
        <w:right w:val="none" w:sz="0" w:space="0" w:color="auto"/>
      </w:divBdr>
    </w:div>
    <w:div w:id="682437241">
      <w:bodyDiv w:val="1"/>
      <w:marLeft w:val="0"/>
      <w:marRight w:val="0"/>
      <w:marTop w:val="0"/>
      <w:marBottom w:val="0"/>
      <w:divBdr>
        <w:top w:val="none" w:sz="0" w:space="0" w:color="auto"/>
        <w:left w:val="none" w:sz="0" w:space="0" w:color="auto"/>
        <w:bottom w:val="none" w:sz="0" w:space="0" w:color="auto"/>
        <w:right w:val="none" w:sz="0" w:space="0" w:color="auto"/>
      </w:divBdr>
    </w:div>
    <w:div w:id="729041181">
      <w:bodyDiv w:val="1"/>
      <w:marLeft w:val="0"/>
      <w:marRight w:val="0"/>
      <w:marTop w:val="0"/>
      <w:marBottom w:val="0"/>
      <w:divBdr>
        <w:top w:val="none" w:sz="0" w:space="0" w:color="auto"/>
        <w:left w:val="none" w:sz="0" w:space="0" w:color="auto"/>
        <w:bottom w:val="none" w:sz="0" w:space="0" w:color="auto"/>
        <w:right w:val="none" w:sz="0" w:space="0" w:color="auto"/>
      </w:divBdr>
    </w:div>
    <w:div w:id="770661745">
      <w:bodyDiv w:val="1"/>
      <w:marLeft w:val="0"/>
      <w:marRight w:val="0"/>
      <w:marTop w:val="0"/>
      <w:marBottom w:val="0"/>
      <w:divBdr>
        <w:top w:val="none" w:sz="0" w:space="0" w:color="auto"/>
        <w:left w:val="none" w:sz="0" w:space="0" w:color="auto"/>
        <w:bottom w:val="none" w:sz="0" w:space="0" w:color="auto"/>
        <w:right w:val="none" w:sz="0" w:space="0" w:color="auto"/>
      </w:divBdr>
      <w:divsChild>
        <w:div w:id="2091466913">
          <w:marLeft w:val="0"/>
          <w:marRight w:val="0"/>
          <w:marTop w:val="0"/>
          <w:marBottom w:val="0"/>
          <w:divBdr>
            <w:top w:val="none" w:sz="0" w:space="0" w:color="auto"/>
            <w:left w:val="none" w:sz="0" w:space="0" w:color="auto"/>
            <w:bottom w:val="none" w:sz="0" w:space="0" w:color="auto"/>
            <w:right w:val="none" w:sz="0" w:space="0" w:color="auto"/>
          </w:divBdr>
        </w:div>
        <w:div w:id="1998219945">
          <w:marLeft w:val="0"/>
          <w:marRight w:val="0"/>
          <w:marTop w:val="0"/>
          <w:marBottom w:val="0"/>
          <w:divBdr>
            <w:top w:val="none" w:sz="0" w:space="0" w:color="auto"/>
            <w:left w:val="none" w:sz="0" w:space="0" w:color="auto"/>
            <w:bottom w:val="none" w:sz="0" w:space="0" w:color="auto"/>
            <w:right w:val="none" w:sz="0" w:space="0" w:color="auto"/>
          </w:divBdr>
        </w:div>
        <w:div w:id="203373566">
          <w:marLeft w:val="0"/>
          <w:marRight w:val="0"/>
          <w:marTop w:val="0"/>
          <w:marBottom w:val="0"/>
          <w:divBdr>
            <w:top w:val="none" w:sz="0" w:space="0" w:color="auto"/>
            <w:left w:val="none" w:sz="0" w:space="0" w:color="auto"/>
            <w:bottom w:val="none" w:sz="0" w:space="0" w:color="auto"/>
            <w:right w:val="none" w:sz="0" w:space="0" w:color="auto"/>
          </w:divBdr>
        </w:div>
        <w:div w:id="126819835">
          <w:marLeft w:val="0"/>
          <w:marRight w:val="0"/>
          <w:marTop w:val="0"/>
          <w:marBottom w:val="0"/>
          <w:divBdr>
            <w:top w:val="none" w:sz="0" w:space="0" w:color="auto"/>
            <w:left w:val="none" w:sz="0" w:space="0" w:color="auto"/>
            <w:bottom w:val="none" w:sz="0" w:space="0" w:color="auto"/>
            <w:right w:val="none" w:sz="0" w:space="0" w:color="auto"/>
          </w:divBdr>
        </w:div>
        <w:div w:id="834030499">
          <w:marLeft w:val="0"/>
          <w:marRight w:val="0"/>
          <w:marTop w:val="0"/>
          <w:marBottom w:val="0"/>
          <w:divBdr>
            <w:top w:val="none" w:sz="0" w:space="0" w:color="auto"/>
            <w:left w:val="none" w:sz="0" w:space="0" w:color="auto"/>
            <w:bottom w:val="none" w:sz="0" w:space="0" w:color="auto"/>
            <w:right w:val="none" w:sz="0" w:space="0" w:color="auto"/>
          </w:divBdr>
        </w:div>
        <w:div w:id="1126389682">
          <w:marLeft w:val="0"/>
          <w:marRight w:val="0"/>
          <w:marTop w:val="0"/>
          <w:marBottom w:val="0"/>
          <w:divBdr>
            <w:top w:val="none" w:sz="0" w:space="0" w:color="auto"/>
            <w:left w:val="none" w:sz="0" w:space="0" w:color="auto"/>
            <w:bottom w:val="none" w:sz="0" w:space="0" w:color="auto"/>
            <w:right w:val="none" w:sz="0" w:space="0" w:color="auto"/>
          </w:divBdr>
        </w:div>
        <w:div w:id="1970431549">
          <w:marLeft w:val="0"/>
          <w:marRight w:val="0"/>
          <w:marTop w:val="0"/>
          <w:marBottom w:val="0"/>
          <w:divBdr>
            <w:top w:val="none" w:sz="0" w:space="0" w:color="auto"/>
            <w:left w:val="none" w:sz="0" w:space="0" w:color="auto"/>
            <w:bottom w:val="none" w:sz="0" w:space="0" w:color="auto"/>
            <w:right w:val="none" w:sz="0" w:space="0" w:color="auto"/>
          </w:divBdr>
        </w:div>
        <w:div w:id="1353916421">
          <w:marLeft w:val="0"/>
          <w:marRight w:val="0"/>
          <w:marTop w:val="0"/>
          <w:marBottom w:val="0"/>
          <w:divBdr>
            <w:top w:val="none" w:sz="0" w:space="0" w:color="auto"/>
            <w:left w:val="none" w:sz="0" w:space="0" w:color="auto"/>
            <w:bottom w:val="none" w:sz="0" w:space="0" w:color="auto"/>
            <w:right w:val="none" w:sz="0" w:space="0" w:color="auto"/>
          </w:divBdr>
        </w:div>
        <w:div w:id="1592884759">
          <w:marLeft w:val="0"/>
          <w:marRight w:val="0"/>
          <w:marTop w:val="0"/>
          <w:marBottom w:val="0"/>
          <w:divBdr>
            <w:top w:val="none" w:sz="0" w:space="0" w:color="auto"/>
            <w:left w:val="none" w:sz="0" w:space="0" w:color="auto"/>
            <w:bottom w:val="none" w:sz="0" w:space="0" w:color="auto"/>
            <w:right w:val="none" w:sz="0" w:space="0" w:color="auto"/>
          </w:divBdr>
        </w:div>
        <w:div w:id="1776825193">
          <w:marLeft w:val="0"/>
          <w:marRight w:val="0"/>
          <w:marTop w:val="0"/>
          <w:marBottom w:val="0"/>
          <w:divBdr>
            <w:top w:val="none" w:sz="0" w:space="0" w:color="auto"/>
            <w:left w:val="none" w:sz="0" w:space="0" w:color="auto"/>
            <w:bottom w:val="none" w:sz="0" w:space="0" w:color="auto"/>
            <w:right w:val="none" w:sz="0" w:space="0" w:color="auto"/>
          </w:divBdr>
        </w:div>
        <w:div w:id="1427187709">
          <w:marLeft w:val="0"/>
          <w:marRight w:val="0"/>
          <w:marTop w:val="0"/>
          <w:marBottom w:val="0"/>
          <w:divBdr>
            <w:top w:val="none" w:sz="0" w:space="0" w:color="auto"/>
            <w:left w:val="none" w:sz="0" w:space="0" w:color="auto"/>
            <w:bottom w:val="none" w:sz="0" w:space="0" w:color="auto"/>
            <w:right w:val="none" w:sz="0" w:space="0" w:color="auto"/>
          </w:divBdr>
        </w:div>
        <w:div w:id="778838383">
          <w:marLeft w:val="0"/>
          <w:marRight w:val="0"/>
          <w:marTop w:val="0"/>
          <w:marBottom w:val="0"/>
          <w:divBdr>
            <w:top w:val="none" w:sz="0" w:space="0" w:color="auto"/>
            <w:left w:val="none" w:sz="0" w:space="0" w:color="auto"/>
            <w:bottom w:val="none" w:sz="0" w:space="0" w:color="auto"/>
            <w:right w:val="none" w:sz="0" w:space="0" w:color="auto"/>
          </w:divBdr>
        </w:div>
        <w:div w:id="1004238944">
          <w:marLeft w:val="0"/>
          <w:marRight w:val="0"/>
          <w:marTop w:val="0"/>
          <w:marBottom w:val="0"/>
          <w:divBdr>
            <w:top w:val="none" w:sz="0" w:space="0" w:color="auto"/>
            <w:left w:val="none" w:sz="0" w:space="0" w:color="auto"/>
            <w:bottom w:val="none" w:sz="0" w:space="0" w:color="auto"/>
            <w:right w:val="none" w:sz="0" w:space="0" w:color="auto"/>
          </w:divBdr>
        </w:div>
        <w:div w:id="877160103">
          <w:marLeft w:val="0"/>
          <w:marRight w:val="0"/>
          <w:marTop w:val="0"/>
          <w:marBottom w:val="0"/>
          <w:divBdr>
            <w:top w:val="none" w:sz="0" w:space="0" w:color="auto"/>
            <w:left w:val="none" w:sz="0" w:space="0" w:color="auto"/>
            <w:bottom w:val="none" w:sz="0" w:space="0" w:color="auto"/>
            <w:right w:val="none" w:sz="0" w:space="0" w:color="auto"/>
          </w:divBdr>
        </w:div>
      </w:divsChild>
    </w:div>
    <w:div w:id="811413090">
      <w:bodyDiv w:val="1"/>
      <w:marLeft w:val="0"/>
      <w:marRight w:val="0"/>
      <w:marTop w:val="0"/>
      <w:marBottom w:val="0"/>
      <w:divBdr>
        <w:top w:val="none" w:sz="0" w:space="0" w:color="auto"/>
        <w:left w:val="none" w:sz="0" w:space="0" w:color="auto"/>
        <w:bottom w:val="none" w:sz="0" w:space="0" w:color="auto"/>
        <w:right w:val="none" w:sz="0" w:space="0" w:color="auto"/>
      </w:divBdr>
    </w:div>
    <w:div w:id="885604718">
      <w:bodyDiv w:val="1"/>
      <w:marLeft w:val="0"/>
      <w:marRight w:val="0"/>
      <w:marTop w:val="0"/>
      <w:marBottom w:val="0"/>
      <w:divBdr>
        <w:top w:val="none" w:sz="0" w:space="0" w:color="auto"/>
        <w:left w:val="none" w:sz="0" w:space="0" w:color="auto"/>
        <w:bottom w:val="none" w:sz="0" w:space="0" w:color="auto"/>
        <w:right w:val="none" w:sz="0" w:space="0" w:color="auto"/>
      </w:divBdr>
    </w:div>
    <w:div w:id="889806514">
      <w:bodyDiv w:val="1"/>
      <w:marLeft w:val="0"/>
      <w:marRight w:val="0"/>
      <w:marTop w:val="0"/>
      <w:marBottom w:val="0"/>
      <w:divBdr>
        <w:top w:val="none" w:sz="0" w:space="0" w:color="auto"/>
        <w:left w:val="none" w:sz="0" w:space="0" w:color="auto"/>
        <w:bottom w:val="none" w:sz="0" w:space="0" w:color="auto"/>
        <w:right w:val="none" w:sz="0" w:space="0" w:color="auto"/>
      </w:divBdr>
    </w:div>
    <w:div w:id="963846039">
      <w:bodyDiv w:val="1"/>
      <w:marLeft w:val="0"/>
      <w:marRight w:val="0"/>
      <w:marTop w:val="0"/>
      <w:marBottom w:val="0"/>
      <w:divBdr>
        <w:top w:val="none" w:sz="0" w:space="0" w:color="auto"/>
        <w:left w:val="none" w:sz="0" w:space="0" w:color="auto"/>
        <w:bottom w:val="none" w:sz="0" w:space="0" w:color="auto"/>
        <w:right w:val="none" w:sz="0" w:space="0" w:color="auto"/>
      </w:divBdr>
      <w:divsChild>
        <w:div w:id="57023324">
          <w:marLeft w:val="0"/>
          <w:marRight w:val="0"/>
          <w:marTop w:val="0"/>
          <w:marBottom w:val="0"/>
          <w:divBdr>
            <w:top w:val="none" w:sz="0" w:space="0" w:color="auto"/>
            <w:left w:val="none" w:sz="0" w:space="0" w:color="auto"/>
            <w:bottom w:val="none" w:sz="0" w:space="0" w:color="auto"/>
            <w:right w:val="none" w:sz="0" w:space="0" w:color="auto"/>
          </w:divBdr>
        </w:div>
        <w:div w:id="920024517">
          <w:marLeft w:val="0"/>
          <w:marRight w:val="0"/>
          <w:marTop w:val="0"/>
          <w:marBottom w:val="0"/>
          <w:divBdr>
            <w:top w:val="none" w:sz="0" w:space="0" w:color="auto"/>
            <w:left w:val="none" w:sz="0" w:space="0" w:color="auto"/>
            <w:bottom w:val="none" w:sz="0" w:space="0" w:color="auto"/>
            <w:right w:val="none" w:sz="0" w:space="0" w:color="auto"/>
          </w:divBdr>
        </w:div>
        <w:div w:id="942028654">
          <w:marLeft w:val="0"/>
          <w:marRight w:val="0"/>
          <w:marTop w:val="0"/>
          <w:marBottom w:val="0"/>
          <w:divBdr>
            <w:top w:val="none" w:sz="0" w:space="0" w:color="auto"/>
            <w:left w:val="none" w:sz="0" w:space="0" w:color="auto"/>
            <w:bottom w:val="none" w:sz="0" w:space="0" w:color="auto"/>
            <w:right w:val="none" w:sz="0" w:space="0" w:color="auto"/>
          </w:divBdr>
        </w:div>
        <w:div w:id="1260523746">
          <w:marLeft w:val="0"/>
          <w:marRight w:val="0"/>
          <w:marTop w:val="0"/>
          <w:marBottom w:val="0"/>
          <w:divBdr>
            <w:top w:val="none" w:sz="0" w:space="0" w:color="auto"/>
            <w:left w:val="none" w:sz="0" w:space="0" w:color="auto"/>
            <w:bottom w:val="none" w:sz="0" w:space="0" w:color="auto"/>
            <w:right w:val="none" w:sz="0" w:space="0" w:color="auto"/>
          </w:divBdr>
        </w:div>
        <w:div w:id="1806775803">
          <w:marLeft w:val="0"/>
          <w:marRight w:val="0"/>
          <w:marTop w:val="0"/>
          <w:marBottom w:val="0"/>
          <w:divBdr>
            <w:top w:val="none" w:sz="0" w:space="0" w:color="auto"/>
            <w:left w:val="none" w:sz="0" w:space="0" w:color="auto"/>
            <w:bottom w:val="none" w:sz="0" w:space="0" w:color="auto"/>
            <w:right w:val="none" w:sz="0" w:space="0" w:color="auto"/>
          </w:divBdr>
        </w:div>
        <w:div w:id="2134788793">
          <w:marLeft w:val="0"/>
          <w:marRight w:val="0"/>
          <w:marTop w:val="0"/>
          <w:marBottom w:val="0"/>
          <w:divBdr>
            <w:top w:val="none" w:sz="0" w:space="0" w:color="auto"/>
            <w:left w:val="none" w:sz="0" w:space="0" w:color="auto"/>
            <w:bottom w:val="none" w:sz="0" w:space="0" w:color="auto"/>
            <w:right w:val="none" w:sz="0" w:space="0" w:color="auto"/>
          </w:divBdr>
        </w:div>
      </w:divsChild>
    </w:div>
    <w:div w:id="1051341117">
      <w:bodyDiv w:val="1"/>
      <w:marLeft w:val="0"/>
      <w:marRight w:val="0"/>
      <w:marTop w:val="0"/>
      <w:marBottom w:val="0"/>
      <w:divBdr>
        <w:top w:val="none" w:sz="0" w:space="0" w:color="auto"/>
        <w:left w:val="none" w:sz="0" w:space="0" w:color="auto"/>
        <w:bottom w:val="none" w:sz="0" w:space="0" w:color="auto"/>
        <w:right w:val="none" w:sz="0" w:space="0" w:color="auto"/>
      </w:divBdr>
    </w:div>
    <w:div w:id="1115903950">
      <w:bodyDiv w:val="1"/>
      <w:marLeft w:val="0"/>
      <w:marRight w:val="0"/>
      <w:marTop w:val="0"/>
      <w:marBottom w:val="0"/>
      <w:divBdr>
        <w:top w:val="none" w:sz="0" w:space="0" w:color="auto"/>
        <w:left w:val="none" w:sz="0" w:space="0" w:color="auto"/>
        <w:bottom w:val="none" w:sz="0" w:space="0" w:color="auto"/>
        <w:right w:val="none" w:sz="0" w:space="0" w:color="auto"/>
      </w:divBdr>
    </w:div>
    <w:div w:id="1162429866">
      <w:bodyDiv w:val="1"/>
      <w:marLeft w:val="0"/>
      <w:marRight w:val="0"/>
      <w:marTop w:val="0"/>
      <w:marBottom w:val="0"/>
      <w:divBdr>
        <w:top w:val="none" w:sz="0" w:space="0" w:color="auto"/>
        <w:left w:val="none" w:sz="0" w:space="0" w:color="auto"/>
        <w:bottom w:val="none" w:sz="0" w:space="0" w:color="auto"/>
        <w:right w:val="none" w:sz="0" w:space="0" w:color="auto"/>
      </w:divBdr>
      <w:divsChild>
        <w:div w:id="1971276964">
          <w:marLeft w:val="0"/>
          <w:marRight w:val="0"/>
          <w:marTop w:val="0"/>
          <w:marBottom w:val="0"/>
          <w:divBdr>
            <w:top w:val="none" w:sz="0" w:space="0" w:color="auto"/>
            <w:left w:val="none" w:sz="0" w:space="0" w:color="auto"/>
            <w:bottom w:val="none" w:sz="0" w:space="0" w:color="auto"/>
            <w:right w:val="none" w:sz="0" w:space="0" w:color="auto"/>
          </w:divBdr>
          <w:divsChild>
            <w:div w:id="1931892508">
              <w:marLeft w:val="0"/>
              <w:marRight w:val="0"/>
              <w:marTop w:val="0"/>
              <w:marBottom w:val="1050"/>
              <w:divBdr>
                <w:top w:val="none" w:sz="0" w:space="0" w:color="auto"/>
                <w:left w:val="none" w:sz="0" w:space="0" w:color="auto"/>
                <w:bottom w:val="none" w:sz="0" w:space="0" w:color="auto"/>
                <w:right w:val="none" w:sz="0" w:space="0" w:color="auto"/>
              </w:divBdr>
              <w:divsChild>
                <w:div w:id="1151290870">
                  <w:marLeft w:val="0"/>
                  <w:marRight w:val="0"/>
                  <w:marTop w:val="0"/>
                  <w:marBottom w:val="0"/>
                  <w:divBdr>
                    <w:top w:val="none" w:sz="0" w:space="0" w:color="auto"/>
                    <w:left w:val="none" w:sz="0" w:space="0" w:color="auto"/>
                    <w:bottom w:val="none" w:sz="0" w:space="0" w:color="auto"/>
                    <w:right w:val="none" w:sz="0" w:space="0" w:color="auto"/>
                  </w:divBdr>
                  <w:divsChild>
                    <w:div w:id="110828431">
                      <w:marLeft w:val="0"/>
                      <w:marRight w:val="0"/>
                      <w:marTop w:val="0"/>
                      <w:marBottom w:val="0"/>
                      <w:divBdr>
                        <w:top w:val="none" w:sz="0" w:space="0" w:color="auto"/>
                        <w:left w:val="none" w:sz="0" w:space="0" w:color="auto"/>
                        <w:bottom w:val="none" w:sz="0" w:space="0" w:color="auto"/>
                        <w:right w:val="none" w:sz="0" w:space="0" w:color="auto"/>
                      </w:divBdr>
                      <w:divsChild>
                        <w:div w:id="1721630763">
                          <w:marLeft w:val="0"/>
                          <w:marRight w:val="0"/>
                          <w:marTop w:val="8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8060">
      <w:bodyDiv w:val="1"/>
      <w:marLeft w:val="0"/>
      <w:marRight w:val="0"/>
      <w:marTop w:val="0"/>
      <w:marBottom w:val="0"/>
      <w:divBdr>
        <w:top w:val="none" w:sz="0" w:space="0" w:color="auto"/>
        <w:left w:val="none" w:sz="0" w:space="0" w:color="auto"/>
        <w:bottom w:val="none" w:sz="0" w:space="0" w:color="auto"/>
        <w:right w:val="none" w:sz="0" w:space="0" w:color="auto"/>
      </w:divBdr>
    </w:div>
    <w:div w:id="1210262665">
      <w:bodyDiv w:val="1"/>
      <w:marLeft w:val="0"/>
      <w:marRight w:val="0"/>
      <w:marTop w:val="0"/>
      <w:marBottom w:val="0"/>
      <w:divBdr>
        <w:top w:val="none" w:sz="0" w:space="0" w:color="auto"/>
        <w:left w:val="none" w:sz="0" w:space="0" w:color="auto"/>
        <w:bottom w:val="none" w:sz="0" w:space="0" w:color="auto"/>
        <w:right w:val="none" w:sz="0" w:space="0" w:color="auto"/>
      </w:divBdr>
    </w:div>
    <w:div w:id="1215969426">
      <w:bodyDiv w:val="1"/>
      <w:marLeft w:val="0"/>
      <w:marRight w:val="0"/>
      <w:marTop w:val="0"/>
      <w:marBottom w:val="0"/>
      <w:divBdr>
        <w:top w:val="none" w:sz="0" w:space="0" w:color="auto"/>
        <w:left w:val="none" w:sz="0" w:space="0" w:color="auto"/>
        <w:bottom w:val="none" w:sz="0" w:space="0" w:color="auto"/>
        <w:right w:val="none" w:sz="0" w:space="0" w:color="auto"/>
      </w:divBdr>
    </w:div>
    <w:div w:id="1387803774">
      <w:bodyDiv w:val="1"/>
      <w:marLeft w:val="0"/>
      <w:marRight w:val="0"/>
      <w:marTop w:val="0"/>
      <w:marBottom w:val="0"/>
      <w:divBdr>
        <w:top w:val="none" w:sz="0" w:space="0" w:color="auto"/>
        <w:left w:val="none" w:sz="0" w:space="0" w:color="auto"/>
        <w:bottom w:val="none" w:sz="0" w:space="0" w:color="auto"/>
        <w:right w:val="none" w:sz="0" w:space="0" w:color="auto"/>
      </w:divBdr>
    </w:div>
    <w:div w:id="1442728367">
      <w:bodyDiv w:val="1"/>
      <w:marLeft w:val="0"/>
      <w:marRight w:val="0"/>
      <w:marTop w:val="0"/>
      <w:marBottom w:val="0"/>
      <w:divBdr>
        <w:top w:val="none" w:sz="0" w:space="0" w:color="auto"/>
        <w:left w:val="none" w:sz="0" w:space="0" w:color="auto"/>
        <w:bottom w:val="none" w:sz="0" w:space="0" w:color="auto"/>
        <w:right w:val="none" w:sz="0" w:space="0" w:color="auto"/>
      </w:divBdr>
    </w:div>
    <w:div w:id="1483616850">
      <w:bodyDiv w:val="1"/>
      <w:marLeft w:val="0"/>
      <w:marRight w:val="0"/>
      <w:marTop w:val="0"/>
      <w:marBottom w:val="0"/>
      <w:divBdr>
        <w:top w:val="none" w:sz="0" w:space="0" w:color="auto"/>
        <w:left w:val="none" w:sz="0" w:space="0" w:color="auto"/>
        <w:bottom w:val="none" w:sz="0" w:space="0" w:color="auto"/>
        <w:right w:val="none" w:sz="0" w:space="0" w:color="auto"/>
      </w:divBdr>
      <w:divsChild>
        <w:div w:id="955134691">
          <w:marLeft w:val="0"/>
          <w:marRight w:val="0"/>
          <w:marTop w:val="0"/>
          <w:marBottom w:val="0"/>
          <w:divBdr>
            <w:top w:val="none" w:sz="0" w:space="0" w:color="auto"/>
            <w:left w:val="none" w:sz="0" w:space="0" w:color="auto"/>
            <w:bottom w:val="none" w:sz="0" w:space="0" w:color="auto"/>
            <w:right w:val="none" w:sz="0" w:space="0" w:color="auto"/>
          </w:divBdr>
        </w:div>
        <w:div w:id="1510409555">
          <w:marLeft w:val="0"/>
          <w:marRight w:val="0"/>
          <w:marTop w:val="0"/>
          <w:marBottom w:val="0"/>
          <w:divBdr>
            <w:top w:val="none" w:sz="0" w:space="0" w:color="auto"/>
            <w:left w:val="none" w:sz="0" w:space="0" w:color="auto"/>
            <w:bottom w:val="none" w:sz="0" w:space="0" w:color="auto"/>
            <w:right w:val="none" w:sz="0" w:space="0" w:color="auto"/>
          </w:divBdr>
        </w:div>
        <w:div w:id="1702584636">
          <w:marLeft w:val="0"/>
          <w:marRight w:val="0"/>
          <w:marTop w:val="0"/>
          <w:marBottom w:val="0"/>
          <w:divBdr>
            <w:top w:val="none" w:sz="0" w:space="0" w:color="auto"/>
            <w:left w:val="none" w:sz="0" w:space="0" w:color="auto"/>
            <w:bottom w:val="none" w:sz="0" w:space="0" w:color="auto"/>
            <w:right w:val="none" w:sz="0" w:space="0" w:color="auto"/>
          </w:divBdr>
        </w:div>
        <w:div w:id="2082478492">
          <w:marLeft w:val="0"/>
          <w:marRight w:val="0"/>
          <w:marTop w:val="0"/>
          <w:marBottom w:val="0"/>
          <w:divBdr>
            <w:top w:val="none" w:sz="0" w:space="0" w:color="auto"/>
            <w:left w:val="none" w:sz="0" w:space="0" w:color="auto"/>
            <w:bottom w:val="none" w:sz="0" w:space="0" w:color="auto"/>
            <w:right w:val="none" w:sz="0" w:space="0" w:color="auto"/>
          </w:divBdr>
        </w:div>
        <w:div w:id="2132747002">
          <w:marLeft w:val="0"/>
          <w:marRight w:val="0"/>
          <w:marTop w:val="0"/>
          <w:marBottom w:val="0"/>
          <w:divBdr>
            <w:top w:val="none" w:sz="0" w:space="0" w:color="auto"/>
            <w:left w:val="none" w:sz="0" w:space="0" w:color="auto"/>
            <w:bottom w:val="none" w:sz="0" w:space="0" w:color="auto"/>
            <w:right w:val="none" w:sz="0" w:space="0" w:color="auto"/>
          </w:divBdr>
        </w:div>
      </w:divsChild>
    </w:div>
    <w:div w:id="1485657533">
      <w:bodyDiv w:val="1"/>
      <w:marLeft w:val="0"/>
      <w:marRight w:val="0"/>
      <w:marTop w:val="0"/>
      <w:marBottom w:val="0"/>
      <w:divBdr>
        <w:top w:val="none" w:sz="0" w:space="0" w:color="auto"/>
        <w:left w:val="none" w:sz="0" w:space="0" w:color="auto"/>
        <w:bottom w:val="none" w:sz="0" w:space="0" w:color="auto"/>
        <w:right w:val="none" w:sz="0" w:space="0" w:color="auto"/>
      </w:divBdr>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12805667">
          <w:marLeft w:val="0"/>
          <w:marRight w:val="0"/>
          <w:marTop w:val="0"/>
          <w:marBottom w:val="0"/>
          <w:divBdr>
            <w:top w:val="none" w:sz="0" w:space="0" w:color="auto"/>
            <w:left w:val="none" w:sz="0" w:space="0" w:color="auto"/>
            <w:bottom w:val="none" w:sz="0" w:space="0" w:color="auto"/>
            <w:right w:val="none" w:sz="0" w:space="0" w:color="auto"/>
          </w:divBdr>
        </w:div>
        <w:div w:id="349111759">
          <w:marLeft w:val="0"/>
          <w:marRight w:val="0"/>
          <w:marTop w:val="0"/>
          <w:marBottom w:val="0"/>
          <w:divBdr>
            <w:top w:val="none" w:sz="0" w:space="0" w:color="auto"/>
            <w:left w:val="none" w:sz="0" w:space="0" w:color="auto"/>
            <w:bottom w:val="none" w:sz="0" w:space="0" w:color="auto"/>
            <w:right w:val="none" w:sz="0" w:space="0" w:color="auto"/>
          </w:divBdr>
        </w:div>
        <w:div w:id="1153909835">
          <w:marLeft w:val="0"/>
          <w:marRight w:val="0"/>
          <w:marTop w:val="0"/>
          <w:marBottom w:val="0"/>
          <w:divBdr>
            <w:top w:val="none" w:sz="0" w:space="0" w:color="auto"/>
            <w:left w:val="none" w:sz="0" w:space="0" w:color="auto"/>
            <w:bottom w:val="none" w:sz="0" w:space="0" w:color="auto"/>
            <w:right w:val="none" w:sz="0" w:space="0" w:color="auto"/>
          </w:divBdr>
        </w:div>
        <w:div w:id="1428428968">
          <w:marLeft w:val="0"/>
          <w:marRight w:val="0"/>
          <w:marTop w:val="0"/>
          <w:marBottom w:val="0"/>
          <w:divBdr>
            <w:top w:val="none" w:sz="0" w:space="0" w:color="auto"/>
            <w:left w:val="none" w:sz="0" w:space="0" w:color="auto"/>
            <w:bottom w:val="none" w:sz="0" w:space="0" w:color="auto"/>
            <w:right w:val="none" w:sz="0" w:space="0" w:color="auto"/>
          </w:divBdr>
        </w:div>
        <w:div w:id="1458989899">
          <w:marLeft w:val="0"/>
          <w:marRight w:val="0"/>
          <w:marTop w:val="0"/>
          <w:marBottom w:val="0"/>
          <w:divBdr>
            <w:top w:val="none" w:sz="0" w:space="0" w:color="auto"/>
            <w:left w:val="none" w:sz="0" w:space="0" w:color="auto"/>
            <w:bottom w:val="none" w:sz="0" w:space="0" w:color="auto"/>
            <w:right w:val="none" w:sz="0" w:space="0" w:color="auto"/>
          </w:divBdr>
        </w:div>
        <w:div w:id="1753315126">
          <w:marLeft w:val="0"/>
          <w:marRight w:val="0"/>
          <w:marTop w:val="0"/>
          <w:marBottom w:val="0"/>
          <w:divBdr>
            <w:top w:val="none" w:sz="0" w:space="0" w:color="auto"/>
            <w:left w:val="none" w:sz="0" w:space="0" w:color="auto"/>
            <w:bottom w:val="none" w:sz="0" w:space="0" w:color="auto"/>
            <w:right w:val="none" w:sz="0" w:space="0" w:color="auto"/>
          </w:divBdr>
        </w:div>
        <w:div w:id="1971739820">
          <w:marLeft w:val="0"/>
          <w:marRight w:val="0"/>
          <w:marTop w:val="0"/>
          <w:marBottom w:val="0"/>
          <w:divBdr>
            <w:top w:val="none" w:sz="0" w:space="0" w:color="auto"/>
            <w:left w:val="none" w:sz="0" w:space="0" w:color="auto"/>
            <w:bottom w:val="none" w:sz="0" w:space="0" w:color="auto"/>
            <w:right w:val="none" w:sz="0" w:space="0" w:color="auto"/>
          </w:divBdr>
        </w:div>
        <w:div w:id="2063820854">
          <w:marLeft w:val="0"/>
          <w:marRight w:val="0"/>
          <w:marTop w:val="0"/>
          <w:marBottom w:val="0"/>
          <w:divBdr>
            <w:top w:val="none" w:sz="0" w:space="0" w:color="auto"/>
            <w:left w:val="none" w:sz="0" w:space="0" w:color="auto"/>
            <w:bottom w:val="none" w:sz="0" w:space="0" w:color="auto"/>
            <w:right w:val="none" w:sz="0" w:space="0" w:color="auto"/>
          </w:divBdr>
        </w:div>
      </w:divsChild>
    </w:div>
    <w:div w:id="1527330624">
      <w:bodyDiv w:val="1"/>
      <w:marLeft w:val="0"/>
      <w:marRight w:val="0"/>
      <w:marTop w:val="0"/>
      <w:marBottom w:val="0"/>
      <w:divBdr>
        <w:top w:val="none" w:sz="0" w:space="0" w:color="auto"/>
        <w:left w:val="none" w:sz="0" w:space="0" w:color="auto"/>
        <w:bottom w:val="none" w:sz="0" w:space="0" w:color="auto"/>
        <w:right w:val="none" w:sz="0" w:space="0" w:color="auto"/>
      </w:divBdr>
    </w:div>
    <w:div w:id="1582644633">
      <w:bodyDiv w:val="1"/>
      <w:marLeft w:val="0"/>
      <w:marRight w:val="0"/>
      <w:marTop w:val="0"/>
      <w:marBottom w:val="0"/>
      <w:divBdr>
        <w:top w:val="none" w:sz="0" w:space="0" w:color="auto"/>
        <w:left w:val="none" w:sz="0" w:space="0" w:color="auto"/>
        <w:bottom w:val="none" w:sz="0" w:space="0" w:color="auto"/>
        <w:right w:val="none" w:sz="0" w:space="0" w:color="auto"/>
      </w:divBdr>
    </w:div>
    <w:div w:id="1593736297">
      <w:bodyDiv w:val="1"/>
      <w:marLeft w:val="0"/>
      <w:marRight w:val="0"/>
      <w:marTop w:val="0"/>
      <w:marBottom w:val="0"/>
      <w:divBdr>
        <w:top w:val="none" w:sz="0" w:space="0" w:color="auto"/>
        <w:left w:val="none" w:sz="0" w:space="0" w:color="auto"/>
        <w:bottom w:val="none" w:sz="0" w:space="0" w:color="auto"/>
        <w:right w:val="none" w:sz="0" w:space="0" w:color="auto"/>
      </w:divBdr>
    </w:div>
    <w:div w:id="1672220111">
      <w:bodyDiv w:val="1"/>
      <w:marLeft w:val="0"/>
      <w:marRight w:val="0"/>
      <w:marTop w:val="0"/>
      <w:marBottom w:val="0"/>
      <w:divBdr>
        <w:top w:val="none" w:sz="0" w:space="0" w:color="auto"/>
        <w:left w:val="none" w:sz="0" w:space="0" w:color="auto"/>
        <w:bottom w:val="none" w:sz="0" w:space="0" w:color="auto"/>
        <w:right w:val="none" w:sz="0" w:space="0" w:color="auto"/>
      </w:divBdr>
    </w:div>
    <w:div w:id="1746224248">
      <w:bodyDiv w:val="1"/>
      <w:marLeft w:val="0"/>
      <w:marRight w:val="0"/>
      <w:marTop w:val="0"/>
      <w:marBottom w:val="0"/>
      <w:divBdr>
        <w:top w:val="none" w:sz="0" w:space="0" w:color="auto"/>
        <w:left w:val="none" w:sz="0" w:space="0" w:color="auto"/>
        <w:bottom w:val="none" w:sz="0" w:space="0" w:color="auto"/>
        <w:right w:val="none" w:sz="0" w:space="0" w:color="auto"/>
      </w:divBdr>
    </w:div>
    <w:div w:id="1804230032">
      <w:bodyDiv w:val="1"/>
      <w:marLeft w:val="0"/>
      <w:marRight w:val="0"/>
      <w:marTop w:val="0"/>
      <w:marBottom w:val="0"/>
      <w:divBdr>
        <w:top w:val="none" w:sz="0" w:space="0" w:color="auto"/>
        <w:left w:val="none" w:sz="0" w:space="0" w:color="auto"/>
        <w:bottom w:val="none" w:sz="0" w:space="0" w:color="auto"/>
        <w:right w:val="none" w:sz="0" w:space="0" w:color="auto"/>
      </w:divBdr>
    </w:div>
    <w:div w:id="1824925055">
      <w:bodyDiv w:val="1"/>
      <w:marLeft w:val="0"/>
      <w:marRight w:val="0"/>
      <w:marTop w:val="0"/>
      <w:marBottom w:val="0"/>
      <w:divBdr>
        <w:top w:val="none" w:sz="0" w:space="0" w:color="auto"/>
        <w:left w:val="none" w:sz="0" w:space="0" w:color="auto"/>
        <w:bottom w:val="none" w:sz="0" w:space="0" w:color="auto"/>
        <w:right w:val="none" w:sz="0" w:space="0" w:color="auto"/>
      </w:divBdr>
    </w:div>
    <w:div w:id="1831870555">
      <w:bodyDiv w:val="1"/>
      <w:marLeft w:val="0"/>
      <w:marRight w:val="0"/>
      <w:marTop w:val="0"/>
      <w:marBottom w:val="0"/>
      <w:divBdr>
        <w:top w:val="none" w:sz="0" w:space="0" w:color="auto"/>
        <w:left w:val="none" w:sz="0" w:space="0" w:color="auto"/>
        <w:bottom w:val="none" w:sz="0" w:space="0" w:color="auto"/>
        <w:right w:val="none" w:sz="0" w:space="0" w:color="auto"/>
      </w:divBdr>
    </w:div>
    <w:div w:id="19151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expert.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expert.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aexpert.r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aexpert.ru/researches/regions/economic_health_regions_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973-65ED-42CB-BCB5-EEDC40AEF439}">
  <ds:schemaRefs>
    <ds:schemaRef ds:uri="http://schemas.openxmlformats.org/officeDocument/2006/bibliography"/>
  </ds:schemaRefs>
</ds:datastoreItem>
</file>

<file path=customXml/itemProps2.xml><?xml version="1.0" encoding="utf-8"?>
<ds:datastoreItem xmlns:ds="http://schemas.openxmlformats.org/officeDocument/2006/customXml" ds:itemID="{C4AB56BB-0A9C-4AC5-B2B3-63F0E90D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99</Pages>
  <Words>33034</Words>
  <Characters>225254</Characters>
  <Application>Microsoft Office Word</Application>
  <DocSecurity>0</DocSecurity>
  <Lines>1877</Lines>
  <Paragraphs>515</Paragraphs>
  <ScaleCrop>false</ScaleCrop>
  <HeadingPairs>
    <vt:vector size="2" baseType="variant">
      <vt:variant>
        <vt:lpstr>Название</vt:lpstr>
      </vt:variant>
      <vt:variant>
        <vt:i4>1</vt:i4>
      </vt:variant>
    </vt:vector>
  </HeadingPairs>
  <TitlesOfParts>
    <vt:vector size="1" baseType="lpstr">
      <vt:lpstr>Методология присвоения рейтингов кредитоспособности банкам</vt:lpstr>
    </vt:vector>
  </TitlesOfParts>
  <Company>Expert</Company>
  <LinksUpToDate>false</LinksUpToDate>
  <CharactersWithSpaces>257773</CharactersWithSpaces>
  <SharedDoc>false</SharedDoc>
  <HLinks>
    <vt:vector size="18" baseType="variant">
      <vt:variant>
        <vt:i4>6619178</vt:i4>
      </vt:variant>
      <vt:variant>
        <vt:i4>6</vt:i4>
      </vt:variant>
      <vt:variant>
        <vt:i4>0</vt:i4>
      </vt:variant>
      <vt:variant>
        <vt:i4>5</vt:i4>
      </vt:variant>
      <vt:variant>
        <vt:lpwstr>http://www.raexpert.ru/</vt:lpwstr>
      </vt:variant>
      <vt:variant>
        <vt:lpwstr/>
      </vt:variant>
      <vt:variant>
        <vt:i4>6619178</vt:i4>
      </vt:variant>
      <vt:variant>
        <vt:i4>3</vt:i4>
      </vt:variant>
      <vt:variant>
        <vt:i4>0</vt:i4>
      </vt:variant>
      <vt:variant>
        <vt:i4>5</vt:i4>
      </vt:variant>
      <vt:variant>
        <vt:lpwstr>http://www.raexpert.ru/</vt:lpwstr>
      </vt:variant>
      <vt:variant>
        <vt:lpwstr/>
      </vt:variant>
      <vt:variant>
        <vt:i4>6619178</vt:i4>
      </vt:variant>
      <vt:variant>
        <vt:i4>0</vt:i4>
      </vt:variant>
      <vt:variant>
        <vt:i4>0</vt:i4>
      </vt:variant>
      <vt:variant>
        <vt:i4>5</vt:i4>
      </vt:variant>
      <vt:variant>
        <vt:lpwstr>http://www.raexpert.ru/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присвоения рейтингов кредитоспособности банкам</dc:title>
  <dc:creator>belikov</dc:creator>
  <cp:lastModifiedBy>Личагина Анастасия</cp:lastModifiedBy>
  <cp:revision>16</cp:revision>
  <cp:lastPrinted>2019-04-06T12:15:00Z</cp:lastPrinted>
  <dcterms:created xsi:type="dcterms:W3CDTF">2020-06-25T06:41:00Z</dcterms:created>
  <dcterms:modified xsi:type="dcterms:W3CDTF">2020-07-02T07:03:00Z</dcterms:modified>
</cp:coreProperties>
</file>